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3800"/>
        <w:spacing w:after="0"/>
        <w:rPr>
          <w:sz w:val="20"/>
          <w:szCs w:val="20"/>
          <w:color w:val="auto"/>
        </w:rPr>
      </w:pPr>
      <w:r>
        <w:rPr>
          <w:rFonts w:ascii="Courier New" w:cs="Courier New" w:eastAsia="Courier New" w:hAnsi="Courier New"/>
          <w:sz w:val="18"/>
          <w:szCs w:val="18"/>
          <w:color w:val="auto"/>
        </w:rPr>
        <w:t>UNITED STATES</w:t>
      </w:r>
    </w:p>
    <w:p>
      <w:pPr>
        <w:ind w:left="2640"/>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ind w:left="3160"/>
        <w:spacing w:after="0"/>
        <w:tabs>
          <w:tab w:leader="none" w:pos="5040" w:val="left"/>
        </w:tabs>
        <w:rPr>
          <w:sz w:val="20"/>
          <w:szCs w:val="20"/>
          <w:color w:val="auto"/>
        </w:rPr>
      </w:pPr>
      <w:r>
        <w:rPr>
          <w:rFonts w:ascii="Courier New" w:cs="Courier New" w:eastAsia="Courier New" w:hAnsi="Courier New"/>
          <w:sz w:val="18"/>
          <w:szCs w:val="18"/>
          <w:color w:val="auto"/>
        </w:rPr>
        <w:t>WASHINGTON, D.C.</w:t>
        <w:tab/>
        <w:t>20549</w:t>
      </w:r>
    </w:p>
    <w:p>
      <w:pPr>
        <w:spacing w:after="0" w:line="200" w:lineRule="exact"/>
        <w:rPr>
          <w:sz w:val="24"/>
          <w:szCs w:val="24"/>
          <w:color w:val="auto"/>
        </w:rPr>
      </w:pPr>
    </w:p>
    <w:p>
      <w:pPr>
        <w:ind w:left="3900"/>
        <w:spacing w:after="0"/>
        <w:rPr>
          <w:sz w:val="20"/>
          <w:szCs w:val="20"/>
          <w:color w:val="auto"/>
        </w:rPr>
      </w:pPr>
      <w:r>
        <w:rPr>
          <w:rFonts w:ascii="Courier New" w:cs="Courier New" w:eastAsia="Courier New" w:hAnsi="Courier New"/>
          <w:sz w:val="18"/>
          <w:szCs w:val="18"/>
          <w:color w:val="auto"/>
        </w:rPr>
        <w:t>FORM 10-Q</w:t>
      </w: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(Mark One)</w:t>
      </w:r>
    </w:p>
    <w:p>
      <w:pPr>
        <w:spacing w:after="0" w:line="4" w:lineRule="exact"/>
        <w:rPr>
          <w:sz w:val="24"/>
          <w:szCs w:val="24"/>
          <w:color w:val="auto"/>
        </w:rPr>
      </w:pPr>
    </w:p>
    <w:p>
      <w:pPr>
        <w:ind w:left="420" w:right="1879" w:hanging="412"/>
        <w:spacing w:after="0" w:line="235" w:lineRule="auto"/>
        <w:tabs>
          <w:tab w:leader="none" w:pos="42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QUARTERLY REPORT PURSUANT TO SECTION 13 OR 15(d) OF THE SECURITIES EXCHANGE ACT OF 1934</w:t>
      </w:r>
    </w:p>
    <w:p>
      <w:pPr>
        <w:spacing w:after="0" w:line="203" w:lineRule="exact"/>
        <w:rPr>
          <w:sz w:val="24"/>
          <w:szCs w:val="24"/>
          <w:color w:val="auto"/>
        </w:rPr>
      </w:pPr>
    </w:p>
    <w:p>
      <w:pPr>
        <w:ind w:left="2120"/>
        <w:spacing w:after="0"/>
        <w:rPr>
          <w:sz w:val="20"/>
          <w:szCs w:val="20"/>
          <w:color w:val="auto"/>
        </w:rPr>
      </w:pPr>
      <w:r>
        <w:rPr>
          <w:rFonts w:ascii="Courier New" w:cs="Courier New" w:eastAsia="Courier New" w:hAnsi="Courier New"/>
          <w:sz w:val="18"/>
          <w:szCs w:val="18"/>
          <w:color w:val="auto"/>
        </w:rPr>
        <w:t>For the quarterly period ended June 30, 1998</w:t>
      </w:r>
    </w:p>
    <w:p>
      <w:pPr>
        <w:ind w:left="5380"/>
        <w:spacing w:after="0" w:line="238" w:lineRule="auto"/>
        <w:rPr>
          <w:sz w:val="20"/>
          <w:szCs w:val="20"/>
          <w:color w:val="auto"/>
        </w:rPr>
      </w:pPr>
      <w:r>
        <w:rPr>
          <w:rFonts w:ascii="Courier New" w:cs="Courier New" w:eastAsia="Courier New" w:hAnsi="Courier New"/>
          <w:sz w:val="18"/>
          <w:szCs w:val="18"/>
          <w:color w:val="auto"/>
        </w:rPr>
        <w:t>-------------</w:t>
      </w:r>
    </w:p>
    <w:p>
      <w:pPr>
        <w:ind w:left="4320"/>
        <w:spacing w:after="0"/>
        <w:rPr>
          <w:sz w:val="20"/>
          <w:szCs w:val="20"/>
          <w:color w:val="auto"/>
        </w:rPr>
      </w:pPr>
      <w:r>
        <w:rPr>
          <w:rFonts w:ascii="Courier New" w:cs="Courier New" w:eastAsia="Courier New" w:hAnsi="Courier New"/>
          <w:sz w:val="18"/>
          <w:szCs w:val="18"/>
          <w:color w:val="auto"/>
        </w:rPr>
        <w:t>OR</w:t>
      </w:r>
    </w:p>
    <w:p>
      <w:pPr>
        <w:spacing w:after="0" w:line="206" w:lineRule="exact"/>
        <w:rPr>
          <w:sz w:val="24"/>
          <w:szCs w:val="24"/>
          <w:color w:val="auto"/>
        </w:rPr>
      </w:pPr>
    </w:p>
    <w:p>
      <w:pPr>
        <w:ind w:left="420" w:right="1779" w:hanging="412"/>
        <w:spacing w:after="0" w:line="235" w:lineRule="auto"/>
        <w:tabs>
          <w:tab w:leader="none" w:pos="209"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TRANSITION REPORT PURSUANT TO SECTION 13 OR 15(d) OF THE SECURITIES EXCHANGE ACT OF 1934</w:t>
      </w:r>
    </w:p>
    <w:p>
      <w:pPr>
        <w:spacing w:after="0" w:line="208" w:lineRule="exact"/>
        <w:rPr>
          <w:sz w:val="24"/>
          <w:szCs w:val="24"/>
          <w:color w:val="auto"/>
        </w:rPr>
      </w:pPr>
    </w:p>
    <w:p>
      <w:pPr>
        <w:ind w:left="420"/>
        <w:spacing w:after="0"/>
        <w:rPr>
          <w:sz w:val="20"/>
          <w:szCs w:val="20"/>
          <w:color w:val="auto"/>
        </w:rPr>
      </w:pPr>
      <w:r>
        <w:rPr>
          <w:rFonts w:ascii="Courier New" w:cs="Courier New" w:eastAsia="Courier New" w:hAnsi="Courier New"/>
          <w:sz w:val="16"/>
          <w:szCs w:val="16"/>
          <w:color w:val="auto"/>
        </w:rPr>
        <w:t>For the transition period from _____________________ to ___________________</w:t>
      </w:r>
    </w:p>
    <w:p>
      <w:pPr>
        <w:spacing w:after="0" w:line="218" w:lineRule="exact"/>
        <w:rPr>
          <w:sz w:val="24"/>
          <w:szCs w:val="24"/>
          <w:color w:val="auto"/>
        </w:rPr>
      </w:pPr>
    </w:p>
    <w:p>
      <w:pPr>
        <w:ind w:left="2860"/>
        <w:spacing w:after="0"/>
        <w:rPr>
          <w:sz w:val="20"/>
          <w:szCs w:val="20"/>
          <w:color w:val="auto"/>
        </w:rPr>
      </w:pPr>
      <w:r>
        <w:rPr>
          <w:rFonts w:ascii="Courier New" w:cs="Courier New" w:eastAsia="Courier New" w:hAnsi="Courier New"/>
          <w:sz w:val="18"/>
          <w:szCs w:val="18"/>
          <w:color w:val="auto"/>
        </w:rPr>
        <w:t>Commission file number 0-7647</w:t>
      </w:r>
    </w:p>
    <w:p>
      <w:pPr>
        <w:spacing w:after="0" w:line="201" w:lineRule="exact"/>
        <w:rPr>
          <w:sz w:val="24"/>
          <w:szCs w:val="24"/>
          <w:color w:val="auto"/>
        </w:rPr>
      </w:pPr>
    </w:p>
    <w:p>
      <w:pPr>
        <w:ind w:left="3280"/>
        <w:spacing w:after="0"/>
        <w:rPr>
          <w:sz w:val="20"/>
          <w:szCs w:val="20"/>
          <w:color w:val="auto"/>
        </w:rPr>
      </w:pPr>
      <w:r>
        <w:rPr>
          <w:rFonts w:ascii="Courier New" w:cs="Courier New" w:eastAsia="Courier New" w:hAnsi="Courier New"/>
          <w:sz w:val="18"/>
          <w:szCs w:val="18"/>
          <w:color w:val="auto"/>
        </w:rPr>
        <w:t>HAWKINS CHEMICAL, INC.</w:t>
      </w:r>
    </w:p>
    <w:p>
      <w:pPr>
        <w:ind w:left="3280"/>
        <w:spacing w:after="0" w:line="238" w:lineRule="auto"/>
        <w:rPr>
          <w:sz w:val="20"/>
          <w:szCs w:val="20"/>
          <w:color w:val="auto"/>
        </w:rPr>
      </w:pPr>
      <w:r>
        <w:rPr>
          <w:rFonts w:ascii="Courier New" w:cs="Courier New" w:eastAsia="Courier New" w:hAnsi="Courier New"/>
          <w:sz w:val="18"/>
          <w:szCs w:val="18"/>
          <w:color w:val="auto"/>
        </w:rPr>
        <w:t>----------------------</w:t>
      </w:r>
    </w:p>
    <w:p>
      <w:pPr>
        <w:ind w:left="1580"/>
        <w:spacing w:after="0"/>
        <w:rPr>
          <w:sz w:val="20"/>
          <w:szCs w:val="20"/>
          <w:color w:val="auto"/>
        </w:rPr>
      </w:pPr>
      <w:r>
        <w:rPr>
          <w:rFonts w:ascii="Courier New" w:cs="Courier New" w:eastAsia="Courier New" w:hAnsi="Courier New"/>
          <w:sz w:val="18"/>
          <w:szCs w:val="18"/>
          <w:color w:val="auto"/>
        </w:rPr>
        <w:t>(Exact name of registrant as specified in its charter)</w:t>
      </w:r>
    </w:p>
    <w:p>
      <w:pPr>
        <w:spacing w:after="0" w:line="200"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3960" w:type="dxa"/>
            <w:vAlign w:val="bottom"/>
          </w:tcPr>
          <w:p>
            <w:pPr>
              <w:jc w:val="center"/>
              <w:ind w:right="592"/>
              <w:spacing w:after="0"/>
              <w:rPr>
                <w:sz w:val="20"/>
                <w:szCs w:val="20"/>
                <w:color w:val="auto"/>
              </w:rPr>
            </w:pPr>
            <w:r>
              <w:rPr>
                <w:rFonts w:ascii="Courier New" w:cs="Courier New" w:eastAsia="Courier New" w:hAnsi="Courier New"/>
                <w:sz w:val="18"/>
                <w:szCs w:val="18"/>
                <w:color w:val="auto"/>
                <w:w w:val="98"/>
              </w:rPr>
              <w:t>MINNESOTA</w:t>
            </w:r>
          </w:p>
        </w:tc>
        <w:tc>
          <w:tcPr>
            <w:tcW w:w="4480" w:type="dxa"/>
            <w:vAlign w:val="bottom"/>
          </w:tcPr>
          <w:p>
            <w:pPr>
              <w:jc w:val="center"/>
              <w:ind w:left="592"/>
              <w:spacing w:after="0"/>
              <w:rPr>
                <w:sz w:val="20"/>
                <w:szCs w:val="20"/>
                <w:color w:val="auto"/>
              </w:rPr>
            </w:pPr>
            <w:r>
              <w:rPr>
                <w:rFonts w:ascii="Courier New" w:cs="Courier New" w:eastAsia="Courier New" w:hAnsi="Courier New"/>
                <w:sz w:val="18"/>
                <w:szCs w:val="18"/>
                <w:color w:val="auto"/>
                <w:w w:val="96"/>
              </w:rPr>
              <w:t>41-0771293</w:t>
            </w:r>
          </w:p>
        </w:tc>
      </w:tr>
      <w:tr>
        <w:trPr>
          <w:trHeight w:val="203"/>
        </w:trPr>
        <w:tc>
          <w:tcPr>
            <w:tcW w:w="3960" w:type="dxa"/>
            <w:vAlign w:val="bottom"/>
          </w:tcPr>
          <w:p>
            <w:pPr>
              <w:jc w:val="center"/>
              <w:ind w:right="592"/>
              <w:spacing w:after="0" w:line="203" w:lineRule="exact"/>
              <w:rPr>
                <w:sz w:val="20"/>
                <w:szCs w:val="20"/>
                <w:color w:val="auto"/>
              </w:rPr>
            </w:pPr>
            <w:r>
              <w:rPr>
                <w:rFonts w:ascii="Courier New" w:cs="Courier New" w:eastAsia="Courier New" w:hAnsi="Courier New"/>
                <w:sz w:val="18"/>
                <w:szCs w:val="18"/>
                <w:color w:val="auto"/>
                <w:w w:val="98"/>
              </w:rPr>
              <w:t>---------</w:t>
            </w:r>
          </w:p>
        </w:tc>
        <w:tc>
          <w:tcPr>
            <w:tcW w:w="4480" w:type="dxa"/>
            <w:vAlign w:val="bottom"/>
          </w:tcPr>
          <w:p>
            <w:pPr>
              <w:jc w:val="center"/>
              <w:ind w:left="592"/>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960" w:type="dxa"/>
            <w:vAlign w:val="bottom"/>
          </w:tcPr>
          <w:p>
            <w:pPr>
              <w:jc w:val="center"/>
              <w:ind w:right="592"/>
              <w:spacing w:after="0" w:line="203" w:lineRule="exact"/>
              <w:rPr>
                <w:sz w:val="20"/>
                <w:szCs w:val="20"/>
                <w:color w:val="auto"/>
              </w:rPr>
            </w:pPr>
            <w:r>
              <w:rPr>
                <w:rFonts w:ascii="Courier New" w:cs="Courier New" w:eastAsia="Courier New" w:hAnsi="Courier New"/>
                <w:sz w:val="18"/>
                <w:szCs w:val="18"/>
                <w:color w:val="auto"/>
                <w:w w:val="97"/>
              </w:rPr>
              <w:t>(State or other jurisdiction of</w:t>
            </w:r>
          </w:p>
        </w:tc>
        <w:tc>
          <w:tcPr>
            <w:tcW w:w="4480" w:type="dxa"/>
            <w:vAlign w:val="bottom"/>
          </w:tcPr>
          <w:p>
            <w:pPr>
              <w:jc w:val="center"/>
              <w:ind w:left="592"/>
              <w:spacing w:after="0" w:line="203" w:lineRule="exact"/>
              <w:rPr>
                <w:sz w:val="20"/>
                <w:szCs w:val="20"/>
                <w:color w:val="auto"/>
              </w:rPr>
            </w:pPr>
            <w:r>
              <w:rPr>
                <w:rFonts w:ascii="Courier New" w:cs="Courier New" w:eastAsia="Courier New" w:hAnsi="Courier New"/>
                <w:sz w:val="18"/>
                <w:szCs w:val="18"/>
                <w:color w:val="auto"/>
                <w:w w:val="97"/>
              </w:rPr>
              <w:t>(I.R.S. Employer Identification No.)</w:t>
            </w:r>
          </w:p>
        </w:tc>
      </w:tr>
      <w:tr>
        <w:trPr>
          <w:trHeight w:val="203"/>
        </w:trPr>
        <w:tc>
          <w:tcPr>
            <w:tcW w:w="39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incorporation of organization)</w:t>
            </w:r>
          </w:p>
        </w:tc>
        <w:tc>
          <w:tcPr>
            <w:tcW w:w="4480" w:type="dxa"/>
            <w:vAlign w:val="bottom"/>
          </w:tcPr>
          <w:p>
            <w:pPr>
              <w:spacing w:after="0"/>
              <w:rPr>
                <w:sz w:val="17"/>
                <w:szCs w:val="17"/>
                <w:color w:val="auto"/>
              </w:rPr>
            </w:pPr>
          </w:p>
        </w:tc>
      </w:tr>
    </w:tbl>
    <w:p>
      <w:pPr>
        <w:spacing w:after="0" w:line="201" w:lineRule="exact"/>
        <w:rPr>
          <w:sz w:val="24"/>
          <w:szCs w:val="24"/>
          <w:color w:val="auto"/>
        </w:rPr>
      </w:pPr>
    </w:p>
    <w:p>
      <w:pPr>
        <w:ind w:left="1480"/>
        <w:spacing w:after="0"/>
        <w:rPr>
          <w:sz w:val="20"/>
          <w:szCs w:val="20"/>
          <w:color w:val="auto"/>
        </w:rPr>
      </w:pPr>
      <w:r>
        <w:rPr>
          <w:rFonts w:ascii="Courier New" w:cs="Courier New" w:eastAsia="Courier New" w:hAnsi="Courier New"/>
          <w:sz w:val="18"/>
          <w:szCs w:val="18"/>
          <w:color w:val="auto"/>
        </w:rPr>
        <w:t>3100 East Hennepin Avenue, Minneapolis, Minnesota 55413</w:t>
      </w:r>
    </w:p>
    <w:p>
      <w:pPr>
        <w:ind w:left="1480"/>
        <w:spacing w:after="0" w:line="238" w:lineRule="auto"/>
        <w:rPr>
          <w:sz w:val="20"/>
          <w:szCs w:val="20"/>
          <w:color w:val="auto"/>
        </w:rPr>
      </w:pPr>
      <w:r>
        <w:rPr>
          <w:rFonts w:ascii="Courier New" w:cs="Courier New" w:eastAsia="Courier New" w:hAnsi="Courier New"/>
          <w:sz w:val="18"/>
          <w:szCs w:val="18"/>
          <w:color w:val="auto"/>
        </w:rPr>
        <w:t>-------------------------------------------------------</w:t>
      </w:r>
    </w:p>
    <w:p>
      <w:pPr>
        <w:ind w:left="1480"/>
        <w:spacing w:after="0"/>
        <w:tabs>
          <w:tab w:leader="none" w:pos="6420" w:val="left"/>
        </w:tabs>
        <w:rPr>
          <w:sz w:val="20"/>
          <w:szCs w:val="20"/>
          <w:color w:val="auto"/>
        </w:rPr>
      </w:pPr>
      <w:r>
        <w:rPr>
          <w:rFonts w:ascii="Courier New" w:cs="Courier New" w:eastAsia="Courier New" w:hAnsi="Courier New"/>
          <w:sz w:val="18"/>
          <w:szCs w:val="18"/>
          <w:color w:val="auto"/>
        </w:rPr>
        <w:t>(Address of principal executive offices)</w:t>
      </w:r>
      <w:r>
        <w:rPr>
          <w:sz w:val="20"/>
          <w:szCs w:val="20"/>
          <w:color w:val="auto"/>
        </w:rPr>
        <w:tab/>
      </w:r>
      <w:r>
        <w:rPr>
          <w:rFonts w:ascii="Courier New" w:cs="Courier New" w:eastAsia="Courier New" w:hAnsi="Courier New"/>
          <w:sz w:val="16"/>
          <w:szCs w:val="16"/>
          <w:color w:val="auto"/>
        </w:rPr>
        <w:t>Zip Code</w:t>
      </w:r>
    </w:p>
    <w:p>
      <w:pPr>
        <w:spacing w:after="0" w:line="200" w:lineRule="exact"/>
        <w:rPr>
          <w:sz w:val="24"/>
          <w:szCs w:val="24"/>
          <w:color w:val="auto"/>
        </w:rPr>
      </w:pPr>
    </w:p>
    <w:p>
      <w:pPr>
        <w:spacing w:after="0" w:line="203" w:lineRule="exact"/>
        <w:rPr>
          <w:sz w:val="24"/>
          <w:szCs w:val="24"/>
          <w:color w:val="auto"/>
        </w:rPr>
      </w:pPr>
    </w:p>
    <w:p>
      <w:pPr>
        <w:ind w:left="3700"/>
        <w:spacing w:after="0"/>
        <w:rPr>
          <w:sz w:val="20"/>
          <w:szCs w:val="20"/>
          <w:color w:val="auto"/>
        </w:rPr>
      </w:pPr>
      <w:r>
        <w:rPr>
          <w:rFonts w:ascii="Courier New" w:cs="Courier New" w:eastAsia="Courier New" w:hAnsi="Courier New"/>
          <w:sz w:val="18"/>
          <w:szCs w:val="18"/>
          <w:color w:val="auto"/>
        </w:rPr>
        <w:t>(612) 331-6910</w:t>
      </w:r>
    </w:p>
    <w:p>
      <w:pPr>
        <w:ind w:left="3700"/>
        <w:spacing w:after="0" w:line="238" w:lineRule="auto"/>
        <w:rPr>
          <w:sz w:val="20"/>
          <w:szCs w:val="20"/>
          <w:color w:val="auto"/>
        </w:rPr>
      </w:pPr>
      <w:r>
        <w:rPr>
          <w:rFonts w:ascii="Courier New" w:cs="Courier New" w:eastAsia="Courier New" w:hAnsi="Courier New"/>
          <w:sz w:val="18"/>
          <w:szCs w:val="18"/>
          <w:color w:val="auto"/>
        </w:rPr>
        <w:t>--------------</w:t>
      </w:r>
    </w:p>
    <w:p>
      <w:pPr>
        <w:ind w:left="1700"/>
        <w:spacing w:after="0"/>
        <w:rPr>
          <w:sz w:val="20"/>
          <w:szCs w:val="20"/>
          <w:color w:val="auto"/>
        </w:rPr>
      </w:pPr>
      <w:r>
        <w:rPr>
          <w:rFonts w:ascii="Courier New" w:cs="Courier New" w:eastAsia="Courier New" w:hAnsi="Courier New"/>
          <w:sz w:val="18"/>
          <w:szCs w:val="18"/>
          <w:color w:val="auto"/>
        </w:rPr>
        <w:t>Registrant's telephone number, including area code</w:t>
      </w:r>
    </w:p>
    <w:p>
      <w:pPr>
        <w:spacing w:after="0" w:line="206" w:lineRule="exact"/>
        <w:rPr>
          <w:sz w:val="24"/>
          <w:szCs w:val="24"/>
          <w:color w:val="auto"/>
        </w:rPr>
      </w:pPr>
    </w:p>
    <w:p>
      <w:pPr>
        <w:ind w:right="2099"/>
        <w:spacing w:after="0" w:line="237" w:lineRule="auto"/>
        <w:rPr>
          <w:sz w:val="20"/>
          <w:szCs w:val="20"/>
          <w:color w:val="auto"/>
        </w:rPr>
      </w:pPr>
      <w:r>
        <w:rPr>
          <w:rFonts w:ascii="Courier New" w:cs="Courier New" w:eastAsia="Courier New" w:hAnsi="Courier New"/>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ectPr>
          <w:pgSz w:w="11900" w:h="16838" w:orient="portrait"/>
          <w:cols w:equalWidth="0" w:num="1">
            <w:col w:w="10219"/>
          </w:cols>
          <w:pgMar w:left="240" w:top="649" w:right="1440" w:bottom="1440" w:gutter="0" w:footer="0" w:header="0"/>
        </w:sectPr>
      </w:pPr>
    </w:p>
    <w:p>
      <w:pPr>
        <w:spacing w:after="0" w:line="209" w:lineRule="exact"/>
        <w:rPr>
          <w:sz w:val="24"/>
          <w:szCs w:val="24"/>
          <w:color w:val="auto"/>
        </w:rPr>
      </w:pPr>
    </w:p>
    <w:p>
      <w:pPr>
        <w:ind w:left="3700"/>
        <w:spacing w:after="0"/>
        <w:rPr>
          <w:sz w:val="20"/>
          <w:szCs w:val="20"/>
          <w:color w:val="auto"/>
        </w:rPr>
      </w:pPr>
      <w:r>
        <w:rPr>
          <w:rFonts w:ascii="Courier New" w:cs="Courier New" w:eastAsia="Courier New" w:hAnsi="Courier New"/>
          <w:sz w:val="16"/>
          <w:szCs w:val="16"/>
          <w:color w:val="auto"/>
        </w:rPr>
        <w:t>Yes X</w:t>
      </w:r>
    </w:p>
    <w:p>
      <w:pPr>
        <w:spacing w:after="0" w:line="20" w:lineRule="exact"/>
        <w:rPr>
          <w:sz w:val="24"/>
          <w:szCs w:val="24"/>
          <w:color w:val="auto"/>
        </w:rPr>
      </w:pPr>
      <w:r>
        <w:rPr>
          <w:sz w:val="24"/>
          <w:szCs w:val="24"/>
          <w:color w:val="auto"/>
        </w:rPr>
        <w:br w:type="column"/>
      </w:r>
    </w:p>
    <w:p>
      <w:pPr>
        <w:spacing w:after="0" w:line="18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No</w:t>
      </w:r>
    </w:p>
    <w:p>
      <w:pPr>
        <w:spacing w:after="0" w:line="4" w:lineRule="exact"/>
        <w:rPr>
          <w:sz w:val="24"/>
          <w:szCs w:val="24"/>
          <w:color w:val="auto"/>
        </w:rPr>
      </w:pPr>
    </w:p>
    <w:p>
      <w:pPr>
        <w:sectPr>
          <w:pgSz w:w="11900" w:h="16838" w:orient="portrait"/>
          <w:cols w:equalWidth="0" w:num="2">
            <w:col w:w="4220" w:space="520"/>
            <w:col w:w="5479"/>
          </w:cols>
          <w:pgMar w:left="240" w:top="649" w:right="1440" w:bottom="1440" w:gutter="0" w:footer="0" w:header="0"/>
          <w:type w:val="continuous"/>
        </w:sectPr>
      </w:pPr>
    </w:p>
    <w:p>
      <w:pPr>
        <w:ind w:left="4020"/>
        <w:spacing w:after="0"/>
        <w:rPr>
          <w:sz w:val="20"/>
          <w:szCs w:val="20"/>
          <w:color w:val="auto"/>
        </w:rPr>
      </w:pPr>
      <w:r>
        <w:rPr>
          <w:rFonts w:ascii="Courier New" w:cs="Courier New" w:eastAsia="Courier New" w:hAnsi="Courier New"/>
          <w:sz w:val="16"/>
          <w:szCs w:val="16"/>
          <w:color w:val="auto"/>
        </w:rPr>
        <w: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4"/>
          <w:szCs w:val="24"/>
          <w:color w:val="auto"/>
        </w:rPr>
      </w:pPr>
    </w:p>
    <w:p>
      <w:pPr>
        <w:sectPr>
          <w:pgSz w:w="11900" w:h="16838" w:orient="portrait"/>
          <w:cols w:equalWidth="0" w:num="2">
            <w:col w:w="4320" w:space="640"/>
            <w:col w:w="5259"/>
          </w:cols>
          <w:pgMar w:left="240" w:top="649" w:right="1440" w:bottom="1440" w:gutter="0" w:footer="0" w:header="0"/>
          <w:type w:val="continuous"/>
        </w:sectPr>
      </w:pPr>
    </w:p>
    <w:p>
      <w:pPr>
        <w:spacing w:after="0" w:line="24" w:lineRule="exact"/>
        <w:rPr>
          <w:sz w:val="24"/>
          <w:szCs w:val="24"/>
          <w:color w:val="auto"/>
        </w:rPr>
      </w:pPr>
    </w:p>
    <w:p>
      <w:pPr>
        <w:ind w:right="2199"/>
        <w:spacing w:after="0" w:line="235" w:lineRule="auto"/>
        <w:rPr>
          <w:sz w:val="20"/>
          <w:szCs w:val="20"/>
          <w:color w:val="auto"/>
        </w:rPr>
      </w:pPr>
      <w:r>
        <w:rPr>
          <w:rFonts w:ascii="Courier New" w:cs="Courier New" w:eastAsia="Courier New" w:hAnsi="Courier New"/>
          <w:sz w:val="18"/>
          <w:szCs w:val="18"/>
          <w:color w:val="auto"/>
        </w:rPr>
        <w:t>Indicate the number of shares outstanding of each of the issuer's classes of common stock, as of the latest practicable date.</w:t>
      </w:r>
    </w:p>
    <w:p>
      <w:pPr>
        <w:sectPr>
          <w:pgSz w:w="11900" w:h="16838" w:orient="portrait"/>
          <w:cols w:equalWidth="0" w:num="1">
            <w:col w:w="10219"/>
          </w:cols>
          <w:pgMar w:left="240" w:top="649" w:right="1440" w:bottom="1440" w:gutter="0" w:footer="0" w:header="0"/>
          <w:type w:val="continuous"/>
        </w:sectPr>
      </w:pPr>
    </w:p>
    <w:p>
      <w:pPr>
        <w:spacing w:after="0" w:line="203" w:lineRule="exact"/>
        <w:rPr>
          <w:sz w:val="24"/>
          <w:szCs w:val="24"/>
          <w:color w:val="auto"/>
        </w:rPr>
      </w:pPr>
    </w:p>
    <w:p>
      <w:pPr>
        <w:ind w:left="1580"/>
        <w:spacing w:after="0"/>
        <w:rPr>
          <w:sz w:val="20"/>
          <w:szCs w:val="20"/>
          <w:color w:val="auto"/>
        </w:rPr>
      </w:pPr>
      <w:r>
        <w:rPr>
          <w:rFonts w:ascii="Courier New" w:cs="Courier New" w:eastAsia="Courier New" w:hAnsi="Courier New"/>
          <w:sz w:val="18"/>
          <w:szCs w:val="18"/>
          <w:color w:val="auto"/>
        </w:rPr>
        <w:t>Class</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Common Stock, par value $.05 per share</w:t>
      </w:r>
    </w:p>
    <w:p>
      <w:pPr>
        <w:spacing w:after="0" w:line="20" w:lineRule="exact"/>
        <w:rPr>
          <w:sz w:val="24"/>
          <w:szCs w:val="24"/>
          <w:color w:val="auto"/>
        </w:rPr>
      </w:pPr>
      <w:r>
        <w:rPr>
          <w:sz w:val="24"/>
          <w:szCs w:val="24"/>
          <w:color w:val="auto"/>
        </w:rPr>
        <w:br w:type="column"/>
      </w:r>
    </w:p>
    <w:p>
      <w:pPr>
        <w:spacing w:after="0" w:line="18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Outstanding at August 12, 1998</w:t>
      </w:r>
    </w:p>
    <w:p>
      <w:pPr>
        <w:spacing w:after="0" w:line="4" w:lineRule="exact"/>
        <w:rPr>
          <w:sz w:val="24"/>
          <w:szCs w:val="24"/>
          <w:color w:val="auto"/>
        </w:rPr>
      </w:pPr>
    </w:p>
    <w:p>
      <w:pPr>
        <w:ind w:left="20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4"/>
          <w:szCs w:val="24"/>
          <w:color w:val="auto"/>
        </w:rPr>
      </w:pPr>
    </w:p>
    <w:p>
      <w:pPr>
        <w:ind w:left="1160"/>
        <w:spacing w:after="0"/>
        <w:rPr>
          <w:sz w:val="20"/>
          <w:szCs w:val="20"/>
          <w:color w:val="auto"/>
        </w:rPr>
      </w:pPr>
      <w:r>
        <w:rPr>
          <w:rFonts w:ascii="Courier New" w:cs="Courier New" w:eastAsia="Courier New" w:hAnsi="Courier New"/>
          <w:sz w:val="18"/>
          <w:szCs w:val="18"/>
          <w:color w:val="auto"/>
        </w:rPr>
        <w:t>11,603,895</w:t>
      </w:r>
    </w:p>
    <w:p>
      <w:pPr>
        <w:sectPr>
          <w:pgSz w:w="11900" w:h="16838" w:orient="portrait"/>
          <w:cols w:equalWidth="0" w:num="2">
            <w:col w:w="4560" w:space="720"/>
            <w:col w:w="4939"/>
          </w:cols>
          <w:pgMar w:left="240" w:top="649" w:right="1440"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04"/>
        </w:trPr>
        <w:tc>
          <w:tcPr>
            <w:tcW w:w="960" w:type="dxa"/>
            <w:vAlign w:val="bottom"/>
          </w:tcPr>
          <w:p>
            <w:pPr>
              <w:spacing w:after="0"/>
              <w:rPr>
                <w:sz w:val="17"/>
                <w:szCs w:val="17"/>
                <w:color w:val="auto"/>
              </w:rPr>
            </w:pPr>
          </w:p>
        </w:tc>
        <w:tc>
          <w:tcPr>
            <w:tcW w:w="6520" w:type="dxa"/>
            <w:vAlign w:val="bottom"/>
          </w:tcPr>
          <w:p>
            <w:pPr>
              <w:ind w:left="1480"/>
              <w:spacing w:after="0"/>
              <w:rPr>
                <w:sz w:val="20"/>
                <w:szCs w:val="20"/>
                <w:color w:val="auto"/>
              </w:rPr>
            </w:pPr>
            <w:r>
              <w:rPr>
                <w:rFonts w:ascii="Courier New" w:cs="Courier New" w:eastAsia="Courier New" w:hAnsi="Courier New"/>
                <w:sz w:val="18"/>
                <w:szCs w:val="18"/>
                <w:color w:val="auto"/>
              </w:rPr>
              <w:t>HAWKINS CHEMICAL, INC. AND SUBSIDIARY</w:t>
            </w:r>
          </w:p>
        </w:tc>
        <w:tc>
          <w:tcPr>
            <w:tcW w:w="860" w:type="dxa"/>
            <w:vAlign w:val="bottom"/>
          </w:tcPr>
          <w:p>
            <w:pPr>
              <w:spacing w:after="0"/>
              <w:rPr>
                <w:sz w:val="17"/>
                <w:szCs w:val="17"/>
                <w:color w:val="auto"/>
              </w:rPr>
            </w:pPr>
          </w:p>
        </w:tc>
      </w:tr>
      <w:tr>
        <w:trPr>
          <w:trHeight w:val="405"/>
        </w:trPr>
        <w:tc>
          <w:tcPr>
            <w:tcW w:w="960" w:type="dxa"/>
            <w:vAlign w:val="bottom"/>
          </w:tcPr>
          <w:p>
            <w:pPr>
              <w:spacing w:after="0"/>
              <w:rPr>
                <w:sz w:val="24"/>
                <w:szCs w:val="24"/>
                <w:color w:val="auto"/>
              </w:rPr>
            </w:pPr>
          </w:p>
        </w:tc>
        <w:tc>
          <w:tcPr>
            <w:tcW w:w="6520" w:type="dxa"/>
            <w:vAlign w:val="bottom"/>
          </w:tcPr>
          <w:p>
            <w:pPr>
              <w:ind w:left="2520"/>
              <w:spacing w:after="0"/>
              <w:rPr>
                <w:sz w:val="20"/>
                <w:szCs w:val="20"/>
                <w:color w:val="auto"/>
              </w:rPr>
            </w:pPr>
            <w:r>
              <w:rPr>
                <w:rFonts w:ascii="Courier New" w:cs="Courier New" w:eastAsia="Courier New" w:hAnsi="Courier New"/>
                <w:sz w:val="18"/>
                <w:szCs w:val="18"/>
                <w:color w:val="auto"/>
              </w:rPr>
              <w:t>INDEX TO FORM 10-Q</w:t>
            </w:r>
          </w:p>
        </w:tc>
        <w:tc>
          <w:tcPr>
            <w:tcW w:w="860" w:type="dxa"/>
            <w:vAlign w:val="bottom"/>
          </w:tcPr>
          <w:p>
            <w:pPr>
              <w:spacing w:after="0"/>
              <w:rPr>
                <w:sz w:val="24"/>
                <w:szCs w:val="24"/>
                <w:color w:val="auto"/>
              </w:rPr>
            </w:pPr>
          </w:p>
        </w:tc>
      </w:tr>
      <w:tr>
        <w:trPr>
          <w:trHeight w:val="810"/>
        </w:trPr>
        <w:tc>
          <w:tcPr>
            <w:tcW w:w="960" w:type="dxa"/>
            <w:vAlign w:val="bottom"/>
          </w:tcPr>
          <w:p>
            <w:pPr>
              <w:spacing w:after="0"/>
              <w:rPr>
                <w:sz w:val="24"/>
                <w:szCs w:val="24"/>
                <w:color w:val="auto"/>
              </w:rPr>
            </w:pPr>
          </w:p>
        </w:tc>
        <w:tc>
          <w:tcPr>
            <w:tcW w:w="652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8"/>
                <w:szCs w:val="18"/>
                <w:color w:val="auto"/>
                <w:w w:val="97"/>
              </w:rPr>
              <w:t>Page No.</w:t>
            </w:r>
          </w:p>
        </w:tc>
      </w:tr>
      <w:tr>
        <w:trPr>
          <w:trHeight w:val="203"/>
        </w:trPr>
        <w:tc>
          <w:tcPr>
            <w:tcW w:w="960" w:type="dxa"/>
            <w:vAlign w:val="bottom"/>
          </w:tcPr>
          <w:p>
            <w:pPr>
              <w:spacing w:after="0"/>
              <w:rPr>
                <w:sz w:val="17"/>
                <w:szCs w:val="17"/>
                <w:color w:val="auto"/>
              </w:rPr>
            </w:pPr>
          </w:p>
        </w:tc>
        <w:tc>
          <w:tcPr>
            <w:tcW w:w="6520" w:type="dxa"/>
            <w:vAlign w:val="bottom"/>
          </w:tcPr>
          <w:p>
            <w:pPr>
              <w:spacing w:after="0"/>
              <w:rPr>
                <w:sz w:val="17"/>
                <w:szCs w:val="17"/>
                <w:color w:val="auto"/>
              </w:rPr>
            </w:pPr>
          </w:p>
        </w:tc>
        <w:tc>
          <w:tcPr>
            <w:tcW w:w="8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405"/>
        </w:trPr>
        <w:tc>
          <w:tcPr>
            <w:tcW w:w="960" w:type="dxa"/>
            <w:vAlign w:val="bottom"/>
          </w:tcPr>
          <w:p>
            <w:pPr>
              <w:spacing w:after="0"/>
              <w:rPr>
                <w:sz w:val="20"/>
                <w:szCs w:val="20"/>
                <w:color w:val="auto"/>
              </w:rPr>
            </w:pPr>
            <w:r>
              <w:rPr>
                <w:rFonts w:ascii="Courier New" w:cs="Courier New" w:eastAsia="Courier New" w:hAnsi="Courier New"/>
                <w:sz w:val="18"/>
                <w:szCs w:val="18"/>
                <w:color w:val="auto"/>
              </w:rPr>
              <w:t>PART  I.</w:t>
            </w:r>
          </w:p>
        </w:tc>
        <w:tc>
          <w:tcPr>
            <w:tcW w:w="6520" w:type="dxa"/>
            <w:vAlign w:val="bottom"/>
          </w:tcPr>
          <w:p>
            <w:pPr>
              <w:ind w:left="100"/>
              <w:spacing w:after="0"/>
              <w:rPr>
                <w:sz w:val="20"/>
                <w:szCs w:val="20"/>
                <w:color w:val="auto"/>
              </w:rPr>
            </w:pPr>
            <w:r>
              <w:rPr>
                <w:rFonts w:ascii="Courier New" w:cs="Courier New" w:eastAsia="Courier New" w:hAnsi="Courier New"/>
                <w:sz w:val="18"/>
                <w:szCs w:val="18"/>
                <w:color w:val="auto"/>
              </w:rPr>
              <w:t>FINANCIAL INFORMATION</w:t>
            </w:r>
          </w:p>
        </w:tc>
        <w:tc>
          <w:tcPr>
            <w:tcW w:w="860" w:type="dxa"/>
            <w:vAlign w:val="bottom"/>
          </w:tcPr>
          <w:p>
            <w:pPr>
              <w:spacing w:after="0"/>
              <w:rPr>
                <w:sz w:val="24"/>
                <w:szCs w:val="24"/>
                <w:color w:val="auto"/>
              </w:rPr>
            </w:pPr>
          </w:p>
        </w:tc>
      </w:tr>
      <w:tr>
        <w:trPr>
          <w:trHeight w:val="405"/>
        </w:trPr>
        <w:tc>
          <w:tcPr>
            <w:tcW w:w="960" w:type="dxa"/>
            <w:vAlign w:val="bottom"/>
          </w:tcPr>
          <w:p>
            <w:pPr>
              <w:spacing w:after="0"/>
              <w:rPr>
                <w:sz w:val="20"/>
                <w:szCs w:val="20"/>
                <w:color w:val="auto"/>
              </w:rPr>
            </w:pPr>
            <w:r>
              <w:rPr>
                <w:rFonts w:ascii="Courier New" w:cs="Courier New" w:eastAsia="Courier New" w:hAnsi="Courier New"/>
                <w:sz w:val="18"/>
                <w:szCs w:val="18"/>
                <w:color w:val="auto"/>
              </w:rPr>
              <w:t>Item 1.</w:t>
            </w:r>
          </w:p>
        </w:tc>
        <w:tc>
          <w:tcPr>
            <w:tcW w:w="6520" w:type="dxa"/>
            <w:vAlign w:val="bottom"/>
          </w:tcPr>
          <w:p>
            <w:pPr>
              <w:ind w:left="100"/>
              <w:spacing w:after="0"/>
              <w:rPr>
                <w:sz w:val="20"/>
                <w:szCs w:val="20"/>
                <w:color w:val="auto"/>
              </w:rPr>
            </w:pPr>
            <w:r>
              <w:rPr>
                <w:rFonts w:ascii="Courier New" w:cs="Courier New" w:eastAsia="Courier New" w:hAnsi="Courier New"/>
                <w:sz w:val="18"/>
                <w:szCs w:val="18"/>
                <w:color w:val="auto"/>
              </w:rPr>
              <w:t>Financial Statements:</w:t>
            </w:r>
          </w:p>
        </w:tc>
        <w:tc>
          <w:tcPr>
            <w:tcW w:w="860" w:type="dxa"/>
            <w:vAlign w:val="bottom"/>
          </w:tcPr>
          <w:p>
            <w:pPr>
              <w:spacing w:after="0"/>
              <w:rPr>
                <w:sz w:val="24"/>
                <w:szCs w:val="24"/>
                <w:color w:val="auto"/>
              </w:rPr>
            </w:pPr>
          </w:p>
        </w:tc>
      </w:tr>
      <w:tr>
        <w:trPr>
          <w:trHeight w:val="405"/>
        </w:trPr>
        <w:tc>
          <w:tcPr>
            <w:tcW w:w="960" w:type="dxa"/>
            <w:vAlign w:val="bottom"/>
          </w:tcPr>
          <w:p>
            <w:pPr>
              <w:spacing w:after="0"/>
              <w:rPr>
                <w:sz w:val="24"/>
                <w:szCs w:val="24"/>
                <w:color w:val="auto"/>
              </w:rPr>
            </w:pPr>
          </w:p>
        </w:tc>
        <w:tc>
          <w:tcPr>
            <w:tcW w:w="6520" w:type="dxa"/>
            <w:vAlign w:val="bottom"/>
          </w:tcPr>
          <w:p>
            <w:pPr>
              <w:ind w:left="100"/>
              <w:spacing w:after="0"/>
              <w:rPr>
                <w:sz w:val="20"/>
                <w:szCs w:val="20"/>
                <w:color w:val="auto"/>
              </w:rPr>
            </w:pPr>
            <w:r>
              <w:rPr>
                <w:rFonts w:ascii="Courier New" w:cs="Courier New" w:eastAsia="Courier New" w:hAnsi="Courier New"/>
                <w:sz w:val="18"/>
                <w:szCs w:val="18"/>
                <w:color w:val="auto"/>
              </w:rPr>
              <w:t>Consolidated Condensed Balance Sheets - June 30, 1998 and</w:t>
            </w:r>
          </w:p>
        </w:tc>
        <w:tc>
          <w:tcPr>
            <w:tcW w:w="860" w:type="dxa"/>
            <w:vAlign w:val="bottom"/>
          </w:tcPr>
          <w:p>
            <w:pPr>
              <w:spacing w:after="0"/>
              <w:rPr>
                <w:sz w:val="24"/>
                <w:szCs w:val="24"/>
                <w:color w:val="auto"/>
              </w:rPr>
            </w:pPr>
          </w:p>
        </w:tc>
      </w:tr>
      <w:tr>
        <w:trPr>
          <w:trHeight w:val="203"/>
        </w:trPr>
        <w:tc>
          <w:tcPr>
            <w:tcW w:w="960" w:type="dxa"/>
            <w:vAlign w:val="bottom"/>
          </w:tcPr>
          <w:p>
            <w:pPr>
              <w:spacing w:after="0"/>
              <w:rPr>
                <w:sz w:val="17"/>
                <w:szCs w:val="17"/>
                <w:color w:val="auto"/>
              </w:rPr>
            </w:pPr>
          </w:p>
        </w:tc>
        <w:tc>
          <w:tcPr>
            <w:tcW w:w="652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w w:val="96"/>
              </w:rPr>
              <w:t>September 28, 1997.........................................</w:t>
            </w:r>
          </w:p>
        </w:tc>
        <w:tc>
          <w:tcPr>
            <w:tcW w:w="8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3</w:t>
            </w:r>
          </w:p>
        </w:tc>
      </w:tr>
      <w:tr>
        <w:trPr>
          <w:trHeight w:val="203"/>
        </w:trPr>
        <w:tc>
          <w:tcPr>
            <w:tcW w:w="960" w:type="dxa"/>
            <w:vAlign w:val="bottom"/>
          </w:tcPr>
          <w:p>
            <w:pPr>
              <w:spacing w:after="0"/>
              <w:rPr>
                <w:sz w:val="17"/>
                <w:szCs w:val="17"/>
                <w:color w:val="auto"/>
              </w:rPr>
            </w:pPr>
          </w:p>
        </w:tc>
        <w:tc>
          <w:tcPr>
            <w:tcW w:w="65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Consolidated Condensed Statements of Income - Three Months</w:t>
            </w:r>
          </w:p>
        </w:tc>
        <w:tc>
          <w:tcPr>
            <w:tcW w:w="860" w:type="dxa"/>
            <w:vAlign w:val="bottom"/>
          </w:tcPr>
          <w:p>
            <w:pPr>
              <w:spacing w:after="0"/>
              <w:rPr>
                <w:sz w:val="17"/>
                <w:szCs w:val="17"/>
                <w:color w:val="auto"/>
              </w:rPr>
            </w:pPr>
          </w:p>
        </w:tc>
      </w:tr>
      <w:tr>
        <w:trPr>
          <w:trHeight w:val="203"/>
        </w:trPr>
        <w:tc>
          <w:tcPr>
            <w:tcW w:w="960" w:type="dxa"/>
            <w:vAlign w:val="bottom"/>
          </w:tcPr>
          <w:p>
            <w:pPr>
              <w:spacing w:after="0"/>
              <w:rPr>
                <w:sz w:val="17"/>
                <w:szCs w:val="17"/>
                <w:color w:val="auto"/>
              </w:rPr>
            </w:pPr>
          </w:p>
        </w:tc>
        <w:tc>
          <w:tcPr>
            <w:tcW w:w="652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w w:val="96"/>
              </w:rPr>
              <w:t>and Nine Months Ended June 30, 1998 and 1997...............</w:t>
            </w:r>
          </w:p>
        </w:tc>
        <w:tc>
          <w:tcPr>
            <w:tcW w:w="8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4</w:t>
            </w:r>
          </w:p>
        </w:tc>
      </w:tr>
      <w:tr>
        <w:trPr>
          <w:trHeight w:val="203"/>
        </w:trPr>
        <w:tc>
          <w:tcPr>
            <w:tcW w:w="960" w:type="dxa"/>
            <w:vAlign w:val="bottom"/>
          </w:tcPr>
          <w:p>
            <w:pPr>
              <w:spacing w:after="0"/>
              <w:rPr>
                <w:sz w:val="17"/>
                <w:szCs w:val="17"/>
                <w:color w:val="auto"/>
              </w:rPr>
            </w:pPr>
          </w:p>
        </w:tc>
        <w:tc>
          <w:tcPr>
            <w:tcW w:w="65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98"/>
              </w:rPr>
              <w:t>Consolidated Condensed Statements of Cash Flow - Nine Months</w:t>
            </w:r>
          </w:p>
        </w:tc>
        <w:tc>
          <w:tcPr>
            <w:tcW w:w="860" w:type="dxa"/>
            <w:vAlign w:val="bottom"/>
          </w:tcPr>
          <w:p>
            <w:pPr>
              <w:spacing w:after="0"/>
              <w:rPr>
                <w:sz w:val="17"/>
                <w:szCs w:val="17"/>
                <w:color w:val="auto"/>
              </w:rPr>
            </w:pPr>
          </w:p>
        </w:tc>
      </w:tr>
      <w:tr>
        <w:trPr>
          <w:trHeight w:val="203"/>
        </w:trPr>
        <w:tc>
          <w:tcPr>
            <w:tcW w:w="960" w:type="dxa"/>
            <w:vAlign w:val="bottom"/>
          </w:tcPr>
          <w:p>
            <w:pPr>
              <w:spacing w:after="0"/>
              <w:rPr>
                <w:sz w:val="17"/>
                <w:szCs w:val="17"/>
                <w:color w:val="auto"/>
              </w:rPr>
            </w:pPr>
          </w:p>
        </w:tc>
        <w:tc>
          <w:tcPr>
            <w:tcW w:w="652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w w:val="96"/>
              </w:rPr>
              <w:t>Ended June 30, 1998 and 1997...............................</w:t>
            </w:r>
          </w:p>
        </w:tc>
        <w:tc>
          <w:tcPr>
            <w:tcW w:w="8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5</w:t>
            </w:r>
          </w:p>
        </w:tc>
      </w:tr>
      <w:tr>
        <w:trPr>
          <w:trHeight w:val="203"/>
        </w:trPr>
        <w:tc>
          <w:tcPr>
            <w:tcW w:w="960" w:type="dxa"/>
            <w:vAlign w:val="bottom"/>
          </w:tcPr>
          <w:p>
            <w:pPr>
              <w:spacing w:after="0"/>
              <w:rPr>
                <w:sz w:val="17"/>
                <w:szCs w:val="17"/>
                <w:color w:val="auto"/>
              </w:rPr>
            </w:pPr>
          </w:p>
        </w:tc>
        <w:tc>
          <w:tcPr>
            <w:tcW w:w="65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97"/>
              </w:rPr>
              <w:t>Notes to Consolidated Condensed Financial Statements.........</w:t>
            </w:r>
          </w:p>
        </w:tc>
        <w:tc>
          <w:tcPr>
            <w:tcW w:w="8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6</w:t>
            </w:r>
          </w:p>
        </w:tc>
      </w:tr>
      <w:tr>
        <w:trPr>
          <w:trHeight w:val="405"/>
        </w:trPr>
        <w:tc>
          <w:tcPr>
            <w:tcW w:w="960" w:type="dxa"/>
            <w:vAlign w:val="bottom"/>
          </w:tcPr>
          <w:p>
            <w:pPr>
              <w:spacing w:after="0"/>
              <w:rPr>
                <w:sz w:val="20"/>
                <w:szCs w:val="20"/>
                <w:color w:val="auto"/>
              </w:rPr>
            </w:pPr>
            <w:r>
              <w:rPr>
                <w:rFonts w:ascii="Courier New" w:cs="Courier New" w:eastAsia="Courier New" w:hAnsi="Courier New"/>
                <w:sz w:val="18"/>
                <w:szCs w:val="18"/>
                <w:color w:val="auto"/>
              </w:rPr>
              <w:t>Item 2.</w:t>
            </w:r>
          </w:p>
        </w:tc>
        <w:tc>
          <w:tcPr>
            <w:tcW w:w="6520" w:type="dxa"/>
            <w:vAlign w:val="bottom"/>
          </w:tcPr>
          <w:p>
            <w:pPr>
              <w:ind w:left="100"/>
              <w:spacing w:after="0"/>
              <w:rPr>
                <w:sz w:val="20"/>
                <w:szCs w:val="20"/>
                <w:color w:val="auto"/>
              </w:rPr>
            </w:pPr>
            <w:r>
              <w:rPr>
                <w:rFonts w:ascii="Courier New" w:cs="Courier New" w:eastAsia="Courier New" w:hAnsi="Courier New"/>
                <w:sz w:val="18"/>
                <w:szCs w:val="18"/>
                <w:color w:val="auto"/>
              </w:rPr>
              <w:t>Management's Discussion and Analysis of Financial Condition</w:t>
            </w:r>
          </w:p>
        </w:tc>
        <w:tc>
          <w:tcPr>
            <w:tcW w:w="860" w:type="dxa"/>
            <w:vAlign w:val="bottom"/>
          </w:tcPr>
          <w:p>
            <w:pPr>
              <w:spacing w:after="0"/>
              <w:rPr>
                <w:sz w:val="24"/>
                <w:szCs w:val="24"/>
                <w:color w:val="auto"/>
              </w:rPr>
            </w:pPr>
          </w:p>
        </w:tc>
      </w:tr>
      <w:tr>
        <w:trPr>
          <w:trHeight w:val="203"/>
        </w:trPr>
        <w:tc>
          <w:tcPr>
            <w:tcW w:w="960" w:type="dxa"/>
            <w:vAlign w:val="bottom"/>
          </w:tcPr>
          <w:p>
            <w:pPr>
              <w:spacing w:after="0"/>
              <w:rPr>
                <w:sz w:val="17"/>
                <w:szCs w:val="17"/>
                <w:color w:val="auto"/>
              </w:rPr>
            </w:pPr>
          </w:p>
        </w:tc>
        <w:tc>
          <w:tcPr>
            <w:tcW w:w="652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w w:val="96"/>
              </w:rPr>
              <w:t>and Results of Operations..................................</w:t>
            </w:r>
          </w:p>
        </w:tc>
        <w:tc>
          <w:tcPr>
            <w:tcW w:w="8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7-9</w:t>
            </w:r>
          </w:p>
        </w:tc>
      </w:tr>
      <w:tr>
        <w:trPr>
          <w:trHeight w:val="405"/>
        </w:trPr>
        <w:tc>
          <w:tcPr>
            <w:tcW w:w="960" w:type="dxa"/>
            <w:vAlign w:val="bottom"/>
          </w:tcPr>
          <w:p>
            <w:pPr>
              <w:spacing w:after="0"/>
              <w:rPr>
                <w:sz w:val="20"/>
                <w:szCs w:val="20"/>
                <w:color w:val="auto"/>
              </w:rPr>
            </w:pPr>
            <w:r>
              <w:rPr>
                <w:rFonts w:ascii="Courier New" w:cs="Courier New" w:eastAsia="Courier New" w:hAnsi="Courier New"/>
                <w:sz w:val="18"/>
                <w:szCs w:val="18"/>
                <w:color w:val="auto"/>
              </w:rPr>
              <w:t>PART II.</w:t>
            </w:r>
          </w:p>
        </w:tc>
        <w:tc>
          <w:tcPr>
            <w:tcW w:w="6520" w:type="dxa"/>
            <w:vAlign w:val="bottom"/>
          </w:tcPr>
          <w:p>
            <w:pPr>
              <w:ind w:left="100"/>
              <w:spacing w:after="0"/>
              <w:rPr>
                <w:sz w:val="20"/>
                <w:szCs w:val="20"/>
                <w:color w:val="auto"/>
              </w:rPr>
            </w:pPr>
            <w:r>
              <w:rPr>
                <w:rFonts w:ascii="Courier New" w:cs="Courier New" w:eastAsia="Courier New" w:hAnsi="Courier New"/>
                <w:sz w:val="18"/>
                <w:szCs w:val="18"/>
                <w:color w:val="auto"/>
              </w:rPr>
              <w:t>OTHER INFORMATION</w:t>
            </w:r>
          </w:p>
        </w:tc>
        <w:tc>
          <w:tcPr>
            <w:tcW w:w="860" w:type="dxa"/>
            <w:vAlign w:val="bottom"/>
          </w:tcPr>
          <w:p>
            <w:pPr>
              <w:spacing w:after="0"/>
              <w:rPr>
                <w:sz w:val="24"/>
                <w:szCs w:val="24"/>
                <w:color w:val="auto"/>
              </w:rPr>
            </w:pPr>
          </w:p>
        </w:tc>
      </w:tr>
      <w:tr>
        <w:trPr>
          <w:trHeight w:val="405"/>
        </w:trPr>
        <w:tc>
          <w:tcPr>
            <w:tcW w:w="960" w:type="dxa"/>
            <w:vAlign w:val="bottom"/>
          </w:tcPr>
          <w:p>
            <w:pPr>
              <w:spacing w:after="0"/>
              <w:rPr>
                <w:sz w:val="20"/>
                <w:szCs w:val="20"/>
                <w:color w:val="auto"/>
              </w:rPr>
            </w:pPr>
            <w:r>
              <w:rPr>
                <w:rFonts w:ascii="Courier New" w:cs="Courier New" w:eastAsia="Courier New" w:hAnsi="Courier New"/>
                <w:sz w:val="18"/>
                <w:szCs w:val="18"/>
                <w:color w:val="auto"/>
              </w:rPr>
              <w:t>Item 1.</w:t>
            </w:r>
          </w:p>
        </w:tc>
        <w:tc>
          <w:tcPr>
            <w:tcW w:w="6520" w:type="dxa"/>
            <w:vAlign w:val="bottom"/>
          </w:tcPr>
          <w:p>
            <w:pPr>
              <w:ind w:left="100"/>
              <w:spacing w:after="0"/>
              <w:rPr>
                <w:sz w:val="20"/>
                <w:szCs w:val="20"/>
                <w:color w:val="auto"/>
              </w:rPr>
            </w:pPr>
            <w:r>
              <w:rPr>
                <w:rFonts w:ascii="Courier New" w:cs="Courier New" w:eastAsia="Courier New" w:hAnsi="Courier New"/>
                <w:sz w:val="18"/>
                <w:szCs w:val="18"/>
                <w:color w:val="auto"/>
                <w:w w:val="97"/>
              </w:rPr>
              <w:t>Legal Proceedings............................................</w:t>
            </w:r>
          </w:p>
        </w:tc>
        <w:tc>
          <w:tcPr>
            <w:tcW w:w="86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10</w:t>
            </w:r>
          </w:p>
        </w:tc>
      </w:tr>
      <w:tr>
        <w:trPr>
          <w:trHeight w:val="405"/>
        </w:trPr>
        <w:tc>
          <w:tcPr>
            <w:tcW w:w="960" w:type="dxa"/>
            <w:vAlign w:val="bottom"/>
          </w:tcPr>
          <w:p>
            <w:pPr>
              <w:spacing w:after="0"/>
              <w:rPr>
                <w:sz w:val="20"/>
                <w:szCs w:val="20"/>
                <w:color w:val="auto"/>
              </w:rPr>
            </w:pPr>
            <w:r>
              <w:rPr>
                <w:rFonts w:ascii="Courier New" w:cs="Courier New" w:eastAsia="Courier New" w:hAnsi="Courier New"/>
                <w:sz w:val="18"/>
                <w:szCs w:val="18"/>
                <w:color w:val="auto"/>
              </w:rPr>
              <w:t>Item 6.</w:t>
            </w:r>
          </w:p>
        </w:tc>
        <w:tc>
          <w:tcPr>
            <w:tcW w:w="6520" w:type="dxa"/>
            <w:vAlign w:val="bottom"/>
          </w:tcPr>
          <w:p>
            <w:pPr>
              <w:ind w:left="100"/>
              <w:spacing w:after="0"/>
              <w:rPr>
                <w:sz w:val="20"/>
                <w:szCs w:val="20"/>
                <w:color w:val="auto"/>
              </w:rPr>
            </w:pPr>
            <w:r>
              <w:rPr>
                <w:rFonts w:ascii="Courier New" w:cs="Courier New" w:eastAsia="Courier New" w:hAnsi="Courier New"/>
                <w:sz w:val="18"/>
                <w:szCs w:val="18"/>
                <w:color w:val="auto"/>
                <w:w w:val="97"/>
              </w:rPr>
              <w:t>Exhibits and Reports on Form 8-K.............................</w:t>
            </w:r>
          </w:p>
        </w:tc>
        <w:tc>
          <w:tcPr>
            <w:tcW w:w="86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10</w:t>
            </w:r>
          </w:p>
        </w:tc>
      </w:tr>
      <w:tr>
        <w:trPr>
          <w:trHeight w:val="405"/>
        </w:trPr>
        <w:tc>
          <w:tcPr>
            <w:tcW w:w="960" w:type="dxa"/>
            <w:vAlign w:val="bottom"/>
          </w:tcPr>
          <w:p>
            <w:pPr>
              <w:spacing w:after="0"/>
              <w:rPr>
                <w:sz w:val="24"/>
                <w:szCs w:val="24"/>
                <w:color w:val="auto"/>
              </w:rPr>
            </w:pPr>
          </w:p>
        </w:tc>
        <w:tc>
          <w:tcPr>
            <w:tcW w:w="6520" w:type="dxa"/>
            <w:vAlign w:val="bottom"/>
          </w:tcPr>
          <w:p>
            <w:pPr>
              <w:ind w:left="100"/>
              <w:spacing w:after="0"/>
              <w:rPr>
                <w:sz w:val="20"/>
                <w:szCs w:val="20"/>
                <w:color w:val="auto"/>
              </w:rPr>
            </w:pPr>
            <w:r>
              <w:rPr>
                <w:rFonts w:ascii="Courier New" w:cs="Courier New" w:eastAsia="Courier New" w:hAnsi="Courier New"/>
                <w:sz w:val="18"/>
                <w:szCs w:val="18"/>
                <w:color w:val="auto"/>
                <w:w w:val="97"/>
              </w:rPr>
              <w:t>Exhibit Index................................................</w:t>
            </w:r>
          </w:p>
        </w:tc>
        <w:tc>
          <w:tcPr>
            <w:tcW w:w="86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11</w:t>
            </w:r>
          </w:p>
        </w:tc>
      </w:tr>
      <w:tr>
        <w:trPr>
          <w:trHeight w:val="405"/>
        </w:trPr>
        <w:tc>
          <w:tcPr>
            <w:tcW w:w="960" w:type="dxa"/>
            <w:vAlign w:val="bottom"/>
          </w:tcPr>
          <w:p>
            <w:pPr>
              <w:spacing w:after="0"/>
              <w:rPr>
                <w:sz w:val="24"/>
                <w:szCs w:val="24"/>
                <w:color w:val="auto"/>
              </w:rPr>
            </w:pPr>
          </w:p>
        </w:tc>
        <w:tc>
          <w:tcPr>
            <w:tcW w:w="6520" w:type="dxa"/>
            <w:vAlign w:val="bottom"/>
          </w:tcPr>
          <w:p>
            <w:pPr>
              <w:ind w:left="100"/>
              <w:spacing w:after="0"/>
              <w:rPr>
                <w:sz w:val="20"/>
                <w:szCs w:val="20"/>
                <w:color w:val="auto"/>
              </w:rPr>
            </w:pPr>
            <w:r>
              <w:rPr>
                <w:rFonts w:ascii="Courier New" w:cs="Courier New" w:eastAsia="Courier New" w:hAnsi="Courier New"/>
                <w:sz w:val="18"/>
                <w:szCs w:val="18"/>
                <w:color w:val="auto"/>
                <w:w w:val="97"/>
              </w:rPr>
              <w:t>Financial Data Schedule......................................</w:t>
            </w:r>
          </w:p>
        </w:tc>
        <w:tc>
          <w:tcPr>
            <w:tcW w:w="86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12</w:t>
            </w:r>
          </w:p>
        </w:tc>
      </w:tr>
      <w:tr>
        <w:trPr>
          <w:trHeight w:val="608"/>
        </w:trPr>
        <w:tc>
          <w:tcPr>
            <w:tcW w:w="960" w:type="dxa"/>
            <w:vAlign w:val="bottom"/>
          </w:tcPr>
          <w:p>
            <w:pPr>
              <w:spacing w:after="0"/>
              <w:rPr>
                <w:sz w:val="24"/>
                <w:szCs w:val="24"/>
                <w:color w:val="auto"/>
              </w:rPr>
            </w:pPr>
          </w:p>
        </w:tc>
        <w:tc>
          <w:tcPr>
            <w:tcW w:w="6520" w:type="dxa"/>
            <w:vAlign w:val="bottom"/>
          </w:tcPr>
          <w:p>
            <w:pPr>
              <w:ind w:left="3060"/>
              <w:spacing w:after="0"/>
              <w:rPr>
                <w:sz w:val="20"/>
                <w:szCs w:val="20"/>
                <w:color w:val="auto"/>
              </w:rPr>
            </w:pPr>
            <w:r>
              <w:rPr>
                <w:rFonts w:ascii="Courier New" w:cs="Courier New" w:eastAsia="Courier New" w:hAnsi="Courier New"/>
                <w:sz w:val="18"/>
                <w:szCs w:val="18"/>
                <w:color w:val="auto"/>
              </w:rPr>
              <w:t>2</w:t>
            </w:r>
          </w:p>
        </w:tc>
        <w:tc>
          <w:tcPr>
            <w:tcW w:w="860" w:type="dxa"/>
            <w:vAlign w:val="bottom"/>
          </w:tcPr>
          <w:p>
            <w:pPr>
              <w:spacing w:after="0"/>
              <w:rPr>
                <w:sz w:val="24"/>
                <w:szCs w:val="24"/>
                <w:color w:val="auto"/>
              </w:rPr>
            </w:pPr>
          </w:p>
        </w:tc>
      </w:tr>
    </w:tbl>
    <w:p>
      <w:pPr>
        <w:sectPr>
          <w:pgSz w:w="11900" w:h="16838" w:orient="portrait"/>
          <w:cols w:equalWidth="0" w:num="1">
            <w:col w:w="10219"/>
          </w:cols>
          <w:pgMar w:left="240" w:top="717" w:right="1440" w:bottom="1440" w:gutter="0" w:footer="0" w:header="0"/>
        </w:sectPr>
      </w:pPr>
    </w:p>
    <w:bookmarkStart w:id="2" w:name="page3"/>
    <w:bookmarkEnd w:id="2"/>
    <w:p>
      <w:pPr>
        <w:ind w:left="2860"/>
        <w:spacing w:after="0"/>
        <w:tabs>
          <w:tab w:leader="none" w:pos="3780" w:val="left"/>
        </w:tabs>
        <w:rPr>
          <w:sz w:val="20"/>
          <w:szCs w:val="20"/>
          <w:color w:val="auto"/>
        </w:rPr>
      </w:pPr>
      <w:r>
        <w:rPr>
          <w:rFonts w:ascii="Courier New" w:cs="Courier New" w:eastAsia="Courier New" w:hAnsi="Courier New"/>
          <w:sz w:val="18"/>
          <w:szCs w:val="18"/>
          <w:color w:val="auto"/>
        </w:rPr>
        <w:t>PART I.</w:t>
      </w:r>
      <w:r>
        <w:rPr>
          <w:sz w:val="20"/>
          <w:szCs w:val="20"/>
          <w:color w:val="auto"/>
        </w:rPr>
        <w:tab/>
      </w:r>
      <w:r>
        <w:rPr>
          <w:rFonts w:ascii="Courier New" w:cs="Courier New" w:eastAsia="Courier New" w:hAnsi="Courier New"/>
          <w:sz w:val="16"/>
          <w:szCs w:val="16"/>
          <w:color w:val="auto"/>
        </w:rPr>
        <w:t>FINANCIAL INFORMATION</w:t>
      </w:r>
    </w:p>
    <w:p>
      <w:pPr>
        <w:spacing w:after="0" w:line="20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I.</w:t>
      </w:r>
      <w:r>
        <w:rPr>
          <w:sz w:val="20"/>
          <w:szCs w:val="20"/>
          <w:color w:val="auto"/>
        </w:rPr>
        <w:tab/>
      </w:r>
      <w:r>
        <w:rPr>
          <w:rFonts w:ascii="Courier New" w:cs="Courier New" w:eastAsia="Courier New" w:hAnsi="Courier New"/>
          <w:sz w:val="16"/>
          <w:szCs w:val="16"/>
          <w:color w:val="auto"/>
        </w:rPr>
        <w:t>Financial Statements</w:t>
      </w:r>
    </w:p>
    <w:p>
      <w:pPr>
        <w:spacing w:after="0" w:line="201" w:lineRule="exact"/>
        <w:rPr>
          <w:sz w:val="20"/>
          <w:szCs w:val="20"/>
          <w:color w:val="auto"/>
        </w:rPr>
      </w:pPr>
    </w:p>
    <w:p>
      <w:pPr>
        <w:ind w:left="2440"/>
        <w:spacing w:after="0"/>
        <w:rPr>
          <w:sz w:val="20"/>
          <w:szCs w:val="20"/>
          <w:color w:val="auto"/>
        </w:rPr>
      </w:pPr>
      <w:r>
        <w:rPr>
          <w:rFonts w:ascii="Courier New" w:cs="Courier New" w:eastAsia="Courier New" w:hAnsi="Courier New"/>
          <w:sz w:val="18"/>
          <w:szCs w:val="18"/>
          <w:color w:val="auto"/>
        </w:rPr>
        <w:t>HAWKINS CHEMICAL, INC. AND SUBSIDIARY</w:t>
      </w:r>
    </w:p>
    <w:p>
      <w:pPr>
        <w:ind w:left="2440"/>
        <w:spacing w:after="0" w:line="238" w:lineRule="auto"/>
        <w:rPr>
          <w:sz w:val="20"/>
          <w:szCs w:val="20"/>
          <w:color w:val="auto"/>
        </w:rPr>
      </w:pPr>
      <w:r>
        <w:rPr>
          <w:rFonts w:ascii="Courier New" w:cs="Courier New" w:eastAsia="Courier New" w:hAnsi="Courier New"/>
          <w:sz w:val="18"/>
          <w:szCs w:val="18"/>
          <w:color w:val="auto"/>
        </w:rPr>
        <w:t>CONSOLIDATED CONDENSED BALANCE SHEETS</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160" w:type="dxa"/>
            <w:vAlign w:val="bottom"/>
          </w:tcPr>
          <w:p>
            <w:pPr>
              <w:spacing w:after="0"/>
              <w:rPr>
                <w:sz w:val="17"/>
                <w:szCs w:val="17"/>
                <w:color w:val="auto"/>
              </w:rPr>
            </w:pPr>
          </w:p>
        </w:tc>
        <w:tc>
          <w:tcPr>
            <w:tcW w:w="1900" w:type="dxa"/>
            <w:vAlign w:val="bottom"/>
            <w:gridSpan w:val="2"/>
          </w:tcPr>
          <w:p>
            <w:pPr>
              <w:ind w:left="280"/>
              <w:spacing w:after="0"/>
              <w:rPr>
                <w:sz w:val="20"/>
                <w:szCs w:val="20"/>
                <w:color w:val="auto"/>
              </w:rPr>
            </w:pPr>
            <w:r>
              <w:rPr>
                <w:rFonts w:ascii="Courier New" w:cs="Courier New" w:eastAsia="Courier New" w:hAnsi="Courier New"/>
                <w:sz w:val="18"/>
                <w:szCs w:val="18"/>
                <w:color w:val="auto"/>
              </w:rPr>
              <w:t>June 30, 1998</w:t>
            </w:r>
          </w:p>
        </w:tc>
        <w:tc>
          <w:tcPr>
            <w:tcW w:w="270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September 28, 1997</w:t>
            </w:r>
          </w:p>
        </w:tc>
      </w:tr>
      <w:tr>
        <w:trPr>
          <w:trHeight w:val="203"/>
        </w:trPr>
        <w:tc>
          <w:tcPr>
            <w:tcW w:w="4160" w:type="dxa"/>
            <w:vAlign w:val="bottom"/>
          </w:tcPr>
          <w:p>
            <w:pPr>
              <w:spacing w:after="0"/>
              <w:rPr>
                <w:sz w:val="17"/>
                <w:szCs w:val="17"/>
                <w:color w:val="auto"/>
              </w:rPr>
            </w:pPr>
          </w:p>
        </w:tc>
        <w:tc>
          <w:tcPr>
            <w:tcW w:w="190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w w:val="99"/>
              </w:rPr>
              <w:t>----------------</w:t>
            </w:r>
          </w:p>
        </w:tc>
        <w:tc>
          <w:tcPr>
            <w:tcW w:w="2700" w:type="dxa"/>
            <w:vAlign w:val="bottom"/>
          </w:tcPr>
          <w:p>
            <w:pPr>
              <w:jc w:val="center"/>
              <w:ind w:left="172"/>
              <w:spacing w:after="0" w:line="203" w:lineRule="exact"/>
              <w:rPr>
                <w:sz w:val="20"/>
                <w:szCs w:val="20"/>
                <w:color w:val="auto"/>
              </w:rPr>
            </w:pPr>
            <w:r>
              <w:rPr>
                <w:rFonts w:ascii="Courier New" w:cs="Courier New" w:eastAsia="Courier New" w:hAnsi="Courier New"/>
                <w:sz w:val="18"/>
                <w:szCs w:val="18"/>
                <w:color w:val="auto"/>
                <w:w w:val="98"/>
              </w:rPr>
              <w:t>-----------------------</w:t>
            </w:r>
          </w:p>
        </w:tc>
      </w:tr>
      <w:tr>
        <w:trPr>
          <w:trHeight w:val="203"/>
        </w:trPr>
        <w:tc>
          <w:tcPr>
            <w:tcW w:w="41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52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w w:val="95"/>
              </w:rPr>
              <w:t>(Unaudited)</w:t>
            </w:r>
          </w:p>
        </w:tc>
        <w:tc>
          <w:tcPr>
            <w:tcW w:w="2700" w:type="dxa"/>
            <w:vAlign w:val="bottom"/>
          </w:tcPr>
          <w:p>
            <w:pPr>
              <w:jc w:val="center"/>
              <w:ind w:left="172"/>
              <w:spacing w:after="0" w:line="203" w:lineRule="exact"/>
              <w:rPr>
                <w:sz w:val="20"/>
                <w:szCs w:val="20"/>
                <w:color w:val="auto"/>
              </w:rPr>
            </w:pPr>
            <w:r>
              <w:rPr>
                <w:rFonts w:ascii="Courier New" w:cs="Courier New" w:eastAsia="Courier New" w:hAnsi="Courier New"/>
                <w:sz w:val="18"/>
                <w:szCs w:val="18"/>
                <w:color w:val="auto"/>
                <w:w w:val="96"/>
              </w:rPr>
              <w:t>(Derived from audited</w:t>
            </w:r>
          </w:p>
        </w:tc>
      </w:tr>
      <w:tr>
        <w:trPr>
          <w:trHeight w:val="203"/>
        </w:trPr>
        <w:tc>
          <w:tcPr>
            <w:tcW w:w="41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2700" w:type="dxa"/>
            <w:vAlign w:val="bottom"/>
          </w:tcPr>
          <w:p>
            <w:pPr>
              <w:jc w:val="center"/>
              <w:ind w:left="172"/>
              <w:spacing w:after="0" w:line="203" w:lineRule="exact"/>
              <w:rPr>
                <w:sz w:val="20"/>
                <w:szCs w:val="20"/>
                <w:color w:val="auto"/>
              </w:rPr>
            </w:pPr>
            <w:r>
              <w:rPr>
                <w:rFonts w:ascii="Courier New" w:cs="Courier New" w:eastAsia="Courier New" w:hAnsi="Courier New"/>
                <w:sz w:val="18"/>
                <w:szCs w:val="18"/>
                <w:color w:val="auto"/>
                <w:w w:val="96"/>
              </w:rPr>
              <w:t>financial statements)</w:t>
            </w:r>
          </w:p>
        </w:tc>
      </w:tr>
      <w:tr>
        <w:trPr>
          <w:trHeight w:val="405"/>
        </w:trPr>
        <w:tc>
          <w:tcPr>
            <w:tcW w:w="4160" w:type="dxa"/>
            <w:vAlign w:val="bottom"/>
          </w:tcPr>
          <w:p>
            <w:pPr>
              <w:spacing w:after="0"/>
              <w:rPr>
                <w:sz w:val="20"/>
                <w:szCs w:val="20"/>
                <w:color w:val="auto"/>
              </w:rPr>
            </w:pPr>
            <w:r>
              <w:rPr>
                <w:rFonts w:ascii="Courier New" w:cs="Courier New" w:eastAsia="Courier New" w:hAnsi="Courier New"/>
                <w:sz w:val="18"/>
                <w:szCs w:val="18"/>
                <w:color w:val="auto"/>
              </w:rPr>
              <w:t>ASSETS</w:t>
            </w:r>
          </w:p>
        </w:tc>
        <w:tc>
          <w:tcPr>
            <w:tcW w:w="3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2700" w:type="dxa"/>
            <w:vAlign w:val="bottom"/>
          </w:tcPr>
          <w:p>
            <w:pPr>
              <w:spacing w:after="0"/>
              <w:rPr>
                <w:sz w:val="24"/>
                <w:szCs w:val="24"/>
                <w:color w:val="auto"/>
              </w:rPr>
            </w:pPr>
          </w:p>
        </w:tc>
      </w:tr>
      <w:tr>
        <w:trPr>
          <w:trHeight w:val="405"/>
        </w:trPr>
        <w:tc>
          <w:tcPr>
            <w:tcW w:w="4160" w:type="dxa"/>
            <w:vAlign w:val="bottom"/>
          </w:tcPr>
          <w:p>
            <w:pPr>
              <w:spacing w:after="0"/>
              <w:rPr>
                <w:sz w:val="20"/>
                <w:szCs w:val="20"/>
                <w:color w:val="auto"/>
              </w:rPr>
            </w:pPr>
            <w:r>
              <w:rPr>
                <w:rFonts w:ascii="Courier New" w:cs="Courier New" w:eastAsia="Courier New" w:hAnsi="Courier New"/>
                <w:sz w:val="18"/>
                <w:szCs w:val="18"/>
                <w:color w:val="auto"/>
              </w:rPr>
              <w:t>Current assets:</w:t>
            </w:r>
          </w:p>
        </w:tc>
        <w:tc>
          <w:tcPr>
            <w:tcW w:w="3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2700" w:type="dxa"/>
            <w:vAlign w:val="bottom"/>
          </w:tcPr>
          <w:p>
            <w:pPr>
              <w:spacing w:after="0"/>
              <w:rPr>
                <w:sz w:val="24"/>
                <w:szCs w:val="24"/>
                <w:color w:val="auto"/>
              </w:rPr>
            </w:pPr>
          </w:p>
        </w:tc>
      </w:tr>
      <w:tr>
        <w:trPr>
          <w:trHeight w:val="203"/>
        </w:trPr>
        <w:tc>
          <w:tcPr>
            <w:tcW w:w="4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Cash and cash equivalents............</w:t>
            </w:r>
          </w:p>
        </w:tc>
        <w:tc>
          <w:tcPr>
            <w:tcW w:w="380" w:type="dxa"/>
            <w:vAlign w:val="bottom"/>
          </w:tcPr>
          <w:p>
            <w:pPr>
              <w:ind w:left="280"/>
              <w:spacing w:after="0" w:line="203" w:lineRule="exact"/>
              <w:rPr>
                <w:sz w:val="20"/>
                <w:szCs w:val="20"/>
                <w:color w:val="auto"/>
              </w:rPr>
            </w:pPr>
            <w:r>
              <w:rPr>
                <w:rFonts w:ascii="Courier New" w:cs="Courier New" w:eastAsia="Courier New" w:hAnsi="Courier New"/>
                <w:sz w:val="18"/>
                <w:szCs w:val="18"/>
                <w:color w:val="auto"/>
                <w:w w:val="73"/>
              </w:rPr>
              <w:t>$</w:t>
            </w:r>
          </w:p>
        </w:tc>
        <w:tc>
          <w:tcPr>
            <w:tcW w:w="152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3,287,819</w:t>
            </w:r>
          </w:p>
        </w:tc>
        <w:tc>
          <w:tcPr>
            <w:tcW w:w="27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  8,065,021</w:t>
            </w:r>
          </w:p>
        </w:tc>
      </w:tr>
      <w:tr>
        <w:trPr>
          <w:trHeight w:val="203"/>
        </w:trPr>
        <w:tc>
          <w:tcPr>
            <w:tcW w:w="4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Investments available-for-sale.......</w:t>
            </w:r>
          </w:p>
        </w:tc>
        <w:tc>
          <w:tcPr>
            <w:tcW w:w="380" w:type="dxa"/>
            <w:vAlign w:val="bottom"/>
          </w:tcPr>
          <w:p>
            <w:pPr>
              <w:spacing w:after="0"/>
              <w:rPr>
                <w:sz w:val="17"/>
                <w:szCs w:val="17"/>
                <w:color w:val="auto"/>
              </w:rPr>
            </w:pPr>
          </w:p>
        </w:tc>
        <w:tc>
          <w:tcPr>
            <w:tcW w:w="152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14,391,033</w:t>
            </w:r>
          </w:p>
        </w:tc>
        <w:tc>
          <w:tcPr>
            <w:tcW w:w="27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11,980,078</w:t>
            </w:r>
          </w:p>
        </w:tc>
      </w:tr>
      <w:tr>
        <w:trPr>
          <w:trHeight w:val="203"/>
        </w:trPr>
        <w:tc>
          <w:tcPr>
            <w:tcW w:w="4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Trade receivables-net................</w:t>
            </w:r>
          </w:p>
        </w:tc>
        <w:tc>
          <w:tcPr>
            <w:tcW w:w="380" w:type="dxa"/>
            <w:vAlign w:val="bottom"/>
          </w:tcPr>
          <w:p>
            <w:pPr>
              <w:spacing w:after="0"/>
              <w:rPr>
                <w:sz w:val="17"/>
                <w:szCs w:val="17"/>
                <w:color w:val="auto"/>
              </w:rPr>
            </w:pPr>
          </w:p>
        </w:tc>
        <w:tc>
          <w:tcPr>
            <w:tcW w:w="152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11,820,316</w:t>
            </w:r>
          </w:p>
        </w:tc>
        <w:tc>
          <w:tcPr>
            <w:tcW w:w="27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11,117,991</w:t>
            </w:r>
          </w:p>
        </w:tc>
      </w:tr>
      <w:tr>
        <w:trPr>
          <w:trHeight w:val="203"/>
        </w:trPr>
        <w:tc>
          <w:tcPr>
            <w:tcW w:w="4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Notes receivable.....................</w:t>
            </w:r>
          </w:p>
        </w:tc>
        <w:tc>
          <w:tcPr>
            <w:tcW w:w="380" w:type="dxa"/>
            <w:vAlign w:val="bottom"/>
          </w:tcPr>
          <w:p>
            <w:pPr>
              <w:spacing w:after="0"/>
              <w:rPr>
                <w:sz w:val="17"/>
                <w:szCs w:val="17"/>
                <w:color w:val="auto"/>
              </w:rPr>
            </w:pPr>
          </w:p>
        </w:tc>
        <w:tc>
          <w:tcPr>
            <w:tcW w:w="152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263,680</w:t>
            </w:r>
          </w:p>
        </w:tc>
        <w:tc>
          <w:tcPr>
            <w:tcW w:w="27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222,946</w:t>
            </w:r>
          </w:p>
        </w:tc>
      </w:tr>
      <w:tr>
        <w:trPr>
          <w:trHeight w:val="203"/>
        </w:trPr>
        <w:tc>
          <w:tcPr>
            <w:tcW w:w="4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Inventories..........................</w:t>
            </w:r>
          </w:p>
        </w:tc>
        <w:tc>
          <w:tcPr>
            <w:tcW w:w="380" w:type="dxa"/>
            <w:vAlign w:val="bottom"/>
          </w:tcPr>
          <w:p>
            <w:pPr>
              <w:spacing w:after="0"/>
              <w:rPr>
                <w:sz w:val="17"/>
                <w:szCs w:val="17"/>
                <w:color w:val="auto"/>
              </w:rPr>
            </w:pPr>
          </w:p>
        </w:tc>
        <w:tc>
          <w:tcPr>
            <w:tcW w:w="152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9,027,740</w:t>
            </w:r>
          </w:p>
        </w:tc>
        <w:tc>
          <w:tcPr>
            <w:tcW w:w="27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8,580,705</w:t>
            </w:r>
          </w:p>
        </w:tc>
      </w:tr>
      <w:tr>
        <w:trPr>
          <w:trHeight w:val="203"/>
        </w:trPr>
        <w:tc>
          <w:tcPr>
            <w:tcW w:w="4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Other current assets.................</w:t>
            </w:r>
          </w:p>
        </w:tc>
        <w:tc>
          <w:tcPr>
            <w:tcW w:w="380" w:type="dxa"/>
            <w:vAlign w:val="bottom"/>
          </w:tcPr>
          <w:p>
            <w:pPr>
              <w:spacing w:after="0"/>
              <w:rPr>
                <w:sz w:val="17"/>
                <w:szCs w:val="17"/>
                <w:color w:val="auto"/>
              </w:rPr>
            </w:pPr>
          </w:p>
        </w:tc>
        <w:tc>
          <w:tcPr>
            <w:tcW w:w="152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1,927,367</w:t>
            </w:r>
          </w:p>
        </w:tc>
        <w:tc>
          <w:tcPr>
            <w:tcW w:w="27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1,912,325</w:t>
            </w:r>
          </w:p>
        </w:tc>
      </w:tr>
      <w:tr>
        <w:trPr>
          <w:trHeight w:val="203"/>
        </w:trPr>
        <w:tc>
          <w:tcPr>
            <w:tcW w:w="4160" w:type="dxa"/>
            <w:vAlign w:val="bottom"/>
          </w:tcPr>
          <w:p>
            <w:pPr>
              <w:spacing w:after="0"/>
              <w:rPr>
                <w:sz w:val="17"/>
                <w:szCs w:val="17"/>
                <w:color w:val="auto"/>
              </w:rPr>
            </w:pPr>
          </w:p>
        </w:tc>
        <w:tc>
          <w:tcPr>
            <w:tcW w:w="1900" w:type="dxa"/>
            <w:vAlign w:val="bottom"/>
            <w:gridSpan w:val="2"/>
          </w:tcPr>
          <w:p>
            <w:pPr>
              <w:jc w:val="right"/>
              <w:ind w:right="272"/>
              <w:spacing w:after="0" w:line="203" w:lineRule="exact"/>
              <w:rPr>
                <w:sz w:val="20"/>
                <w:szCs w:val="20"/>
                <w:color w:val="auto"/>
              </w:rPr>
            </w:pPr>
            <w:r>
              <w:rPr>
                <w:rFonts w:ascii="Courier New" w:cs="Courier New" w:eastAsia="Courier New" w:hAnsi="Courier New"/>
                <w:sz w:val="18"/>
                <w:szCs w:val="18"/>
                <w:color w:val="auto"/>
              </w:rPr>
              <w:t>------------</w:t>
            </w:r>
          </w:p>
        </w:tc>
        <w:tc>
          <w:tcPr>
            <w:tcW w:w="27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Total current assets..............</w:t>
            </w:r>
          </w:p>
        </w:tc>
        <w:tc>
          <w:tcPr>
            <w:tcW w:w="380" w:type="dxa"/>
            <w:vAlign w:val="bottom"/>
          </w:tcPr>
          <w:p>
            <w:pPr>
              <w:spacing w:after="0"/>
              <w:rPr>
                <w:sz w:val="17"/>
                <w:szCs w:val="17"/>
                <w:color w:val="auto"/>
              </w:rPr>
            </w:pPr>
          </w:p>
        </w:tc>
        <w:tc>
          <w:tcPr>
            <w:tcW w:w="152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40,717,955</w:t>
            </w:r>
          </w:p>
        </w:tc>
        <w:tc>
          <w:tcPr>
            <w:tcW w:w="27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41,879,066</w:t>
            </w:r>
          </w:p>
        </w:tc>
      </w:tr>
      <w:tr>
        <w:trPr>
          <w:trHeight w:val="405"/>
        </w:trPr>
        <w:tc>
          <w:tcPr>
            <w:tcW w:w="4160" w:type="dxa"/>
            <w:vAlign w:val="bottom"/>
          </w:tcPr>
          <w:p>
            <w:pPr>
              <w:jc w:val="right"/>
              <w:spacing w:after="0"/>
              <w:rPr>
                <w:sz w:val="20"/>
                <w:szCs w:val="20"/>
                <w:color w:val="auto"/>
              </w:rPr>
            </w:pPr>
            <w:r>
              <w:rPr>
                <w:rFonts w:ascii="Courier New" w:cs="Courier New" w:eastAsia="Courier New" w:hAnsi="Courier New"/>
                <w:sz w:val="18"/>
                <w:szCs w:val="18"/>
                <w:color w:val="auto"/>
                <w:w w:val="97"/>
              </w:rPr>
              <w:t>Property, plant and equipment-net......</w:t>
            </w:r>
          </w:p>
        </w:tc>
        <w:tc>
          <w:tcPr>
            <w:tcW w:w="380" w:type="dxa"/>
            <w:vAlign w:val="bottom"/>
          </w:tcPr>
          <w:p>
            <w:pPr>
              <w:spacing w:after="0"/>
              <w:rPr>
                <w:sz w:val="24"/>
                <w:szCs w:val="24"/>
                <w:color w:val="auto"/>
              </w:rPr>
            </w:pPr>
          </w:p>
        </w:tc>
        <w:tc>
          <w:tcPr>
            <w:tcW w:w="1520" w:type="dxa"/>
            <w:vAlign w:val="bottom"/>
          </w:tcPr>
          <w:p>
            <w:pPr>
              <w:jc w:val="right"/>
              <w:ind w:right="272"/>
              <w:spacing w:after="0"/>
              <w:rPr>
                <w:sz w:val="20"/>
                <w:szCs w:val="20"/>
                <w:color w:val="auto"/>
              </w:rPr>
            </w:pPr>
            <w:r>
              <w:rPr>
                <w:rFonts w:ascii="Courier New" w:cs="Courier New" w:eastAsia="Courier New" w:hAnsi="Courier New"/>
                <w:sz w:val="18"/>
                <w:szCs w:val="18"/>
                <w:color w:val="auto"/>
              </w:rPr>
              <w:t>18,252,924</w:t>
            </w:r>
          </w:p>
        </w:tc>
        <w:tc>
          <w:tcPr>
            <w:tcW w:w="270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15,487,545</w:t>
            </w:r>
          </w:p>
        </w:tc>
      </w:tr>
      <w:tr>
        <w:trPr>
          <w:trHeight w:val="203"/>
        </w:trPr>
        <w:tc>
          <w:tcPr>
            <w:tcW w:w="4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7"/>
              </w:rPr>
              <w:t>Notes receivable-non current...........</w:t>
            </w:r>
          </w:p>
        </w:tc>
        <w:tc>
          <w:tcPr>
            <w:tcW w:w="380" w:type="dxa"/>
            <w:vAlign w:val="bottom"/>
          </w:tcPr>
          <w:p>
            <w:pPr>
              <w:spacing w:after="0"/>
              <w:rPr>
                <w:sz w:val="17"/>
                <w:szCs w:val="17"/>
                <w:color w:val="auto"/>
              </w:rPr>
            </w:pPr>
          </w:p>
        </w:tc>
        <w:tc>
          <w:tcPr>
            <w:tcW w:w="152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3,364,335</w:t>
            </w:r>
          </w:p>
        </w:tc>
        <w:tc>
          <w:tcPr>
            <w:tcW w:w="27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3,639,712</w:t>
            </w:r>
          </w:p>
        </w:tc>
      </w:tr>
      <w:tr>
        <w:trPr>
          <w:trHeight w:val="203"/>
        </w:trPr>
        <w:tc>
          <w:tcPr>
            <w:tcW w:w="4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7"/>
              </w:rPr>
              <w:t>Other assets...........................</w:t>
            </w:r>
          </w:p>
        </w:tc>
        <w:tc>
          <w:tcPr>
            <w:tcW w:w="380" w:type="dxa"/>
            <w:vAlign w:val="bottom"/>
          </w:tcPr>
          <w:p>
            <w:pPr>
              <w:spacing w:after="0"/>
              <w:rPr>
                <w:sz w:val="17"/>
                <w:szCs w:val="17"/>
                <w:color w:val="auto"/>
              </w:rPr>
            </w:pPr>
          </w:p>
        </w:tc>
        <w:tc>
          <w:tcPr>
            <w:tcW w:w="152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2,678,724</w:t>
            </w:r>
          </w:p>
        </w:tc>
        <w:tc>
          <w:tcPr>
            <w:tcW w:w="27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2,646,293</w:t>
            </w:r>
          </w:p>
        </w:tc>
      </w:tr>
      <w:tr>
        <w:trPr>
          <w:trHeight w:val="203"/>
        </w:trPr>
        <w:tc>
          <w:tcPr>
            <w:tcW w:w="4160" w:type="dxa"/>
            <w:vAlign w:val="bottom"/>
          </w:tcPr>
          <w:p>
            <w:pPr>
              <w:spacing w:after="0"/>
              <w:rPr>
                <w:sz w:val="17"/>
                <w:szCs w:val="17"/>
                <w:color w:val="auto"/>
              </w:rPr>
            </w:pPr>
          </w:p>
        </w:tc>
        <w:tc>
          <w:tcPr>
            <w:tcW w:w="1900" w:type="dxa"/>
            <w:vAlign w:val="bottom"/>
            <w:gridSpan w:val="2"/>
          </w:tcPr>
          <w:p>
            <w:pPr>
              <w:jc w:val="right"/>
              <w:ind w:right="272"/>
              <w:spacing w:after="0" w:line="203" w:lineRule="exact"/>
              <w:rPr>
                <w:sz w:val="20"/>
                <w:szCs w:val="20"/>
                <w:color w:val="auto"/>
              </w:rPr>
            </w:pPr>
            <w:r>
              <w:rPr>
                <w:rFonts w:ascii="Courier New" w:cs="Courier New" w:eastAsia="Courier New" w:hAnsi="Courier New"/>
                <w:sz w:val="18"/>
                <w:szCs w:val="18"/>
                <w:color w:val="auto"/>
              </w:rPr>
              <w:t>------------</w:t>
            </w:r>
          </w:p>
        </w:tc>
        <w:tc>
          <w:tcPr>
            <w:tcW w:w="27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Total................................</w:t>
            </w:r>
          </w:p>
        </w:tc>
        <w:tc>
          <w:tcPr>
            <w:tcW w:w="380" w:type="dxa"/>
            <w:vAlign w:val="bottom"/>
          </w:tcPr>
          <w:p>
            <w:pPr>
              <w:ind w:left="280"/>
              <w:spacing w:after="0" w:line="203" w:lineRule="exact"/>
              <w:rPr>
                <w:sz w:val="20"/>
                <w:szCs w:val="20"/>
                <w:color w:val="auto"/>
              </w:rPr>
            </w:pPr>
            <w:r>
              <w:rPr>
                <w:rFonts w:ascii="Courier New" w:cs="Courier New" w:eastAsia="Courier New" w:hAnsi="Courier New"/>
                <w:sz w:val="18"/>
                <w:szCs w:val="18"/>
                <w:color w:val="auto"/>
                <w:w w:val="73"/>
              </w:rPr>
              <w:t>$</w:t>
            </w:r>
          </w:p>
        </w:tc>
        <w:tc>
          <w:tcPr>
            <w:tcW w:w="152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65,013,938</w:t>
            </w:r>
          </w:p>
        </w:tc>
        <w:tc>
          <w:tcPr>
            <w:tcW w:w="27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$63,652,616</w:t>
            </w:r>
          </w:p>
        </w:tc>
      </w:tr>
      <w:tr>
        <w:trPr>
          <w:trHeight w:val="203"/>
        </w:trPr>
        <w:tc>
          <w:tcPr>
            <w:tcW w:w="4160" w:type="dxa"/>
            <w:vAlign w:val="bottom"/>
          </w:tcPr>
          <w:p>
            <w:pPr>
              <w:spacing w:after="0"/>
              <w:rPr>
                <w:sz w:val="17"/>
                <w:szCs w:val="17"/>
                <w:color w:val="auto"/>
              </w:rPr>
            </w:pPr>
          </w:p>
        </w:tc>
        <w:tc>
          <w:tcPr>
            <w:tcW w:w="1900" w:type="dxa"/>
            <w:vAlign w:val="bottom"/>
            <w:gridSpan w:val="2"/>
          </w:tcPr>
          <w:p>
            <w:pPr>
              <w:jc w:val="right"/>
              <w:ind w:right="272"/>
              <w:spacing w:after="0" w:line="203" w:lineRule="exact"/>
              <w:rPr>
                <w:sz w:val="20"/>
                <w:szCs w:val="20"/>
                <w:color w:val="auto"/>
              </w:rPr>
            </w:pPr>
            <w:r>
              <w:rPr>
                <w:rFonts w:ascii="Courier New" w:cs="Courier New" w:eastAsia="Courier New" w:hAnsi="Courier New"/>
                <w:sz w:val="18"/>
                <w:szCs w:val="18"/>
                <w:color w:val="auto"/>
              </w:rPr>
              <w:t>------------</w:t>
            </w:r>
          </w:p>
        </w:tc>
        <w:tc>
          <w:tcPr>
            <w:tcW w:w="27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160" w:type="dxa"/>
            <w:vAlign w:val="bottom"/>
          </w:tcPr>
          <w:p>
            <w:pPr>
              <w:spacing w:after="0"/>
              <w:rPr>
                <w:sz w:val="17"/>
                <w:szCs w:val="17"/>
                <w:color w:val="auto"/>
              </w:rPr>
            </w:pPr>
          </w:p>
        </w:tc>
        <w:tc>
          <w:tcPr>
            <w:tcW w:w="1900" w:type="dxa"/>
            <w:vAlign w:val="bottom"/>
            <w:gridSpan w:val="2"/>
          </w:tcPr>
          <w:p>
            <w:pPr>
              <w:jc w:val="right"/>
              <w:ind w:right="272"/>
              <w:spacing w:after="0" w:line="203" w:lineRule="exact"/>
              <w:rPr>
                <w:sz w:val="20"/>
                <w:szCs w:val="20"/>
                <w:color w:val="auto"/>
              </w:rPr>
            </w:pPr>
            <w:r>
              <w:rPr>
                <w:rFonts w:ascii="Courier New" w:cs="Courier New" w:eastAsia="Courier New" w:hAnsi="Courier New"/>
                <w:sz w:val="18"/>
                <w:szCs w:val="18"/>
                <w:color w:val="auto"/>
              </w:rPr>
              <w:t>------------</w:t>
            </w:r>
          </w:p>
        </w:tc>
        <w:tc>
          <w:tcPr>
            <w:tcW w:w="27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160" w:type="dxa"/>
            <w:vAlign w:val="bottom"/>
          </w:tcPr>
          <w:p>
            <w:pPr>
              <w:spacing w:after="0" w:line="203" w:lineRule="exact"/>
              <w:rPr>
                <w:sz w:val="20"/>
                <w:szCs w:val="20"/>
                <w:color w:val="auto"/>
              </w:rPr>
            </w:pPr>
            <w:r>
              <w:rPr>
                <w:rFonts w:ascii="Courier New" w:cs="Courier New" w:eastAsia="Courier New" w:hAnsi="Courier New"/>
                <w:sz w:val="18"/>
                <w:szCs w:val="18"/>
                <w:color w:val="auto"/>
              </w:rPr>
              <w:t>LIABILITIES AND SHAREHOLDERS' EQUITY</w:t>
            </w:r>
          </w:p>
        </w:tc>
        <w:tc>
          <w:tcPr>
            <w:tcW w:w="38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2700" w:type="dxa"/>
            <w:vAlign w:val="bottom"/>
          </w:tcPr>
          <w:p>
            <w:pPr>
              <w:spacing w:after="0"/>
              <w:rPr>
                <w:sz w:val="17"/>
                <w:szCs w:val="17"/>
                <w:color w:val="auto"/>
              </w:rPr>
            </w:pPr>
          </w:p>
        </w:tc>
      </w:tr>
      <w:tr>
        <w:trPr>
          <w:trHeight w:val="405"/>
        </w:trPr>
        <w:tc>
          <w:tcPr>
            <w:tcW w:w="4160" w:type="dxa"/>
            <w:vAlign w:val="bottom"/>
          </w:tcPr>
          <w:p>
            <w:pPr>
              <w:spacing w:after="0"/>
              <w:rPr>
                <w:sz w:val="20"/>
                <w:szCs w:val="20"/>
                <w:color w:val="auto"/>
              </w:rPr>
            </w:pPr>
            <w:r>
              <w:rPr>
                <w:rFonts w:ascii="Courier New" w:cs="Courier New" w:eastAsia="Courier New" w:hAnsi="Courier New"/>
                <w:sz w:val="18"/>
                <w:szCs w:val="18"/>
                <w:color w:val="auto"/>
              </w:rPr>
              <w:t>Current liabilities:</w:t>
            </w:r>
          </w:p>
        </w:tc>
        <w:tc>
          <w:tcPr>
            <w:tcW w:w="3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2700" w:type="dxa"/>
            <w:vAlign w:val="bottom"/>
          </w:tcPr>
          <w:p>
            <w:pPr>
              <w:spacing w:after="0"/>
              <w:rPr>
                <w:sz w:val="24"/>
                <w:szCs w:val="24"/>
                <w:color w:val="auto"/>
              </w:rPr>
            </w:pPr>
          </w:p>
        </w:tc>
      </w:tr>
      <w:tr>
        <w:trPr>
          <w:trHeight w:val="203"/>
        </w:trPr>
        <w:tc>
          <w:tcPr>
            <w:tcW w:w="4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Accounts payable-trade...............</w:t>
            </w:r>
          </w:p>
        </w:tc>
        <w:tc>
          <w:tcPr>
            <w:tcW w:w="380" w:type="dxa"/>
            <w:vAlign w:val="bottom"/>
          </w:tcPr>
          <w:p>
            <w:pPr>
              <w:ind w:left="280"/>
              <w:spacing w:after="0" w:line="203" w:lineRule="exact"/>
              <w:rPr>
                <w:sz w:val="20"/>
                <w:szCs w:val="20"/>
                <w:color w:val="auto"/>
              </w:rPr>
            </w:pPr>
            <w:r>
              <w:rPr>
                <w:rFonts w:ascii="Courier New" w:cs="Courier New" w:eastAsia="Courier New" w:hAnsi="Courier New"/>
                <w:sz w:val="18"/>
                <w:szCs w:val="18"/>
                <w:color w:val="auto"/>
                <w:w w:val="73"/>
              </w:rPr>
              <w:t>$</w:t>
            </w:r>
          </w:p>
        </w:tc>
        <w:tc>
          <w:tcPr>
            <w:tcW w:w="152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5,875,656</w:t>
            </w:r>
          </w:p>
        </w:tc>
        <w:tc>
          <w:tcPr>
            <w:tcW w:w="27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$ 5,729,584</w:t>
            </w:r>
          </w:p>
        </w:tc>
      </w:tr>
      <w:tr>
        <w:trPr>
          <w:trHeight w:val="203"/>
        </w:trPr>
        <w:tc>
          <w:tcPr>
            <w:tcW w:w="4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Current portion of long-term debt....</w:t>
            </w:r>
          </w:p>
        </w:tc>
        <w:tc>
          <w:tcPr>
            <w:tcW w:w="380" w:type="dxa"/>
            <w:vAlign w:val="bottom"/>
          </w:tcPr>
          <w:p>
            <w:pPr>
              <w:spacing w:after="0"/>
              <w:rPr>
                <w:sz w:val="17"/>
                <w:szCs w:val="17"/>
                <w:color w:val="auto"/>
              </w:rPr>
            </w:pPr>
          </w:p>
        </w:tc>
        <w:tc>
          <w:tcPr>
            <w:tcW w:w="152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89,123</w:t>
            </w:r>
          </w:p>
        </w:tc>
        <w:tc>
          <w:tcPr>
            <w:tcW w:w="27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59,928</w:t>
            </w:r>
          </w:p>
        </w:tc>
      </w:tr>
      <w:tr>
        <w:trPr>
          <w:trHeight w:val="203"/>
        </w:trPr>
        <w:tc>
          <w:tcPr>
            <w:tcW w:w="4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Dividends payable....................</w:t>
            </w:r>
          </w:p>
        </w:tc>
        <w:tc>
          <w:tcPr>
            <w:tcW w:w="380" w:type="dxa"/>
            <w:vAlign w:val="bottom"/>
          </w:tcPr>
          <w:p>
            <w:pPr>
              <w:spacing w:after="0"/>
              <w:rPr>
                <w:sz w:val="17"/>
                <w:szCs w:val="17"/>
                <w:color w:val="auto"/>
              </w:rPr>
            </w:pPr>
          </w:p>
        </w:tc>
        <w:tc>
          <w:tcPr>
            <w:tcW w:w="152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0</w:t>
            </w:r>
          </w:p>
        </w:tc>
        <w:tc>
          <w:tcPr>
            <w:tcW w:w="27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1,044,351</w:t>
            </w:r>
          </w:p>
        </w:tc>
      </w:tr>
      <w:tr>
        <w:trPr>
          <w:trHeight w:val="203"/>
        </w:trPr>
        <w:tc>
          <w:tcPr>
            <w:tcW w:w="4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Other current liabilities............</w:t>
            </w:r>
          </w:p>
        </w:tc>
        <w:tc>
          <w:tcPr>
            <w:tcW w:w="380" w:type="dxa"/>
            <w:vAlign w:val="bottom"/>
          </w:tcPr>
          <w:p>
            <w:pPr>
              <w:spacing w:after="0"/>
              <w:rPr>
                <w:sz w:val="17"/>
                <w:szCs w:val="17"/>
                <w:color w:val="auto"/>
              </w:rPr>
            </w:pPr>
          </w:p>
        </w:tc>
        <w:tc>
          <w:tcPr>
            <w:tcW w:w="152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4,005,574</w:t>
            </w:r>
          </w:p>
        </w:tc>
        <w:tc>
          <w:tcPr>
            <w:tcW w:w="27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6,381,454</w:t>
            </w:r>
          </w:p>
        </w:tc>
      </w:tr>
      <w:tr>
        <w:trPr>
          <w:trHeight w:val="203"/>
        </w:trPr>
        <w:tc>
          <w:tcPr>
            <w:tcW w:w="4160" w:type="dxa"/>
            <w:vAlign w:val="bottom"/>
          </w:tcPr>
          <w:p>
            <w:pPr>
              <w:spacing w:after="0"/>
              <w:rPr>
                <w:sz w:val="17"/>
                <w:szCs w:val="17"/>
                <w:color w:val="auto"/>
              </w:rPr>
            </w:pPr>
          </w:p>
        </w:tc>
        <w:tc>
          <w:tcPr>
            <w:tcW w:w="1900" w:type="dxa"/>
            <w:vAlign w:val="bottom"/>
            <w:gridSpan w:val="2"/>
          </w:tcPr>
          <w:p>
            <w:pPr>
              <w:jc w:val="right"/>
              <w:ind w:right="272"/>
              <w:spacing w:after="0" w:line="203" w:lineRule="exact"/>
              <w:rPr>
                <w:sz w:val="20"/>
                <w:szCs w:val="20"/>
                <w:color w:val="auto"/>
              </w:rPr>
            </w:pPr>
            <w:r>
              <w:rPr>
                <w:rFonts w:ascii="Courier New" w:cs="Courier New" w:eastAsia="Courier New" w:hAnsi="Courier New"/>
                <w:sz w:val="18"/>
                <w:szCs w:val="18"/>
                <w:color w:val="auto"/>
              </w:rPr>
              <w:t>------------</w:t>
            </w:r>
          </w:p>
        </w:tc>
        <w:tc>
          <w:tcPr>
            <w:tcW w:w="27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Total current liabilities.........</w:t>
            </w:r>
          </w:p>
        </w:tc>
        <w:tc>
          <w:tcPr>
            <w:tcW w:w="380" w:type="dxa"/>
            <w:vAlign w:val="bottom"/>
          </w:tcPr>
          <w:p>
            <w:pPr>
              <w:spacing w:after="0"/>
              <w:rPr>
                <w:sz w:val="17"/>
                <w:szCs w:val="17"/>
                <w:color w:val="auto"/>
              </w:rPr>
            </w:pPr>
          </w:p>
        </w:tc>
        <w:tc>
          <w:tcPr>
            <w:tcW w:w="152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9,970,353</w:t>
            </w:r>
          </w:p>
        </w:tc>
        <w:tc>
          <w:tcPr>
            <w:tcW w:w="27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13,215,317</w:t>
            </w:r>
          </w:p>
        </w:tc>
      </w:tr>
      <w:tr>
        <w:trPr>
          <w:trHeight w:val="203"/>
        </w:trPr>
        <w:tc>
          <w:tcPr>
            <w:tcW w:w="4160" w:type="dxa"/>
            <w:vAlign w:val="bottom"/>
          </w:tcPr>
          <w:p>
            <w:pPr>
              <w:spacing w:after="0"/>
              <w:rPr>
                <w:sz w:val="17"/>
                <w:szCs w:val="17"/>
                <w:color w:val="auto"/>
              </w:rPr>
            </w:pPr>
          </w:p>
        </w:tc>
        <w:tc>
          <w:tcPr>
            <w:tcW w:w="1900" w:type="dxa"/>
            <w:vAlign w:val="bottom"/>
            <w:gridSpan w:val="2"/>
          </w:tcPr>
          <w:p>
            <w:pPr>
              <w:jc w:val="right"/>
              <w:ind w:right="272"/>
              <w:spacing w:after="0" w:line="203" w:lineRule="exact"/>
              <w:rPr>
                <w:sz w:val="20"/>
                <w:szCs w:val="20"/>
                <w:color w:val="auto"/>
              </w:rPr>
            </w:pPr>
            <w:r>
              <w:rPr>
                <w:rFonts w:ascii="Courier New" w:cs="Courier New" w:eastAsia="Courier New" w:hAnsi="Courier New"/>
                <w:sz w:val="18"/>
                <w:szCs w:val="18"/>
                <w:color w:val="auto"/>
              </w:rPr>
              <w:t>------------</w:t>
            </w:r>
          </w:p>
        </w:tc>
        <w:tc>
          <w:tcPr>
            <w:tcW w:w="27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7"/>
              </w:rPr>
              <w:t>Long-term debt.........................</w:t>
            </w:r>
          </w:p>
        </w:tc>
        <w:tc>
          <w:tcPr>
            <w:tcW w:w="380" w:type="dxa"/>
            <w:vAlign w:val="bottom"/>
          </w:tcPr>
          <w:p>
            <w:pPr>
              <w:spacing w:after="0"/>
              <w:rPr>
                <w:sz w:val="17"/>
                <w:szCs w:val="17"/>
                <w:color w:val="auto"/>
              </w:rPr>
            </w:pPr>
          </w:p>
        </w:tc>
        <w:tc>
          <w:tcPr>
            <w:tcW w:w="152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423,402</w:t>
            </w:r>
          </w:p>
        </w:tc>
        <w:tc>
          <w:tcPr>
            <w:tcW w:w="27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512,525</w:t>
            </w:r>
          </w:p>
        </w:tc>
      </w:tr>
      <w:tr>
        <w:trPr>
          <w:trHeight w:val="203"/>
        </w:trPr>
        <w:tc>
          <w:tcPr>
            <w:tcW w:w="4160" w:type="dxa"/>
            <w:vAlign w:val="bottom"/>
          </w:tcPr>
          <w:p>
            <w:pPr>
              <w:spacing w:after="0"/>
              <w:rPr>
                <w:sz w:val="17"/>
                <w:szCs w:val="17"/>
                <w:color w:val="auto"/>
              </w:rPr>
            </w:pPr>
          </w:p>
        </w:tc>
        <w:tc>
          <w:tcPr>
            <w:tcW w:w="1900" w:type="dxa"/>
            <w:vAlign w:val="bottom"/>
            <w:gridSpan w:val="2"/>
          </w:tcPr>
          <w:p>
            <w:pPr>
              <w:jc w:val="right"/>
              <w:ind w:right="272"/>
              <w:spacing w:after="0" w:line="203" w:lineRule="exact"/>
              <w:rPr>
                <w:sz w:val="20"/>
                <w:szCs w:val="20"/>
                <w:color w:val="auto"/>
              </w:rPr>
            </w:pPr>
            <w:r>
              <w:rPr>
                <w:rFonts w:ascii="Courier New" w:cs="Courier New" w:eastAsia="Courier New" w:hAnsi="Courier New"/>
                <w:sz w:val="18"/>
                <w:szCs w:val="18"/>
                <w:color w:val="auto"/>
              </w:rPr>
              <w:t>------------</w:t>
            </w:r>
          </w:p>
        </w:tc>
        <w:tc>
          <w:tcPr>
            <w:tcW w:w="27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7"/>
              </w:rPr>
              <w:t>Deferred income taxes..................</w:t>
            </w:r>
          </w:p>
        </w:tc>
        <w:tc>
          <w:tcPr>
            <w:tcW w:w="380" w:type="dxa"/>
            <w:vAlign w:val="bottom"/>
          </w:tcPr>
          <w:p>
            <w:pPr>
              <w:spacing w:after="0"/>
              <w:rPr>
                <w:sz w:val="17"/>
                <w:szCs w:val="17"/>
                <w:color w:val="auto"/>
              </w:rPr>
            </w:pPr>
          </w:p>
        </w:tc>
        <w:tc>
          <w:tcPr>
            <w:tcW w:w="152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995,000</w:t>
            </w:r>
          </w:p>
        </w:tc>
        <w:tc>
          <w:tcPr>
            <w:tcW w:w="27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983,000</w:t>
            </w:r>
          </w:p>
        </w:tc>
      </w:tr>
      <w:tr>
        <w:trPr>
          <w:trHeight w:val="203"/>
        </w:trPr>
        <w:tc>
          <w:tcPr>
            <w:tcW w:w="4160" w:type="dxa"/>
            <w:vAlign w:val="bottom"/>
          </w:tcPr>
          <w:p>
            <w:pPr>
              <w:spacing w:after="0"/>
              <w:rPr>
                <w:sz w:val="17"/>
                <w:szCs w:val="17"/>
                <w:color w:val="auto"/>
              </w:rPr>
            </w:pPr>
          </w:p>
        </w:tc>
        <w:tc>
          <w:tcPr>
            <w:tcW w:w="1900" w:type="dxa"/>
            <w:vAlign w:val="bottom"/>
            <w:gridSpan w:val="2"/>
          </w:tcPr>
          <w:p>
            <w:pPr>
              <w:jc w:val="right"/>
              <w:ind w:right="272"/>
              <w:spacing w:after="0" w:line="203" w:lineRule="exact"/>
              <w:rPr>
                <w:sz w:val="20"/>
                <w:szCs w:val="20"/>
                <w:color w:val="auto"/>
              </w:rPr>
            </w:pPr>
            <w:r>
              <w:rPr>
                <w:rFonts w:ascii="Courier New" w:cs="Courier New" w:eastAsia="Courier New" w:hAnsi="Courier New"/>
                <w:sz w:val="18"/>
                <w:szCs w:val="18"/>
                <w:color w:val="auto"/>
              </w:rPr>
              <w:t>------------</w:t>
            </w:r>
          </w:p>
        </w:tc>
        <w:tc>
          <w:tcPr>
            <w:tcW w:w="27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7"/>
              </w:rPr>
              <w:t>Commitments and contingencies..........</w:t>
            </w:r>
          </w:p>
        </w:tc>
        <w:tc>
          <w:tcPr>
            <w:tcW w:w="38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2700" w:type="dxa"/>
            <w:vAlign w:val="bottom"/>
          </w:tcPr>
          <w:p>
            <w:pPr>
              <w:spacing w:after="0"/>
              <w:rPr>
                <w:sz w:val="17"/>
                <w:szCs w:val="17"/>
                <w:color w:val="auto"/>
              </w:rPr>
            </w:pPr>
          </w:p>
        </w:tc>
      </w:tr>
      <w:tr>
        <w:trPr>
          <w:trHeight w:val="203"/>
        </w:trPr>
        <w:tc>
          <w:tcPr>
            <w:tcW w:w="4160" w:type="dxa"/>
            <w:vAlign w:val="bottom"/>
          </w:tcPr>
          <w:p>
            <w:pPr>
              <w:spacing w:after="0"/>
              <w:rPr>
                <w:sz w:val="17"/>
                <w:szCs w:val="17"/>
                <w:color w:val="auto"/>
              </w:rPr>
            </w:pPr>
          </w:p>
        </w:tc>
        <w:tc>
          <w:tcPr>
            <w:tcW w:w="1900" w:type="dxa"/>
            <w:vAlign w:val="bottom"/>
            <w:gridSpan w:val="2"/>
          </w:tcPr>
          <w:p>
            <w:pPr>
              <w:jc w:val="right"/>
              <w:ind w:right="272"/>
              <w:spacing w:after="0" w:line="203" w:lineRule="exact"/>
              <w:rPr>
                <w:sz w:val="20"/>
                <w:szCs w:val="20"/>
                <w:color w:val="auto"/>
              </w:rPr>
            </w:pPr>
            <w:r>
              <w:rPr>
                <w:rFonts w:ascii="Courier New" w:cs="Courier New" w:eastAsia="Courier New" w:hAnsi="Courier New"/>
                <w:sz w:val="18"/>
                <w:szCs w:val="18"/>
                <w:color w:val="auto"/>
              </w:rPr>
              <w:t>------------</w:t>
            </w:r>
          </w:p>
        </w:tc>
        <w:tc>
          <w:tcPr>
            <w:tcW w:w="27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16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Shareholders' equity:</w:t>
            </w:r>
          </w:p>
        </w:tc>
        <w:tc>
          <w:tcPr>
            <w:tcW w:w="38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2700" w:type="dxa"/>
            <w:vAlign w:val="bottom"/>
          </w:tcPr>
          <w:p>
            <w:pPr>
              <w:spacing w:after="0"/>
              <w:rPr>
                <w:sz w:val="17"/>
                <w:szCs w:val="17"/>
                <w:color w:val="auto"/>
              </w:rPr>
            </w:pPr>
          </w:p>
        </w:tc>
      </w:tr>
      <w:tr>
        <w:trPr>
          <w:trHeight w:val="203"/>
        </w:trPr>
        <w:tc>
          <w:tcPr>
            <w:tcW w:w="416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Common stock, par value $.05 per</w:t>
            </w:r>
          </w:p>
        </w:tc>
        <w:tc>
          <w:tcPr>
            <w:tcW w:w="38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2700" w:type="dxa"/>
            <w:vAlign w:val="bottom"/>
          </w:tcPr>
          <w:p>
            <w:pPr>
              <w:spacing w:after="0"/>
              <w:rPr>
                <w:sz w:val="17"/>
                <w:szCs w:val="17"/>
                <w:color w:val="auto"/>
              </w:rPr>
            </w:pPr>
          </w:p>
        </w:tc>
      </w:tr>
      <w:tr>
        <w:trPr>
          <w:trHeight w:val="203"/>
        </w:trPr>
        <w:tc>
          <w:tcPr>
            <w:tcW w:w="416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share; issued and outstanding,</w:t>
            </w:r>
          </w:p>
        </w:tc>
        <w:tc>
          <w:tcPr>
            <w:tcW w:w="38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2700" w:type="dxa"/>
            <w:vAlign w:val="bottom"/>
          </w:tcPr>
          <w:p>
            <w:pPr>
              <w:spacing w:after="0"/>
              <w:rPr>
                <w:sz w:val="17"/>
                <w:szCs w:val="17"/>
                <w:color w:val="auto"/>
              </w:rPr>
            </w:pPr>
          </w:p>
        </w:tc>
      </w:tr>
      <w:tr>
        <w:trPr>
          <w:trHeight w:val="203"/>
        </w:trPr>
        <w:tc>
          <w:tcPr>
            <w:tcW w:w="4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11,603,895 shares at both dates....</w:t>
            </w:r>
          </w:p>
        </w:tc>
        <w:tc>
          <w:tcPr>
            <w:tcW w:w="380" w:type="dxa"/>
            <w:vAlign w:val="bottom"/>
          </w:tcPr>
          <w:p>
            <w:pPr>
              <w:spacing w:after="0"/>
              <w:rPr>
                <w:sz w:val="17"/>
                <w:szCs w:val="17"/>
                <w:color w:val="auto"/>
              </w:rPr>
            </w:pPr>
          </w:p>
        </w:tc>
        <w:tc>
          <w:tcPr>
            <w:tcW w:w="152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580,195</w:t>
            </w:r>
          </w:p>
        </w:tc>
        <w:tc>
          <w:tcPr>
            <w:tcW w:w="27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580,195</w:t>
            </w:r>
          </w:p>
        </w:tc>
      </w:tr>
      <w:tr>
        <w:trPr>
          <w:trHeight w:val="203"/>
        </w:trPr>
        <w:tc>
          <w:tcPr>
            <w:tcW w:w="4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Additional paid-in capital...........</w:t>
            </w:r>
          </w:p>
        </w:tc>
        <w:tc>
          <w:tcPr>
            <w:tcW w:w="380" w:type="dxa"/>
            <w:vAlign w:val="bottom"/>
          </w:tcPr>
          <w:p>
            <w:pPr>
              <w:spacing w:after="0"/>
              <w:rPr>
                <w:sz w:val="17"/>
                <w:szCs w:val="17"/>
                <w:color w:val="auto"/>
              </w:rPr>
            </w:pPr>
          </w:p>
        </w:tc>
        <w:tc>
          <w:tcPr>
            <w:tcW w:w="152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42,517,455</w:t>
            </w:r>
          </w:p>
        </w:tc>
        <w:tc>
          <w:tcPr>
            <w:tcW w:w="27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42,517,455</w:t>
            </w:r>
          </w:p>
        </w:tc>
      </w:tr>
      <w:tr>
        <w:trPr>
          <w:trHeight w:val="203"/>
        </w:trPr>
        <w:tc>
          <w:tcPr>
            <w:tcW w:w="4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Retained earnings....................</w:t>
            </w:r>
          </w:p>
        </w:tc>
        <w:tc>
          <w:tcPr>
            <w:tcW w:w="380" w:type="dxa"/>
            <w:vAlign w:val="bottom"/>
          </w:tcPr>
          <w:p>
            <w:pPr>
              <w:spacing w:after="0"/>
              <w:rPr>
                <w:sz w:val="17"/>
                <w:szCs w:val="17"/>
                <w:color w:val="auto"/>
              </w:rPr>
            </w:pPr>
          </w:p>
        </w:tc>
        <w:tc>
          <w:tcPr>
            <w:tcW w:w="152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10,527,533</w:t>
            </w:r>
          </w:p>
        </w:tc>
        <w:tc>
          <w:tcPr>
            <w:tcW w:w="27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5,844,124</w:t>
            </w:r>
          </w:p>
        </w:tc>
      </w:tr>
      <w:tr>
        <w:trPr>
          <w:trHeight w:val="203"/>
        </w:trPr>
        <w:tc>
          <w:tcPr>
            <w:tcW w:w="4160" w:type="dxa"/>
            <w:vAlign w:val="bottom"/>
          </w:tcPr>
          <w:p>
            <w:pPr>
              <w:spacing w:after="0"/>
              <w:rPr>
                <w:sz w:val="17"/>
                <w:szCs w:val="17"/>
                <w:color w:val="auto"/>
              </w:rPr>
            </w:pPr>
          </w:p>
        </w:tc>
        <w:tc>
          <w:tcPr>
            <w:tcW w:w="1900" w:type="dxa"/>
            <w:vAlign w:val="bottom"/>
            <w:gridSpan w:val="2"/>
          </w:tcPr>
          <w:p>
            <w:pPr>
              <w:jc w:val="right"/>
              <w:ind w:right="272"/>
              <w:spacing w:after="0" w:line="203" w:lineRule="exact"/>
              <w:rPr>
                <w:sz w:val="20"/>
                <w:szCs w:val="20"/>
                <w:color w:val="auto"/>
              </w:rPr>
            </w:pPr>
            <w:r>
              <w:rPr>
                <w:rFonts w:ascii="Courier New" w:cs="Courier New" w:eastAsia="Courier New" w:hAnsi="Courier New"/>
                <w:sz w:val="18"/>
                <w:szCs w:val="18"/>
                <w:color w:val="auto"/>
              </w:rPr>
              <w:t>------------</w:t>
            </w:r>
          </w:p>
        </w:tc>
        <w:tc>
          <w:tcPr>
            <w:tcW w:w="27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Total shareholders' equity........</w:t>
            </w:r>
          </w:p>
        </w:tc>
        <w:tc>
          <w:tcPr>
            <w:tcW w:w="380" w:type="dxa"/>
            <w:vAlign w:val="bottom"/>
          </w:tcPr>
          <w:p>
            <w:pPr>
              <w:spacing w:after="0"/>
              <w:rPr>
                <w:sz w:val="17"/>
                <w:szCs w:val="17"/>
                <w:color w:val="auto"/>
              </w:rPr>
            </w:pPr>
          </w:p>
        </w:tc>
        <w:tc>
          <w:tcPr>
            <w:tcW w:w="152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53,625,183</w:t>
            </w:r>
          </w:p>
        </w:tc>
        <w:tc>
          <w:tcPr>
            <w:tcW w:w="27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48,941,774</w:t>
            </w:r>
          </w:p>
        </w:tc>
      </w:tr>
      <w:tr>
        <w:trPr>
          <w:trHeight w:val="203"/>
        </w:trPr>
        <w:tc>
          <w:tcPr>
            <w:tcW w:w="4160" w:type="dxa"/>
            <w:vAlign w:val="bottom"/>
          </w:tcPr>
          <w:p>
            <w:pPr>
              <w:spacing w:after="0"/>
              <w:rPr>
                <w:sz w:val="17"/>
                <w:szCs w:val="17"/>
                <w:color w:val="auto"/>
              </w:rPr>
            </w:pPr>
          </w:p>
        </w:tc>
        <w:tc>
          <w:tcPr>
            <w:tcW w:w="1900" w:type="dxa"/>
            <w:vAlign w:val="bottom"/>
            <w:gridSpan w:val="2"/>
          </w:tcPr>
          <w:p>
            <w:pPr>
              <w:jc w:val="right"/>
              <w:ind w:right="272"/>
              <w:spacing w:after="0" w:line="203" w:lineRule="exact"/>
              <w:rPr>
                <w:sz w:val="20"/>
                <w:szCs w:val="20"/>
                <w:color w:val="auto"/>
              </w:rPr>
            </w:pPr>
            <w:r>
              <w:rPr>
                <w:rFonts w:ascii="Courier New" w:cs="Courier New" w:eastAsia="Courier New" w:hAnsi="Courier New"/>
                <w:sz w:val="18"/>
                <w:szCs w:val="18"/>
                <w:color w:val="auto"/>
              </w:rPr>
              <w:t>------------</w:t>
            </w:r>
          </w:p>
        </w:tc>
        <w:tc>
          <w:tcPr>
            <w:tcW w:w="27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Total.............................</w:t>
            </w:r>
          </w:p>
        </w:tc>
        <w:tc>
          <w:tcPr>
            <w:tcW w:w="380" w:type="dxa"/>
            <w:vAlign w:val="bottom"/>
          </w:tcPr>
          <w:p>
            <w:pPr>
              <w:ind w:left="280"/>
              <w:spacing w:after="0" w:line="203" w:lineRule="exact"/>
              <w:rPr>
                <w:sz w:val="20"/>
                <w:szCs w:val="20"/>
                <w:color w:val="auto"/>
              </w:rPr>
            </w:pPr>
            <w:r>
              <w:rPr>
                <w:rFonts w:ascii="Courier New" w:cs="Courier New" w:eastAsia="Courier New" w:hAnsi="Courier New"/>
                <w:sz w:val="18"/>
                <w:szCs w:val="18"/>
                <w:color w:val="auto"/>
                <w:w w:val="73"/>
              </w:rPr>
              <w:t>$</w:t>
            </w:r>
          </w:p>
        </w:tc>
        <w:tc>
          <w:tcPr>
            <w:tcW w:w="152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65,013,938</w:t>
            </w:r>
          </w:p>
        </w:tc>
        <w:tc>
          <w:tcPr>
            <w:tcW w:w="27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$63,652,616</w:t>
            </w:r>
          </w:p>
        </w:tc>
      </w:tr>
      <w:tr>
        <w:trPr>
          <w:trHeight w:val="203"/>
        </w:trPr>
        <w:tc>
          <w:tcPr>
            <w:tcW w:w="4160" w:type="dxa"/>
            <w:vAlign w:val="bottom"/>
          </w:tcPr>
          <w:p>
            <w:pPr>
              <w:spacing w:after="0"/>
              <w:rPr>
                <w:sz w:val="17"/>
                <w:szCs w:val="17"/>
                <w:color w:val="auto"/>
              </w:rPr>
            </w:pPr>
          </w:p>
        </w:tc>
        <w:tc>
          <w:tcPr>
            <w:tcW w:w="1900" w:type="dxa"/>
            <w:vAlign w:val="bottom"/>
            <w:gridSpan w:val="2"/>
          </w:tcPr>
          <w:p>
            <w:pPr>
              <w:jc w:val="right"/>
              <w:ind w:right="272"/>
              <w:spacing w:after="0" w:line="203" w:lineRule="exact"/>
              <w:rPr>
                <w:sz w:val="20"/>
                <w:szCs w:val="20"/>
                <w:color w:val="auto"/>
              </w:rPr>
            </w:pPr>
            <w:r>
              <w:rPr>
                <w:rFonts w:ascii="Courier New" w:cs="Courier New" w:eastAsia="Courier New" w:hAnsi="Courier New"/>
                <w:sz w:val="18"/>
                <w:szCs w:val="18"/>
                <w:color w:val="auto"/>
              </w:rPr>
              <w:t>------------</w:t>
            </w:r>
          </w:p>
        </w:tc>
        <w:tc>
          <w:tcPr>
            <w:tcW w:w="27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160" w:type="dxa"/>
            <w:vAlign w:val="bottom"/>
          </w:tcPr>
          <w:p>
            <w:pPr>
              <w:spacing w:after="0"/>
              <w:rPr>
                <w:sz w:val="17"/>
                <w:szCs w:val="17"/>
                <w:color w:val="auto"/>
              </w:rPr>
            </w:pPr>
          </w:p>
        </w:tc>
        <w:tc>
          <w:tcPr>
            <w:tcW w:w="1900" w:type="dxa"/>
            <w:vAlign w:val="bottom"/>
            <w:gridSpan w:val="2"/>
          </w:tcPr>
          <w:p>
            <w:pPr>
              <w:jc w:val="right"/>
              <w:ind w:right="272"/>
              <w:spacing w:after="0" w:line="203" w:lineRule="exact"/>
              <w:rPr>
                <w:sz w:val="20"/>
                <w:szCs w:val="20"/>
                <w:color w:val="auto"/>
              </w:rPr>
            </w:pPr>
            <w:r>
              <w:rPr>
                <w:rFonts w:ascii="Courier New" w:cs="Courier New" w:eastAsia="Courier New" w:hAnsi="Courier New"/>
                <w:sz w:val="18"/>
                <w:szCs w:val="18"/>
                <w:color w:val="auto"/>
              </w:rPr>
              <w:t>------------</w:t>
            </w:r>
          </w:p>
        </w:tc>
        <w:tc>
          <w:tcPr>
            <w:tcW w:w="27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0" w:lineRule="exact"/>
        <w:rPr>
          <w:sz w:val="20"/>
          <w:szCs w:val="20"/>
          <w:color w:val="auto"/>
        </w:rPr>
      </w:pPr>
    </w:p>
    <w:p>
      <w:pPr>
        <w:spacing w:after="0" w:line="204"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See accompanying Notes to Consolidated Condensed Financial Statements.</w:t>
      </w:r>
    </w:p>
    <w:p>
      <w:pPr>
        <w:spacing w:after="0" w:line="201"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3</w:t>
      </w:r>
    </w:p>
    <w:p>
      <w:pPr>
        <w:sectPr>
          <w:pgSz w:w="11900" w:h="16838" w:orient="portrait"/>
          <w:cols w:equalWidth="0" w:num="1">
            <w:col w:w="10219"/>
          </w:cols>
          <w:pgMar w:left="240" w:top="514" w:right="1440" w:bottom="1440" w:gutter="0" w:footer="0" w:header="0"/>
        </w:sectPr>
      </w:pPr>
    </w:p>
    <w:bookmarkStart w:id="3" w:name="page4"/>
    <w:bookmarkEnd w:id="3"/>
    <w:p>
      <w:pPr>
        <w:jc w:val="center"/>
        <w:ind w:right="1459"/>
        <w:spacing w:after="0"/>
        <w:rPr>
          <w:sz w:val="20"/>
          <w:szCs w:val="20"/>
          <w:color w:val="auto"/>
        </w:rPr>
      </w:pPr>
      <w:r>
        <w:rPr>
          <w:rFonts w:ascii="Courier New" w:cs="Courier New" w:eastAsia="Courier New" w:hAnsi="Courier New"/>
          <w:sz w:val="18"/>
          <w:szCs w:val="18"/>
          <w:color w:val="auto"/>
        </w:rPr>
        <w:t>HAWKINS CHEMICAL, INC. AND SUBSIDIARY</w:t>
      </w:r>
    </w:p>
    <w:p>
      <w:pPr>
        <w:jc w:val="center"/>
        <w:ind w:right="1459"/>
        <w:spacing w:after="0" w:line="238" w:lineRule="auto"/>
        <w:rPr>
          <w:sz w:val="20"/>
          <w:szCs w:val="20"/>
          <w:color w:val="auto"/>
        </w:rPr>
      </w:pPr>
      <w:r>
        <w:rPr>
          <w:rFonts w:ascii="Courier New" w:cs="Courier New" w:eastAsia="Courier New" w:hAnsi="Courier New"/>
          <w:sz w:val="18"/>
          <w:szCs w:val="18"/>
          <w:color w:val="auto"/>
        </w:rPr>
        <w:t>CONSOLIDATED CONDENSED STATEMENTS OF INCOME</w:t>
      </w:r>
    </w:p>
    <w:p>
      <w:pPr>
        <w:spacing w:after="0" w:line="202"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220" w:type="dxa"/>
            <w:vAlign w:val="bottom"/>
          </w:tcPr>
          <w:p>
            <w:pPr>
              <w:spacing w:after="0"/>
              <w:rPr>
                <w:sz w:val="17"/>
                <w:szCs w:val="17"/>
                <w:color w:val="auto"/>
              </w:rPr>
            </w:pPr>
          </w:p>
        </w:tc>
        <w:tc>
          <w:tcPr>
            <w:tcW w:w="3060" w:type="dxa"/>
            <w:vAlign w:val="bottom"/>
            <w:gridSpan w:val="2"/>
          </w:tcPr>
          <w:p>
            <w:pPr>
              <w:jc w:val="right"/>
              <w:ind w:right="132"/>
              <w:spacing w:after="0"/>
              <w:rPr>
                <w:sz w:val="20"/>
                <w:szCs w:val="20"/>
                <w:color w:val="auto"/>
              </w:rPr>
            </w:pPr>
            <w:r>
              <w:rPr>
                <w:rFonts w:ascii="Courier New" w:cs="Courier New" w:eastAsia="Courier New" w:hAnsi="Courier New"/>
                <w:sz w:val="18"/>
                <w:szCs w:val="18"/>
                <w:color w:val="auto"/>
              </w:rPr>
              <w:t>Three Months Ended June 30</w:t>
            </w:r>
          </w:p>
        </w:tc>
        <w:tc>
          <w:tcPr>
            <w:tcW w:w="274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Nine Months Ended June 30</w:t>
            </w:r>
          </w:p>
        </w:tc>
      </w:tr>
      <w:tr>
        <w:trPr>
          <w:trHeight w:val="203"/>
        </w:trPr>
        <w:tc>
          <w:tcPr>
            <w:tcW w:w="4220" w:type="dxa"/>
            <w:vAlign w:val="bottom"/>
          </w:tcPr>
          <w:p>
            <w:pPr>
              <w:spacing w:after="0"/>
              <w:rPr>
                <w:sz w:val="17"/>
                <w:szCs w:val="17"/>
                <w:color w:val="auto"/>
              </w:rPr>
            </w:pPr>
          </w:p>
        </w:tc>
        <w:tc>
          <w:tcPr>
            <w:tcW w:w="148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1998</w:t>
            </w:r>
          </w:p>
        </w:tc>
        <w:tc>
          <w:tcPr>
            <w:tcW w:w="158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1997</w:t>
            </w:r>
          </w:p>
        </w:tc>
        <w:tc>
          <w:tcPr>
            <w:tcW w:w="142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1998</w:t>
            </w:r>
          </w:p>
        </w:tc>
        <w:tc>
          <w:tcPr>
            <w:tcW w:w="132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1997</w:t>
            </w:r>
          </w:p>
        </w:tc>
      </w:tr>
      <w:tr>
        <w:trPr>
          <w:trHeight w:val="203"/>
        </w:trPr>
        <w:tc>
          <w:tcPr>
            <w:tcW w:w="4220" w:type="dxa"/>
            <w:vAlign w:val="bottom"/>
          </w:tcPr>
          <w:p>
            <w:pPr>
              <w:spacing w:after="0"/>
              <w:rPr>
                <w:sz w:val="17"/>
                <w:szCs w:val="17"/>
                <w:color w:val="auto"/>
              </w:rPr>
            </w:pPr>
          </w:p>
        </w:tc>
        <w:tc>
          <w:tcPr>
            <w:tcW w:w="14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5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4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4220" w:type="dxa"/>
            <w:vAlign w:val="bottom"/>
          </w:tcPr>
          <w:p>
            <w:pPr>
              <w:spacing w:after="0"/>
              <w:rPr>
                <w:sz w:val="20"/>
                <w:szCs w:val="20"/>
                <w:color w:val="auto"/>
              </w:rPr>
            </w:pPr>
            <w:r>
              <w:rPr>
                <w:rFonts w:ascii="Courier New" w:cs="Courier New" w:eastAsia="Courier New" w:hAnsi="Courier New"/>
                <w:sz w:val="18"/>
                <w:szCs w:val="18"/>
                <w:color w:val="auto"/>
                <w:w w:val="99"/>
              </w:rPr>
              <w:t>Net sales..............................</w:t>
            </w:r>
          </w:p>
        </w:tc>
        <w:tc>
          <w:tcPr>
            <w:tcW w:w="148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$25,719,653</w:t>
            </w:r>
          </w:p>
        </w:tc>
        <w:tc>
          <w:tcPr>
            <w:tcW w:w="158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$23,866,512</w:t>
            </w:r>
          </w:p>
        </w:tc>
        <w:tc>
          <w:tcPr>
            <w:tcW w:w="1420" w:type="dxa"/>
            <w:vAlign w:val="bottom"/>
          </w:tcPr>
          <w:p>
            <w:pPr>
              <w:jc w:val="right"/>
              <w:ind w:right="72"/>
              <w:spacing w:after="0"/>
              <w:rPr>
                <w:sz w:val="20"/>
                <w:szCs w:val="20"/>
                <w:color w:val="auto"/>
              </w:rPr>
            </w:pPr>
            <w:r>
              <w:rPr>
                <w:rFonts w:ascii="Courier New" w:cs="Courier New" w:eastAsia="Courier New" w:hAnsi="Courier New"/>
                <w:sz w:val="18"/>
                <w:szCs w:val="18"/>
                <w:color w:val="auto"/>
              </w:rPr>
              <w:t>$70,703,030</w:t>
            </w:r>
          </w:p>
        </w:tc>
        <w:tc>
          <w:tcPr>
            <w:tcW w:w="1320" w:type="dxa"/>
            <w:vAlign w:val="bottom"/>
          </w:tcPr>
          <w:p>
            <w:pPr>
              <w:jc w:val="right"/>
              <w:ind w:right="12"/>
              <w:spacing w:after="0"/>
              <w:rPr>
                <w:sz w:val="20"/>
                <w:szCs w:val="20"/>
                <w:color w:val="auto"/>
              </w:rPr>
            </w:pPr>
            <w:r>
              <w:rPr>
                <w:rFonts w:ascii="Courier New" w:cs="Courier New" w:eastAsia="Courier New" w:hAnsi="Courier New"/>
                <w:sz w:val="18"/>
                <w:szCs w:val="18"/>
                <w:color w:val="auto"/>
              </w:rPr>
              <w:t>$64,476,068</w:t>
            </w:r>
          </w:p>
        </w:tc>
      </w:tr>
      <w:tr>
        <w:trPr>
          <w:trHeight w:val="203"/>
        </w:trPr>
        <w:tc>
          <w:tcPr>
            <w:tcW w:w="4220" w:type="dxa"/>
            <w:vAlign w:val="bottom"/>
          </w:tcPr>
          <w:p>
            <w:pPr>
              <w:spacing w:after="0"/>
              <w:rPr>
                <w:sz w:val="17"/>
                <w:szCs w:val="17"/>
                <w:color w:val="auto"/>
              </w:rPr>
            </w:pPr>
          </w:p>
        </w:tc>
        <w:tc>
          <w:tcPr>
            <w:tcW w:w="14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5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4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220" w:type="dxa"/>
            <w:vAlign w:val="bottom"/>
          </w:tcPr>
          <w:p>
            <w:pPr>
              <w:spacing w:after="0" w:line="203" w:lineRule="exact"/>
              <w:rPr>
                <w:sz w:val="20"/>
                <w:szCs w:val="20"/>
                <w:color w:val="auto"/>
              </w:rPr>
            </w:pPr>
            <w:r>
              <w:rPr>
                <w:rFonts w:ascii="Courier New" w:cs="Courier New" w:eastAsia="Courier New" w:hAnsi="Courier New"/>
                <w:sz w:val="18"/>
                <w:szCs w:val="18"/>
                <w:color w:val="auto"/>
              </w:rPr>
              <w:t>Costs and expenses:</w:t>
            </w:r>
          </w:p>
        </w:tc>
        <w:tc>
          <w:tcPr>
            <w:tcW w:w="148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03"/>
        </w:trPr>
        <w:tc>
          <w:tcPr>
            <w:tcW w:w="42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Cost of sales........................</w:t>
            </w:r>
          </w:p>
        </w:tc>
        <w:tc>
          <w:tcPr>
            <w:tcW w:w="14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19,537,731</w:t>
            </w:r>
          </w:p>
        </w:tc>
        <w:tc>
          <w:tcPr>
            <w:tcW w:w="15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17,966,900</w:t>
            </w:r>
          </w:p>
        </w:tc>
        <w:tc>
          <w:tcPr>
            <w:tcW w:w="14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54,514,634</w:t>
            </w:r>
          </w:p>
        </w:tc>
        <w:tc>
          <w:tcPr>
            <w:tcW w:w="13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49,985,070</w:t>
            </w:r>
          </w:p>
        </w:tc>
      </w:tr>
      <w:tr>
        <w:trPr>
          <w:trHeight w:val="203"/>
        </w:trPr>
        <w:tc>
          <w:tcPr>
            <w:tcW w:w="42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Selling, general and administrative..</w:t>
            </w:r>
          </w:p>
        </w:tc>
        <w:tc>
          <w:tcPr>
            <w:tcW w:w="14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2,805,881</w:t>
            </w:r>
          </w:p>
        </w:tc>
        <w:tc>
          <w:tcPr>
            <w:tcW w:w="15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2,741,391</w:t>
            </w:r>
          </w:p>
        </w:tc>
        <w:tc>
          <w:tcPr>
            <w:tcW w:w="14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7,526,496</w:t>
            </w:r>
          </w:p>
        </w:tc>
        <w:tc>
          <w:tcPr>
            <w:tcW w:w="13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7,091,513</w:t>
            </w:r>
          </w:p>
        </w:tc>
      </w:tr>
      <w:tr>
        <w:trPr>
          <w:trHeight w:val="203"/>
        </w:trPr>
        <w:tc>
          <w:tcPr>
            <w:tcW w:w="4220" w:type="dxa"/>
            <w:vAlign w:val="bottom"/>
          </w:tcPr>
          <w:p>
            <w:pPr>
              <w:spacing w:after="0"/>
              <w:rPr>
                <w:sz w:val="17"/>
                <w:szCs w:val="17"/>
                <w:color w:val="auto"/>
              </w:rPr>
            </w:pPr>
          </w:p>
        </w:tc>
        <w:tc>
          <w:tcPr>
            <w:tcW w:w="14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5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4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2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Total costs and expenses..........</w:t>
            </w:r>
          </w:p>
        </w:tc>
        <w:tc>
          <w:tcPr>
            <w:tcW w:w="14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22,343,612</w:t>
            </w:r>
          </w:p>
        </w:tc>
        <w:tc>
          <w:tcPr>
            <w:tcW w:w="15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20,708,291</w:t>
            </w:r>
          </w:p>
        </w:tc>
        <w:tc>
          <w:tcPr>
            <w:tcW w:w="14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62,041,130</w:t>
            </w:r>
          </w:p>
        </w:tc>
        <w:tc>
          <w:tcPr>
            <w:tcW w:w="13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57,076,583</w:t>
            </w:r>
          </w:p>
        </w:tc>
      </w:tr>
      <w:tr>
        <w:trPr>
          <w:trHeight w:val="203"/>
        </w:trPr>
        <w:tc>
          <w:tcPr>
            <w:tcW w:w="4220" w:type="dxa"/>
            <w:vAlign w:val="bottom"/>
          </w:tcPr>
          <w:p>
            <w:pPr>
              <w:spacing w:after="0"/>
              <w:rPr>
                <w:sz w:val="17"/>
                <w:szCs w:val="17"/>
                <w:color w:val="auto"/>
              </w:rPr>
            </w:pPr>
          </w:p>
        </w:tc>
        <w:tc>
          <w:tcPr>
            <w:tcW w:w="14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5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4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2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7"/>
              </w:rPr>
              <w:t>Income from operations.................</w:t>
            </w:r>
          </w:p>
        </w:tc>
        <w:tc>
          <w:tcPr>
            <w:tcW w:w="14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3,376,041</w:t>
            </w:r>
          </w:p>
        </w:tc>
        <w:tc>
          <w:tcPr>
            <w:tcW w:w="15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3,158,221</w:t>
            </w:r>
          </w:p>
        </w:tc>
        <w:tc>
          <w:tcPr>
            <w:tcW w:w="14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8,661,900</w:t>
            </w:r>
          </w:p>
        </w:tc>
        <w:tc>
          <w:tcPr>
            <w:tcW w:w="13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7,399,485</w:t>
            </w:r>
          </w:p>
        </w:tc>
      </w:tr>
      <w:tr>
        <w:trPr>
          <w:trHeight w:val="203"/>
        </w:trPr>
        <w:tc>
          <w:tcPr>
            <w:tcW w:w="4220" w:type="dxa"/>
            <w:vAlign w:val="bottom"/>
          </w:tcPr>
          <w:p>
            <w:pPr>
              <w:spacing w:after="0"/>
              <w:rPr>
                <w:sz w:val="17"/>
                <w:szCs w:val="17"/>
                <w:color w:val="auto"/>
              </w:rPr>
            </w:pPr>
          </w:p>
        </w:tc>
        <w:tc>
          <w:tcPr>
            <w:tcW w:w="14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5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4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220" w:type="dxa"/>
            <w:vAlign w:val="bottom"/>
          </w:tcPr>
          <w:p>
            <w:pPr>
              <w:spacing w:after="0" w:line="203" w:lineRule="exact"/>
              <w:rPr>
                <w:sz w:val="20"/>
                <w:szCs w:val="20"/>
                <w:color w:val="auto"/>
              </w:rPr>
            </w:pPr>
            <w:r>
              <w:rPr>
                <w:rFonts w:ascii="Courier New" w:cs="Courier New" w:eastAsia="Courier New" w:hAnsi="Courier New"/>
                <w:sz w:val="18"/>
                <w:szCs w:val="18"/>
                <w:color w:val="auto"/>
              </w:rPr>
              <w:t>Other income (deductions):</w:t>
            </w:r>
          </w:p>
        </w:tc>
        <w:tc>
          <w:tcPr>
            <w:tcW w:w="148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03"/>
        </w:trPr>
        <w:tc>
          <w:tcPr>
            <w:tcW w:w="42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Interest income......................</w:t>
            </w:r>
          </w:p>
        </w:tc>
        <w:tc>
          <w:tcPr>
            <w:tcW w:w="14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301,764</w:t>
            </w:r>
          </w:p>
        </w:tc>
        <w:tc>
          <w:tcPr>
            <w:tcW w:w="15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341,547</w:t>
            </w:r>
          </w:p>
        </w:tc>
        <w:tc>
          <w:tcPr>
            <w:tcW w:w="14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963,513</w:t>
            </w:r>
          </w:p>
        </w:tc>
        <w:tc>
          <w:tcPr>
            <w:tcW w:w="13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864,160</w:t>
            </w:r>
          </w:p>
        </w:tc>
      </w:tr>
      <w:tr>
        <w:trPr>
          <w:trHeight w:val="203"/>
        </w:trPr>
        <w:tc>
          <w:tcPr>
            <w:tcW w:w="42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Interest expense.....................</w:t>
            </w:r>
          </w:p>
        </w:tc>
        <w:tc>
          <w:tcPr>
            <w:tcW w:w="14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(11,181)</w:t>
            </w:r>
          </w:p>
        </w:tc>
        <w:tc>
          <w:tcPr>
            <w:tcW w:w="15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(11,958)</w:t>
            </w:r>
          </w:p>
        </w:tc>
        <w:tc>
          <w:tcPr>
            <w:tcW w:w="1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(32,722)</w:t>
            </w:r>
          </w:p>
        </w:tc>
        <w:tc>
          <w:tcPr>
            <w:tcW w:w="1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(35,620)</w:t>
            </w:r>
          </w:p>
        </w:tc>
      </w:tr>
      <w:tr>
        <w:trPr>
          <w:trHeight w:val="203"/>
        </w:trPr>
        <w:tc>
          <w:tcPr>
            <w:tcW w:w="42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Gain on sale of The Lynde Company....</w:t>
            </w:r>
          </w:p>
        </w:tc>
        <w:tc>
          <w:tcPr>
            <w:tcW w:w="1480" w:type="dxa"/>
            <w:vAlign w:val="bottom"/>
          </w:tcPr>
          <w:p>
            <w:pPr>
              <w:spacing w:after="0"/>
              <w:rPr>
                <w:sz w:val="17"/>
                <w:szCs w:val="17"/>
                <w:color w:val="auto"/>
              </w:rPr>
            </w:pPr>
          </w:p>
        </w:tc>
        <w:tc>
          <w:tcPr>
            <w:tcW w:w="15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1,324,827</w:t>
            </w:r>
          </w:p>
        </w:tc>
        <w:tc>
          <w:tcPr>
            <w:tcW w:w="1420" w:type="dxa"/>
            <w:vAlign w:val="bottom"/>
          </w:tcPr>
          <w:p>
            <w:pPr>
              <w:spacing w:after="0"/>
              <w:rPr>
                <w:sz w:val="17"/>
                <w:szCs w:val="17"/>
                <w:color w:val="auto"/>
              </w:rPr>
            </w:pPr>
          </w:p>
        </w:tc>
        <w:tc>
          <w:tcPr>
            <w:tcW w:w="13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1,324,827</w:t>
            </w:r>
          </w:p>
        </w:tc>
      </w:tr>
      <w:tr>
        <w:trPr>
          <w:trHeight w:val="203"/>
        </w:trPr>
        <w:tc>
          <w:tcPr>
            <w:tcW w:w="42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Miscellaneous........................</w:t>
            </w:r>
          </w:p>
        </w:tc>
        <w:tc>
          <w:tcPr>
            <w:tcW w:w="14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16,823</w:t>
            </w:r>
          </w:p>
        </w:tc>
        <w:tc>
          <w:tcPr>
            <w:tcW w:w="15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65,211</w:t>
            </w:r>
          </w:p>
        </w:tc>
        <w:tc>
          <w:tcPr>
            <w:tcW w:w="14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50,608</w:t>
            </w:r>
          </w:p>
        </w:tc>
        <w:tc>
          <w:tcPr>
            <w:tcW w:w="13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153,472</w:t>
            </w:r>
          </w:p>
        </w:tc>
      </w:tr>
      <w:tr>
        <w:trPr>
          <w:trHeight w:val="203"/>
        </w:trPr>
        <w:tc>
          <w:tcPr>
            <w:tcW w:w="4220" w:type="dxa"/>
            <w:vAlign w:val="bottom"/>
          </w:tcPr>
          <w:p>
            <w:pPr>
              <w:spacing w:after="0"/>
              <w:rPr>
                <w:sz w:val="17"/>
                <w:szCs w:val="17"/>
                <w:color w:val="auto"/>
              </w:rPr>
            </w:pPr>
          </w:p>
        </w:tc>
        <w:tc>
          <w:tcPr>
            <w:tcW w:w="14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5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4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2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Total other income (deductions)...</w:t>
            </w:r>
          </w:p>
        </w:tc>
        <w:tc>
          <w:tcPr>
            <w:tcW w:w="14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307,406</w:t>
            </w:r>
          </w:p>
        </w:tc>
        <w:tc>
          <w:tcPr>
            <w:tcW w:w="15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1,719,627</w:t>
            </w:r>
          </w:p>
        </w:tc>
        <w:tc>
          <w:tcPr>
            <w:tcW w:w="14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981,399</w:t>
            </w:r>
          </w:p>
        </w:tc>
        <w:tc>
          <w:tcPr>
            <w:tcW w:w="13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2,306,839</w:t>
            </w:r>
          </w:p>
        </w:tc>
      </w:tr>
      <w:tr>
        <w:trPr>
          <w:trHeight w:val="203"/>
        </w:trPr>
        <w:tc>
          <w:tcPr>
            <w:tcW w:w="4220" w:type="dxa"/>
            <w:vAlign w:val="bottom"/>
          </w:tcPr>
          <w:p>
            <w:pPr>
              <w:spacing w:after="0"/>
              <w:rPr>
                <w:sz w:val="17"/>
                <w:szCs w:val="17"/>
                <w:color w:val="auto"/>
              </w:rPr>
            </w:pPr>
          </w:p>
        </w:tc>
        <w:tc>
          <w:tcPr>
            <w:tcW w:w="14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5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4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2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7"/>
              </w:rPr>
              <w:t>Income before income taxes.............</w:t>
            </w:r>
          </w:p>
        </w:tc>
        <w:tc>
          <w:tcPr>
            <w:tcW w:w="14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3,683,447</w:t>
            </w:r>
          </w:p>
        </w:tc>
        <w:tc>
          <w:tcPr>
            <w:tcW w:w="15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4,877,848</w:t>
            </w:r>
          </w:p>
        </w:tc>
        <w:tc>
          <w:tcPr>
            <w:tcW w:w="14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9,643,299</w:t>
            </w:r>
          </w:p>
        </w:tc>
        <w:tc>
          <w:tcPr>
            <w:tcW w:w="13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9,706,324</w:t>
            </w:r>
          </w:p>
        </w:tc>
      </w:tr>
      <w:tr>
        <w:trPr>
          <w:trHeight w:val="405"/>
        </w:trPr>
        <w:tc>
          <w:tcPr>
            <w:tcW w:w="4220" w:type="dxa"/>
            <w:vAlign w:val="bottom"/>
          </w:tcPr>
          <w:p>
            <w:pPr>
              <w:jc w:val="right"/>
              <w:ind w:right="12"/>
              <w:spacing w:after="0"/>
              <w:rPr>
                <w:sz w:val="20"/>
                <w:szCs w:val="20"/>
                <w:color w:val="auto"/>
              </w:rPr>
            </w:pPr>
            <w:r>
              <w:rPr>
                <w:rFonts w:ascii="Courier New" w:cs="Courier New" w:eastAsia="Courier New" w:hAnsi="Courier New"/>
                <w:sz w:val="18"/>
                <w:szCs w:val="18"/>
                <w:color w:val="auto"/>
                <w:w w:val="97"/>
              </w:rPr>
              <w:t>Provision for income taxes.............</w:t>
            </w:r>
          </w:p>
        </w:tc>
        <w:tc>
          <w:tcPr>
            <w:tcW w:w="148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1,454,200</w:t>
            </w:r>
          </w:p>
        </w:tc>
        <w:tc>
          <w:tcPr>
            <w:tcW w:w="158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1,914,600</w:t>
            </w:r>
          </w:p>
        </w:tc>
        <w:tc>
          <w:tcPr>
            <w:tcW w:w="1420" w:type="dxa"/>
            <w:vAlign w:val="bottom"/>
          </w:tcPr>
          <w:p>
            <w:pPr>
              <w:jc w:val="right"/>
              <w:ind w:right="72"/>
              <w:spacing w:after="0"/>
              <w:rPr>
                <w:sz w:val="20"/>
                <w:szCs w:val="20"/>
                <w:color w:val="auto"/>
              </w:rPr>
            </w:pPr>
            <w:r>
              <w:rPr>
                <w:rFonts w:ascii="Courier New" w:cs="Courier New" w:eastAsia="Courier New" w:hAnsi="Courier New"/>
                <w:sz w:val="18"/>
                <w:szCs w:val="18"/>
                <w:color w:val="auto"/>
              </w:rPr>
              <w:t>3,799,500</w:t>
            </w:r>
          </w:p>
        </w:tc>
        <w:tc>
          <w:tcPr>
            <w:tcW w:w="1320" w:type="dxa"/>
            <w:vAlign w:val="bottom"/>
          </w:tcPr>
          <w:p>
            <w:pPr>
              <w:jc w:val="right"/>
              <w:ind w:right="12"/>
              <w:spacing w:after="0"/>
              <w:rPr>
                <w:sz w:val="20"/>
                <w:szCs w:val="20"/>
                <w:color w:val="auto"/>
              </w:rPr>
            </w:pPr>
            <w:r>
              <w:rPr>
                <w:rFonts w:ascii="Courier New" w:cs="Courier New" w:eastAsia="Courier New" w:hAnsi="Courier New"/>
                <w:sz w:val="18"/>
                <w:szCs w:val="18"/>
                <w:color w:val="auto"/>
              </w:rPr>
              <w:t>3,809,800</w:t>
            </w:r>
          </w:p>
        </w:tc>
      </w:tr>
      <w:tr>
        <w:trPr>
          <w:trHeight w:val="203"/>
        </w:trPr>
        <w:tc>
          <w:tcPr>
            <w:tcW w:w="4220" w:type="dxa"/>
            <w:vAlign w:val="bottom"/>
          </w:tcPr>
          <w:p>
            <w:pPr>
              <w:spacing w:after="0"/>
              <w:rPr>
                <w:sz w:val="17"/>
                <w:szCs w:val="17"/>
                <w:color w:val="auto"/>
              </w:rPr>
            </w:pPr>
          </w:p>
        </w:tc>
        <w:tc>
          <w:tcPr>
            <w:tcW w:w="14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5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4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2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7"/>
              </w:rPr>
              <w:t>Net income.............................</w:t>
            </w:r>
          </w:p>
        </w:tc>
        <w:tc>
          <w:tcPr>
            <w:tcW w:w="14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$ 2,229,247</w:t>
            </w:r>
          </w:p>
        </w:tc>
        <w:tc>
          <w:tcPr>
            <w:tcW w:w="15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$ 2,963,248</w:t>
            </w:r>
          </w:p>
        </w:tc>
        <w:tc>
          <w:tcPr>
            <w:tcW w:w="14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$ 5,843,799</w:t>
            </w:r>
          </w:p>
        </w:tc>
        <w:tc>
          <w:tcPr>
            <w:tcW w:w="13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$ 5,896,524</w:t>
            </w:r>
          </w:p>
        </w:tc>
      </w:tr>
      <w:tr>
        <w:trPr>
          <w:trHeight w:val="203"/>
        </w:trPr>
        <w:tc>
          <w:tcPr>
            <w:tcW w:w="4220" w:type="dxa"/>
            <w:vAlign w:val="bottom"/>
          </w:tcPr>
          <w:p>
            <w:pPr>
              <w:spacing w:after="0"/>
              <w:rPr>
                <w:sz w:val="17"/>
                <w:szCs w:val="17"/>
                <w:color w:val="auto"/>
              </w:rPr>
            </w:pPr>
          </w:p>
        </w:tc>
        <w:tc>
          <w:tcPr>
            <w:tcW w:w="14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5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4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220" w:type="dxa"/>
            <w:vAlign w:val="bottom"/>
          </w:tcPr>
          <w:p>
            <w:pPr>
              <w:spacing w:after="0"/>
              <w:rPr>
                <w:sz w:val="17"/>
                <w:szCs w:val="17"/>
                <w:color w:val="auto"/>
              </w:rPr>
            </w:pPr>
          </w:p>
        </w:tc>
        <w:tc>
          <w:tcPr>
            <w:tcW w:w="14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5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4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220" w:type="dxa"/>
            <w:vAlign w:val="bottom"/>
          </w:tcPr>
          <w:p>
            <w:pPr>
              <w:spacing w:after="0" w:line="203" w:lineRule="exact"/>
              <w:rPr>
                <w:sz w:val="20"/>
                <w:szCs w:val="20"/>
                <w:color w:val="auto"/>
              </w:rPr>
            </w:pPr>
            <w:r>
              <w:rPr>
                <w:rFonts w:ascii="Courier New" w:cs="Courier New" w:eastAsia="Courier New" w:hAnsi="Courier New"/>
                <w:sz w:val="18"/>
                <w:szCs w:val="18"/>
                <w:color w:val="auto"/>
              </w:rPr>
              <w:t>Weighted average number of common</w:t>
            </w:r>
          </w:p>
        </w:tc>
        <w:tc>
          <w:tcPr>
            <w:tcW w:w="148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03"/>
        </w:trPr>
        <w:tc>
          <w:tcPr>
            <w:tcW w:w="42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shares outstanding...................</w:t>
            </w:r>
          </w:p>
        </w:tc>
        <w:tc>
          <w:tcPr>
            <w:tcW w:w="14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11,603,895</w:t>
            </w:r>
          </w:p>
        </w:tc>
        <w:tc>
          <w:tcPr>
            <w:tcW w:w="15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11,603,895</w:t>
            </w:r>
          </w:p>
        </w:tc>
        <w:tc>
          <w:tcPr>
            <w:tcW w:w="14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11,603,895</w:t>
            </w:r>
          </w:p>
        </w:tc>
        <w:tc>
          <w:tcPr>
            <w:tcW w:w="13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11,603,895</w:t>
            </w:r>
          </w:p>
        </w:tc>
      </w:tr>
      <w:tr>
        <w:trPr>
          <w:trHeight w:val="203"/>
        </w:trPr>
        <w:tc>
          <w:tcPr>
            <w:tcW w:w="4220" w:type="dxa"/>
            <w:vAlign w:val="bottom"/>
          </w:tcPr>
          <w:p>
            <w:pPr>
              <w:spacing w:after="0"/>
              <w:rPr>
                <w:sz w:val="17"/>
                <w:szCs w:val="17"/>
                <w:color w:val="auto"/>
              </w:rPr>
            </w:pPr>
          </w:p>
        </w:tc>
        <w:tc>
          <w:tcPr>
            <w:tcW w:w="14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5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4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220" w:type="dxa"/>
            <w:vAlign w:val="bottom"/>
          </w:tcPr>
          <w:p>
            <w:pPr>
              <w:spacing w:after="0"/>
              <w:rPr>
                <w:sz w:val="17"/>
                <w:szCs w:val="17"/>
                <w:color w:val="auto"/>
              </w:rPr>
            </w:pPr>
          </w:p>
        </w:tc>
        <w:tc>
          <w:tcPr>
            <w:tcW w:w="14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5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4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220" w:type="dxa"/>
            <w:vAlign w:val="bottom"/>
          </w:tcPr>
          <w:p>
            <w:pPr>
              <w:spacing w:after="0" w:line="203" w:lineRule="exact"/>
              <w:rPr>
                <w:sz w:val="20"/>
                <w:szCs w:val="20"/>
                <w:color w:val="auto"/>
              </w:rPr>
            </w:pPr>
            <w:r>
              <w:rPr>
                <w:rFonts w:ascii="Courier New" w:cs="Courier New" w:eastAsia="Courier New" w:hAnsi="Courier New"/>
                <w:sz w:val="18"/>
                <w:szCs w:val="18"/>
                <w:color w:val="auto"/>
              </w:rPr>
              <w:t>Earnings per common share - basic</w:t>
            </w:r>
          </w:p>
        </w:tc>
        <w:tc>
          <w:tcPr>
            <w:tcW w:w="148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03"/>
        </w:trPr>
        <w:tc>
          <w:tcPr>
            <w:tcW w:w="42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and diluted..........................</w:t>
            </w:r>
          </w:p>
        </w:tc>
        <w:tc>
          <w:tcPr>
            <w:tcW w:w="14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$0.19</w:t>
            </w:r>
          </w:p>
        </w:tc>
        <w:tc>
          <w:tcPr>
            <w:tcW w:w="15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$0.26</w:t>
            </w:r>
          </w:p>
        </w:tc>
        <w:tc>
          <w:tcPr>
            <w:tcW w:w="14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$0.50</w:t>
            </w:r>
          </w:p>
        </w:tc>
        <w:tc>
          <w:tcPr>
            <w:tcW w:w="13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$0.51</w:t>
            </w:r>
          </w:p>
        </w:tc>
      </w:tr>
      <w:tr>
        <w:trPr>
          <w:trHeight w:val="203"/>
        </w:trPr>
        <w:tc>
          <w:tcPr>
            <w:tcW w:w="4220" w:type="dxa"/>
            <w:vAlign w:val="bottom"/>
          </w:tcPr>
          <w:p>
            <w:pPr>
              <w:spacing w:after="0"/>
              <w:rPr>
                <w:sz w:val="17"/>
                <w:szCs w:val="17"/>
                <w:color w:val="auto"/>
              </w:rPr>
            </w:pPr>
          </w:p>
        </w:tc>
        <w:tc>
          <w:tcPr>
            <w:tcW w:w="14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5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4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220" w:type="dxa"/>
            <w:vAlign w:val="bottom"/>
          </w:tcPr>
          <w:p>
            <w:pPr>
              <w:spacing w:after="0"/>
              <w:rPr>
                <w:sz w:val="17"/>
                <w:szCs w:val="17"/>
                <w:color w:val="auto"/>
              </w:rPr>
            </w:pPr>
          </w:p>
        </w:tc>
        <w:tc>
          <w:tcPr>
            <w:tcW w:w="14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5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4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0" w:lineRule="exact"/>
        <w:rPr>
          <w:sz w:val="20"/>
          <w:szCs w:val="20"/>
          <w:color w:val="auto"/>
        </w:rPr>
      </w:pPr>
    </w:p>
    <w:p>
      <w:pPr>
        <w:spacing w:after="0" w:line="204"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See accompanying Notes to Consolidated Condensed Financial Statements.</w:t>
      </w:r>
    </w:p>
    <w:p>
      <w:pPr>
        <w:spacing w:after="0" w:line="201"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4</w:t>
      </w:r>
    </w:p>
    <w:p>
      <w:pPr>
        <w:sectPr>
          <w:pgSz w:w="11900" w:h="16838" w:orient="portrait"/>
          <w:cols w:equalWidth="0" w:num="1">
            <w:col w:w="10219"/>
          </w:cols>
          <w:pgMar w:left="240" w:top="717" w:right="1440" w:bottom="1440" w:gutter="0" w:footer="0" w:header="0"/>
        </w:sectPr>
      </w:pPr>
    </w:p>
    <w:bookmarkStart w:id="4" w:name="page5"/>
    <w:bookmarkEnd w:id="4"/>
    <w:p>
      <w:pPr>
        <w:jc w:val="center"/>
        <w:ind w:right="1459"/>
        <w:spacing w:after="0"/>
        <w:rPr>
          <w:sz w:val="20"/>
          <w:szCs w:val="20"/>
          <w:color w:val="auto"/>
        </w:rPr>
      </w:pPr>
      <w:r>
        <w:rPr>
          <w:rFonts w:ascii="Courier New" w:cs="Courier New" w:eastAsia="Courier New" w:hAnsi="Courier New"/>
          <w:sz w:val="18"/>
          <w:szCs w:val="18"/>
          <w:color w:val="auto"/>
        </w:rPr>
        <w:t>HAWKINS CHEMICAL, INC. AND SUBSIDIARY</w:t>
      </w:r>
    </w:p>
    <w:p>
      <w:pPr>
        <w:jc w:val="center"/>
        <w:ind w:right="1459"/>
        <w:spacing w:after="0" w:line="238" w:lineRule="auto"/>
        <w:rPr>
          <w:sz w:val="20"/>
          <w:szCs w:val="20"/>
          <w:color w:val="auto"/>
        </w:rPr>
      </w:pPr>
      <w:r>
        <w:rPr>
          <w:rFonts w:ascii="Courier New" w:cs="Courier New" w:eastAsia="Courier New" w:hAnsi="Courier New"/>
          <w:sz w:val="18"/>
          <w:szCs w:val="18"/>
          <w:color w:val="auto"/>
        </w:rPr>
        <w:t>CONSOLIDATED CONDENSED STATEMENTS OF CASH FLOWS</w:t>
      </w:r>
    </w:p>
    <w:p>
      <w:pPr>
        <w:spacing w:after="0" w:line="202"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3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060" w:type="dxa"/>
            <w:vAlign w:val="bottom"/>
            <w:gridSpan w:val="3"/>
          </w:tcPr>
          <w:p>
            <w:pPr>
              <w:ind w:left="100"/>
              <w:spacing w:after="0"/>
              <w:rPr>
                <w:sz w:val="20"/>
                <w:szCs w:val="20"/>
                <w:color w:val="auto"/>
              </w:rPr>
            </w:pPr>
            <w:r>
              <w:rPr>
                <w:rFonts w:ascii="Courier New" w:cs="Courier New" w:eastAsia="Courier New" w:hAnsi="Courier New"/>
                <w:sz w:val="18"/>
                <w:szCs w:val="18"/>
                <w:color w:val="auto"/>
              </w:rPr>
              <w:t>NINE MONTHS ENDED JUNE 30</w:t>
            </w:r>
          </w:p>
        </w:tc>
      </w:tr>
      <w:tr>
        <w:trPr>
          <w:trHeight w:val="203"/>
        </w:trPr>
        <w:tc>
          <w:tcPr>
            <w:tcW w:w="43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060" w:type="dxa"/>
            <w:vAlign w:val="bottom"/>
            <w:gridSpan w:val="3"/>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3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80" w:type="dxa"/>
            <w:vAlign w:val="bottom"/>
          </w:tcPr>
          <w:p>
            <w:pPr>
              <w:jc w:val="right"/>
              <w:ind w:right="652"/>
              <w:spacing w:after="0" w:line="203" w:lineRule="exact"/>
              <w:rPr>
                <w:sz w:val="20"/>
                <w:szCs w:val="20"/>
                <w:color w:val="auto"/>
              </w:rPr>
            </w:pPr>
            <w:r>
              <w:rPr>
                <w:rFonts w:ascii="Courier New" w:cs="Courier New" w:eastAsia="Courier New" w:hAnsi="Courier New"/>
                <w:sz w:val="18"/>
                <w:szCs w:val="18"/>
                <w:color w:val="auto"/>
              </w:rPr>
              <w:t>1998</w:t>
            </w:r>
          </w:p>
        </w:tc>
        <w:tc>
          <w:tcPr>
            <w:tcW w:w="420" w:type="dxa"/>
            <w:vAlign w:val="bottom"/>
          </w:tcPr>
          <w:p>
            <w:pPr>
              <w:spacing w:after="0"/>
              <w:rPr>
                <w:sz w:val="17"/>
                <w:szCs w:val="17"/>
                <w:color w:val="auto"/>
              </w:rPr>
            </w:pPr>
          </w:p>
        </w:tc>
        <w:tc>
          <w:tcPr>
            <w:tcW w:w="11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1997</w:t>
            </w:r>
          </w:p>
        </w:tc>
      </w:tr>
      <w:tr>
        <w:trPr>
          <w:trHeight w:val="203"/>
        </w:trPr>
        <w:tc>
          <w:tcPr>
            <w:tcW w:w="43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w:t>
            </w:r>
          </w:p>
        </w:tc>
        <w:tc>
          <w:tcPr>
            <w:tcW w:w="420" w:type="dxa"/>
            <w:vAlign w:val="bottom"/>
          </w:tcPr>
          <w:p>
            <w:pPr>
              <w:spacing w:after="0"/>
              <w:rPr>
                <w:sz w:val="17"/>
                <w:szCs w:val="17"/>
                <w:color w:val="auto"/>
              </w:rPr>
            </w:pPr>
          </w:p>
        </w:tc>
        <w:tc>
          <w:tcPr>
            <w:tcW w:w="11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4380" w:type="dxa"/>
            <w:vAlign w:val="bottom"/>
          </w:tcPr>
          <w:p>
            <w:pPr>
              <w:spacing w:after="0"/>
              <w:rPr>
                <w:sz w:val="20"/>
                <w:szCs w:val="20"/>
                <w:color w:val="auto"/>
              </w:rPr>
            </w:pPr>
            <w:r>
              <w:rPr>
                <w:rFonts w:ascii="Courier New" w:cs="Courier New" w:eastAsia="Courier New" w:hAnsi="Courier New"/>
                <w:sz w:val="18"/>
                <w:szCs w:val="18"/>
                <w:color w:val="auto"/>
              </w:rPr>
              <w:t>CASH FLOWS FROM OPERATING ACTIVITIES:</w:t>
            </w:r>
          </w:p>
        </w:tc>
        <w:tc>
          <w:tcPr>
            <w:tcW w:w="2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203"/>
        </w:trPr>
        <w:tc>
          <w:tcPr>
            <w:tcW w:w="43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Net income............................</w:t>
            </w:r>
          </w:p>
        </w:tc>
        <w:tc>
          <w:tcPr>
            <w:tcW w:w="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4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5,843,799</w:t>
            </w:r>
          </w:p>
        </w:tc>
        <w:tc>
          <w:tcPr>
            <w:tcW w:w="158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$ 5,896,524</w:t>
            </w:r>
          </w:p>
        </w:tc>
      </w:tr>
      <w:tr>
        <w:trPr>
          <w:trHeight w:val="203"/>
        </w:trPr>
        <w:tc>
          <w:tcPr>
            <w:tcW w:w="43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Depreciation and amortization.........</w:t>
            </w:r>
          </w:p>
        </w:tc>
        <w:tc>
          <w:tcPr>
            <w:tcW w:w="260" w:type="dxa"/>
            <w:vAlign w:val="bottom"/>
          </w:tcPr>
          <w:p>
            <w:pPr>
              <w:spacing w:after="0"/>
              <w:rPr>
                <w:sz w:val="17"/>
                <w:szCs w:val="17"/>
                <w:color w:val="auto"/>
              </w:rPr>
            </w:pPr>
          </w:p>
        </w:tc>
        <w:tc>
          <w:tcPr>
            <w:tcW w:w="14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1,357,843</w:t>
            </w:r>
          </w:p>
        </w:tc>
        <w:tc>
          <w:tcPr>
            <w:tcW w:w="420" w:type="dxa"/>
            <w:vAlign w:val="bottom"/>
          </w:tcPr>
          <w:p>
            <w:pPr>
              <w:spacing w:after="0"/>
              <w:rPr>
                <w:sz w:val="17"/>
                <w:szCs w:val="17"/>
                <w:color w:val="auto"/>
              </w:rPr>
            </w:pP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1,163,869</w:t>
            </w:r>
          </w:p>
        </w:tc>
      </w:tr>
      <w:tr>
        <w:trPr>
          <w:trHeight w:val="203"/>
        </w:trPr>
        <w:tc>
          <w:tcPr>
            <w:tcW w:w="43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Deferred income taxes.................</w:t>
            </w:r>
          </w:p>
        </w:tc>
        <w:tc>
          <w:tcPr>
            <w:tcW w:w="260" w:type="dxa"/>
            <w:vAlign w:val="bottom"/>
          </w:tcPr>
          <w:p>
            <w:pPr>
              <w:spacing w:after="0"/>
              <w:rPr>
                <w:sz w:val="17"/>
                <w:szCs w:val="17"/>
                <w:color w:val="auto"/>
              </w:rPr>
            </w:pPr>
          </w:p>
        </w:tc>
        <w:tc>
          <w:tcPr>
            <w:tcW w:w="14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122,000</w:t>
            </w:r>
          </w:p>
        </w:tc>
        <w:tc>
          <w:tcPr>
            <w:tcW w:w="420" w:type="dxa"/>
            <w:vAlign w:val="bottom"/>
          </w:tcPr>
          <w:p>
            <w:pPr>
              <w:spacing w:after="0"/>
              <w:rPr>
                <w:sz w:val="17"/>
                <w:szCs w:val="17"/>
                <w:color w:val="auto"/>
              </w:rPr>
            </w:pP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432,500</w:t>
            </w:r>
          </w:p>
        </w:tc>
      </w:tr>
      <w:tr>
        <w:trPr>
          <w:trHeight w:val="203"/>
        </w:trPr>
        <w:tc>
          <w:tcPr>
            <w:tcW w:w="43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Other.................................</w:t>
            </w:r>
          </w:p>
        </w:tc>
        <w:tc>
          <w:tcPr>
            <w:tcW w:w="260" w:type="dxa"/>
            <w:vAlign w:val="bottom"/>
          </w:tcPr>
          <w:p>
            <w:pPr>
              <w:spacing w:after="0"/>
              <w:rPr>
                <w:sz w:val="17"/>
                <w:szCs w:val="17"/>
                <w:color w:val="auto"/>
              </w:rPr>
            </w:pPr>
          </w:p>
        </w:tc>
        <w:tc>
          <w:tcPr>
            <w:tcW w:w="14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(79,715)</w:t>
            </w:r>
          </w:p>
        </w:tc>
        <w:tc>
          <w:tcPr>
            <w:tcW w:w="420" w:type="dxa"/>
            <w:vAlign w:val="bottom"/>
          </w:tcPr>
          <w:p>
            <w:pPr>
              <w:spacing w:after="0"/>
              <w:rPr>
                <w:sz w:val="17"/>
                <w:szCs w:val="17"/>
                <w:color w:val="auto"/>
              </w:rPr>
            </w:pP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(54,894)</w:t>
            </w:r>
          </w:p>
        </w:tc>
      </w:tr>
      <w:tr>
        <w:trPr>
          <w:trHeight w:val="203"/>
        </w:trPr>
        <w:tc>
          <w:tcPr>
            <w:tcW w:w="43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Changes in certain current assets</w:t>
            </w:r>
          </w:p>
        </w:tc>
        <w:tc>
          <w:tcPr>
            <w:tcW w:w="26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43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and liabilities......................</w:t>
            </w:r>
          </w:p>
        </w:tc>
        <w:tc>
          <w:tcPr>
            <w:tcW w:w="260" w:type="dxa"/>
            <w:vAlign w:val="bottom"/>
          </w:tcPr>
          <w:p>
            <w:pPr>
              <w:spacing w:after="0"/>
              <w:rPr>
                <w:sz w:val="17"/>
                <w:szCs w:val="17"/>
                <w:color w:val="auto"/>
              </w:rPr>
            </w:pPr>
          </w:p>
        </w:tc>
        <w:tc>
          <w:tcPr>
            <w:tcW w:w="14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w w:val="95"/>
              </w:rPr>
              <w:t>(3,504,210)</w:t>
            </w:r>
          </w:p>
        </w:tc>
        <w:tc>
          <w:tcPr>
            <w:tcW w:w="420" w:type="dxa"/>
            <w:vAlign w:val="bottom"/>
          </w:tcPr>
          <w:p>
            <w:pPr>
              <w:spacing w:after="0"/>
              <w:rPr>
                <w:sz w:val="17"/>
                <w:szCs w:val="17"/>
                <w:color w:val="auto"/>
              </w:rPr>
            </w:pP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(4,222,255)</w:t>
            </w:r>
          </w:p>
        </w:tc>
      </w:tr>
      <w:tr>
        <w:trPr>
          <w:trHeight w:val="203"/>
        </w:trPr>
        <w:tc>
          <w:tcPr>
            <w:tcW w:w="4380" w:type="dxa"/>
            <w:vAlign w:val="bottom"/>
          </w:tcPr>
          <w:p>
            <w:pPr>
              <w:spacing w:after="0"/>
              <w:rPr>
                <w:sz w:val="17"/>
                <w:szCs w:val="17"/>
                <w:color w:val="auto"/>
              </w:rPr>
            </w:pPr>
          </w:p>
        </w:tc>
        <w:tc>
          <w:tcPr>
            <w:tcW w:w="1740" w:type="dxa"/>
            <w:vAlign w:val="bottom"/>
            <w:gridSpan w:val="2"/>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158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38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Net cash provided by operating</w:t>
            </w:r>
          </w:p>
        </w:tc>
        <w:tc>
          <w:tcPr>
            <w:tcW w:w="26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43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activities.......................</w:t>
            </w:r>
          </w:p>
        </w:tc>
        <w:tc>
          <w:tcPr>
            <w:tcW w:w="260" w:type="dxa"/>
            <w:vAlign w:val="bottom"/>
          </w:tcPr>
          <w:p>
            <w:pPr>
              <w:spacing w:after="0"/>
              <w:rPr>
                <w:sz w:val="17"/>
                <w:szCs w:val="17"/>
                <w:color w:val="auto"/>
              </w:rPr>
            </w:pPr>
          </w:p>
        </w:tc>
        <w:tc>
          <w:tcPr>
            <w:tcW w:w="14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3,739,717</w:t>
            </w:r>
          </w:p>
        </w:tc>
        <w:tc>
          <w:tcPr>
            <w:tcW w:w="420" w:type="dxa"/>
            <w:vAlign w:val="bottom"/>
          </w:tcPr>
          <w:p>
            <w:pPr>
              <w:spacing w:after="0"/>
              <w:rPr>
                <w:sz w:val="17"/>
                <w:szCs w:val="17"/>
                <w:color w:val="auto"/>
              </w:rPr>
            </w:pP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3,215,744</w:t>
            </w:r>
          </w:p>
        </w:tc>
      </w:tr>
      <w:tr>
        <w:trPr>
          <w:trHeight w:val="203"/>
        </w:trPr>
        <w:tc>
          <w:tcPr>
            <w:tcW w:w="4380" w:type="dxa"/>
            <w:vAlign w:val="bottom"/>
          </w:tcPr>
          <w:p>
            <w:pPr>
              <w:spacing w:after="0"/>
              <w:rPr>
                <w:sz w:val="17"/>
                <w:szCs w:val="17"/>
                <w:color w:val="auto"/>
              </w:rPr>
            </w:pPr>
          </w:p>
        </w:tc>
        <w:tc>
          <w:tcPr>
            <w:tcW w:w="1740" w:type="dxa"/>
            <w:vAlign w:val="bottom"/>
            <w:gridSpan w:val="2"/>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158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380" w:type="dxa"/>
            <w:vAlign w:val="bottom"/>
          </w:tcPr>
          <w:p>
            <w:pPr>
              <w:spacing w:after="0" w:line="203" w:lineRule="exact"/>
              <w:rPr>
                <w:sz w:val="20"/>
                <w:szCs w:val="20"/>
                <w:color w:val="auto"/>
              </w:rPr>
            </w:pPr>
            <w:r>
              <w:rPr>
                <w:rFonts w:ascii="Courier New" w:cs="Courier New" w:eastAsia="Courier New" w:hAnsi="Courier New"/>
                <w:sz w:val="18"/>
                <w:szCs w:val="18"/>
                <w:color w:val="auto"/>
              </w:rPr>
              <w:t>CASH FLOWS FROM INVESTING ACTIVITIES:</w:t>
            </w:r>
          </w:p>
        </w:tc>
        <w:tc>
          <w:tcPr>
            <w:tcW w:w="26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43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Additions to property, plant and</w:t>
            </w:r>
          </w:p>
        </w:tc>
        <w:tc>
          <w:tcPr>
            <w:tcW w:w="26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43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equipment............................</w:t>
            </w:r>
          </w:p>
        </w:tc>
        <w:tc>
          <w:tcPr>
            <w:tcW w:w="260" w:type="dxa"/>
            <w:vAlign w:val="bottom"/>
          </w:tcPr>
          <w:p>
            <w:pPr>
              <w:spacing w:after="0"/>
              <w:rPr>
                <w:sz w:val="17"/>
                <w:szCs w:val="17"/>
                <w:color w:val="auto"/>
              </w:rPr>
            </w:pPr>
          </w:p>
        </w:tc>
        <w:tc>
          <w:tcPr>
            <w:tcW w:w="14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w w:val="95"/>
              </w:rPr>
              <w:t>(4,075,939)</w:t>
            </w:r>
          </w:p>
        </w:tc>
        <w:tc>
          <w:tcPr>
            <w:tcW w:w="420" w:type="dxa"/>
            <w:vAlign w:val="bottom"/>
          </w:tcPr>
          <w:p>
            <w:pPr>
              <w:spacing w:after="0"/>
              <w:rPr>
                <w:sz w:val="17"/>
                <w:szCs w:val="17"/>
                <w:color w:val="auto"/>
              </w:rPr>
            </w:pP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(2,660,706)</w:t>
            </w:r>
          </w:p>
        </w:tc>
      </w:tr>
      <w:tr>
        <w:trPr>
          <w:trHeight w:val="203"/>
        </w:trPr>
        <w:tc>
          <w:tcPr>
            <w:tcW w:w="43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Purchases of investments..............</w:t>
            </w:r>
          </w:p>
        </w:tc>
        <w:tc>
          <w:tcPr>
            <w:tcW w:w="260" w:type="dxa"/>
            <w:vAlign w:val="bottom"/>
          </w:tcPr>
          <w:p>
            <w:pPr>
              <w:spacing w:after="0"/>
              <w:rPr>
                <w:sz w:val="17"/>
                <w:szCs w:val="17"/>
                <w:color w:val="auto"/>
              </w:rPr>
            </w:pPr>
          </w:p>
        </w:tc>
        <w:tc>
          <w:tcPr>
            <w:tcW w:w="14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w w:val="95"/>
              </w:rPr>
              <w:t>(2,410,955)</w:t>
            </w:r>
          </w:p>
        </w:tc>
        <w:tc>
          <w:tcPr>
            <w:tcW w:w="420" w:type="dxa"/>
            <w:vAlign w:val="bottom"/>
          </w:tcPr>
          <w:p>
            <w:pPr>
              <w:spacing w:after="0"/>
              <w:rPr>
                <w:sz w:val="17"/>
                <w:szCs w:val="17"/>
                <w:color w:val="auto"/>
              </w:rPr>
            </w:pP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(368,068)</w:t>
            </w:r>
          </w:p>
        </w:tc>
      </w:tr>
      <w:tr>
        <w:trPr>
          <w:trHeight w:val="203"/>
        </w:trPr>
        <w:tc>
          <w:tcPr>
            <w:tcW w:w="43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Payments received on note receivable..</w:t>
            </w:r>
          </w:p>
        </w:tc>
        <w:tc>
          <w:tcPr>
            <w:tcW w:w="260" w:type="dxa"/>
            <w:vAlign w:val="bottom"/>
          </w:tcPr>
          <w:p>
            <w:pPr>
              <w:spacing w:after="0"/>
              <w:rPr>
                <w:sz w:val="17"/>
                <w:szCs w:val="17"/>
                <w:color w:val="auto"/>
              </w:rPr>
            </w:pPr>
          </w:p>
        </w:tc>
        <w:tc>
          <w:tcPr>
            <w:tcW w:w="14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234,643</w:t>
            </w:r>
          </w:p>
        </w:tc>
        <w:tc>
          <w:tcPr>
            <w:tcW w:w="420" w:type="dxa"/>
            <w:vAlign w:val="bottom"/>
          </w:tcPr>
          <w:p>
            <w:pPr>
              <w:spacing w:after="0"/>
              <w:rPr>
                <w:sz w:val="17"/>
                <w:szCs w:val="17"/>
                <w:color w:val="auto"/>
              </w:rPr>
            </w:pP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168,762</w:t>
            </w:r>
          </w:p>
        </w:tc>
      </w:tr>
      <w:tr>
        <w:trPr>
          <w:trHeight w:val="203"/>
        </w:trPr>
        <w:tc>
          <w:tcPr>
            <w:tcW w:w="43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Cash received on sale of The</w:t>
            </w:r>
          </w:p>
        </w:tc>
        <w:tc>
          <w:tcPr>
            <w:tcW w:w="26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43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Lynde Company........................</w:t>
            </w:r>
          </w:p>
        </w:tc>
        <w:tc>
          <w:tcPr>
            <w:tcW w:w="26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500,000</w:t>
            </w:r>
          </w:p>
        </w:tc>
      </w:tr>
      <w:tr>
        <w:trPr>
          <w:trHeight w:val="203"/>
        </w:trPr>
        <w:tc>
          <w:tcPr>
            <w:tcW w:w="4380" w:type="dxa"/>
            <w:vAlign w:val="bottom"/>
          </w:tcPr>
          <w:p>
            <w:pPr>
              <w:spacing w:after="0"/>
              <w:rPr>
                <w:sz w:val="17"/>
                <w:szCs w:val="17"/>
                <w:color w:val="auto"/>
              </w:rPr>
            </w:pPr>
          </w:p>
        </w:tc>
        <w:tc>
          <w:tcPr>
            <w:tcW w:w="1740" w:type="dxa"/>
            <w:vAlign w:val="bottom"/>
            <w:gridSpan w:val="2"/>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158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38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Net cash used in investing</w:t>
            </w:r>
          </w:p>
        </w:tc>
        <w:tc>
          <w:tcPr>
            <w:tcW w:w="26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43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activities.......................</w:t>
            </w:r>
          </w:p>
        </w:tc>
        <w:tc>
          <w:tcPr>
            <w:tcW w:w="260" w:type="dxa"/>
            <w:vAlign w:val="bottom"/>
          </w:tcPr>
          <w:p>
            <w:pPr>
              <w:spacing w:after="0"/>
              <w:rPr>
                <w:sz w:val="17"/>
                <w:szCs w:val="17"/>
                <w:color w:val="auto"/>
              </w:rPr>
            </w:pPr>
          </w:p>
        </w:tc>
        <w:tc>
          <w:tcPr>
            <w:tcW w:w="14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w w:val="95"/>
              </w:rPr>
              <w:t>(6,252,251)</w:t>
            </w:r>
          </w:p>
        </w:tc>
        <w:tc>
          <w:tcPr>
            <w:tcW w:w="420" w:type="dxa"/>
            <w:vAlign w:val="bottom"/>
          </w:tcPr>
          <w:p>
            <w:pPr>
              <w:spacing w:after="0"/>
              <w:rPr>
                <w:sz w:val="17"/>
                <w:szCs w:val="17"/>
                <w:color w:val="auto"/>
              </w:rPr>
            </w:pP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(2,360,012)</w:t>
            </w:r>
          </w:p>
        </w:tc>
      </w:tr>
      <w:tr>
        <w:trPr>
          <w:trHeight w:val="203"/>
        </w:trPr>
        <w:tc>
          <w:tcPr>
            <w:tcW w:w="4380" w:type="dxa"/>
            <w:vAlign w:val="bottom"/>
          </w:tcPr>
          <w:p>
            <w:pPr>
              <w:spacing w:after="0"/>
              <w:rPr>
                <w:sz w:val="17"/>
                <w:szCs w:val="17"/>
                <w:color w:val="auto"/>
              </w:rPr>
            </w:pPr>
          </w:p>
        </w:tc>
        <w:tc>
          <w:tcPr>
            <w:tcW w:w="1740" w:type="dxa"/>
            <w:vAlign w:val="bottom"/>
            <w:gridSpan w:val="2"/>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158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380" w:type="dxa"/>
            <w:vAlign w:val="bottom"/>
          </w:tcPr>
          <w:p>
            <w:pPr>
              <w:spacing w:after="0" w:line="203" w:lineRule="exact"/>
              <w:rPr>
                <w:sz w:val="20"/>
                <w:szCs w:val="20"/>
                <w:color w:val="auto"/>
              </w:rPr>
            </w:pPr>
            <w:r>
              <w:rPr>
                <w:rFonts w:ascii="Courier New" w:cs="Courier New" w:eastAsia="Courier New" w:hAnsi="Courier New"/>
                <w:sz w:val="18"/>
                <w:szCs w:val="18"/>
                <w:color w:val="auto"/>
              </w:rPr>
              <w:t>CASH FLOWS FROM FINANCING ACTIVITIES:</w:t>
            </w:r>
          </w:p>
        </w:tc>
        <w:tc>
          <w:tcPr>
            <w:tcW w:w="26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43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Cash dividends paid...................</w:t>
            </w:r>
          </w:p>
        </w:tc>
        <w:tc>
          <w:tcPr>
            <w:tcW w:w="260" w:type="dxa"/>
            <w:vAlign w:val="bottom"/>
          </w:tcPr>
          <w:p>
            <w:pPr>
              <w:spacing w:after="0"/>
              <w:rPr>
                <w:sz w:val="17"/>
                <w:szCs w:val="17"/>
                <w:color w:val="auto"/>
              </w:rPr>
            </w:pPr>
          </w:p>
        </w:tc>
        <w:tc>
          <w:tcPr>
            <w:tcW w:w="14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w w:val="95"/>
              </w:rPr>
              <w:t>(2,204,740)</w:t>
            </w:r>
          </w:p>
        </w:tc>
        <w:tc>
          <w:tcPr>
            <w:tcW w:w="420" w:type="dxa"/>
            <w:vAlign w:val="bottom"/>
          </w:tcPr>
          <w:p>
            <w:pPr>
              <w:spacing w:after="0"/>
              <w:rPr>
                <w:sz w:val="17"/>
                <w:szCs w:val="17"/>
                <w:color w:val="auto"/>
              </w:rPr>
            </w:pP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(1,881,407)</w:t>
            </w:r>
          </w:p>
        </w:tc>
      </w:tr>
      <w:tr>
        <w:trPr>
          <w:trHeight w:val="203"/>
        </w:trPr>
        <w:tc>
          <w:tcPr>
            <w:tcW w:w="43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Debt repayment........................</w:t>
            </w:r>
          </w:p>
        </w:tc>
        <w:tc>
          <w:tcPr>
            <w:tcW w:w="260" w:type="dxa"/>
            <w:vAlign w:val="bottom"/>
          </w:tcPr>
          <w:p>
            <w:pPr>
              <w:spacing w:after="0"/>
              <w:rPr>
                <w:sz w:val="17"/>
                <w:szCs w:val="17"/>
                <w:color w:val="auto"/>
              </w:rPr>
            </w:pPr>
          </w:p>
        </w:tc>
        <w:tc>
          <w:tcPr>
            <w:tcW w:w="14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(59,928)</w:t>
            </w:r>
          </w:p>
        </w:tc>
        <w:tc>
          <w:tcPr>
            <w:tcW w:w="420" w:type="dxa"/>
            <w:vAlign w:val="bottom"/>
          </w:tcPr>
          <w:p>
            <w:pPr>
              <w:spacing w:after="0"/>
              <w:rPr>
                <w:sz w:val="17"/>
                <w:szCs w:val="17"/>
                <w:color w:val="auto"/>
              </w:rPr>
            </w:pP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(56,008)</w:t>
            </w:r>
          </w:p>
        </w:tc>
      </w:tr>
      <w:tr>
        <w:trPr>
          <w:trHeight w:val="203"/>
        </w:trPr>
        <w:tc>
          <w:tcPr>
            <w:tcW w:w="4380" w:type="dxa"/>
            <w:vAlign w:val="bottom"/>
          </w:tcPr>
          <w:p>
            <w:pPr>
              <w:spacing w:after="0"/>
              <w:rPr>
                <w:sz w:val="17"/>
                <w:szCs w:val="17"/>
                <w:color w:val="auto"/>
              </w:rPr>
            </w:pPr>
          </w:p>
        </w:tc>
        <w:tc>
          <w:tcPr>
            <w:tcW w:w="1740" w:type="dxa"/>
            <w:vAlign w:val="bottom"/>
            <w:gridSpan w:val="2"/>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158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38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Net cash used in financing</w:t>
            </w:r>
          </w:p>
        </w:tc>
        <w:tc>
          <w:tcPr>
            <w:tcW w:w="26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43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activities.......................</w:t>
            </w:r>
          </w:p>
        </w:tc>
        <w:tc>
          <w:tcPr>
            <w:tcW w:w="260" w:type="dxa"/>
            <w:vAlign w:val="bottom"/>
          </w:tcPr>
          <w:p>
            <w:pPr>
              <w:spacing w:after="0"/>
              <w:rPr>
                <w:sz w:val="17"/>
                <w:szCs w:val="17"/>
                <w:color w:val="auto"/>
              </w:rPr>
            </w:pPr>
          </w:p>
        </w:tc>
        <w:tc>
          <w:tcPr>
            <w:tcW w:w="14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w w:val="95"/>
              </w:rPr>
              <w:t>(2,264,668)</w:t>
            </w:r>
          </w:p>
        </w:tc>
        <w:tc>
          <w:tcPr>
            <w:tcW w:w="420" w:type="dxa"/>
            <w:vAlign w:val="bottom"/>
          </w:tcPr>
          <w:p>
            <w:pPr>
              <w:spacing w:after="0"/>
              <w:rPr>
                <w:sz w:val="17"/>
                <w:szCs w:val="17"/>
                <w:color w:val="auto"/>
              </w:rPr>
            </w:pP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(1,937,415)</w:t>
            </w:r>
          </w:p>
        </w:tc>
      </w:tr>
      <w:tr>
        <w:trPr>
          <w:trHeight w:val="203"/>
        </w:trPr>
        <w:tc>
          <w:tcPr>
            <w:tcW w:w="4380" w:type="dxa"/>
            <w:vAlign w:val="bottom"/>
          </w:tcPr>
          <w:p>
            <w:pPr>
              <w:spacing w:after="0"/>
              <w:rPr>
                <w:sz w:val="17"/>
                <w:szCs w:val="17"/>
                <w:color w:val="auto"/>
              </w:rPr>
            </w:pPr>
          </w:p>
        </w:tc>
        <w:tc>
          <w:tcPr>
            <w:tcW w:w="1740" w:type="dxa"/>
            <w:vAlign w:val="bottom"/>
            <w:gridSpan w:val="2"/>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158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380" w:type="dxa"/>
            <w:vAlign w:val="bottom"/>
          </w:tcPr>
          <w:p>
            <w:pPr>
              <w:spacing w:after="0" w:line="203" w:lineRule="exact"/>
              <w:rPr>
                <w:sz w:val="20"/>
                <w:szCs w:val="20"/>
                <w:color w:val="auto"/>
              </w:rPr>
            </w:pPr>
            <w:r>
              <w:rPr>
                <w:rFonts w:ascii="Courier New" w:cs="Courier New" w:eastAsia="Courier New" w:hAnsi="Courier New"/>
                <w:sz w:val="18"/>
                <w:szCs w:val="18"/>
                <w:color w:val="auto"/>
              </w:rPr>
              <w:t>DECREASE IN CASH AND CASH EQUIVALENTS...</w:t>
            </w:r>
          </w:p>
        </w:tc>
        <w:tc>
          <w:tcPr>
            <w:tcW w:w="260" w:type="dxa"/>
            <w:vAlign w:val="bottom"/>
          </w:tcPr>
          <w:p>
            <w:pPr>
              <w:spacing w:after="0"/>
              <w:rPr>
                <w:sz w:val="17"/>
                <w:szCs w:val="17"/>
                <w:color w:val="auto"/>
              </w:rPr>
            </w:pPr>
          </w:p>
        </w:tc>
        <w:tc>
          <w:tcPr>
            <w:tcW w:w="14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w w:val="95"/>
              </w:rPr>
              <w:t>(4,777,202)</w:t>
            </w:r>
          </w:p>
        </w:tc>
        <w:tc>
          <w:tcPr>
            <w:tcW w:w="420" w:type="dxa"/>
            <w:vAlign w:val="bottom"/>
          </w:tcPr>
          <w:p>
            <w:pPr>
              <w:spacing w:after="0"/>
              <w:rPr>
                <w:sz w:val="17"/>
                <w:szCs w:val="17"/>
                <w:color w:val="auto"/>
              </w:rPr>
            </w:pP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(1,081,683)</w:t>
            </w:r>
          </w:p>
        </w:tc>
      </w:tr>
      <w:tr>
        <w:trPr>
          <w:trHeight w:val="405"/>
        </w:trPr>
        <w:tc>
          <w:tcPr>
            <w:tcW w:w="4380" w:type="dxa"/>
            <w:vAlign w:val="bottom"/>
          </w:tcPr>
          <w:p>
            <w:pPr>
              <w:spacing w:after="0"/>
              <w:rPr>
                <w:sz w:val="20"/>
                <w:szCs w:val="20"/>
                <w:color w:val="auto"/>
              </w:rPr>
            </w:pPr>
            <w:r>
              <w:rPr>
                <w:rFonts w:ascii="Courier New" w:cs="Courier New" w:eastAsia="Courier New" w:hAnsi="Courier New"/>
                <w:sz w:val="18"/>
                <w:szCs w:val="18"/>
                <w:color w:val="auto"/>
              </w:rPr>
              <w:t>CASH AND CASH EQUIVALENTS, BEGINNING</w:t>
            </w:r>
          </w:p>
        </w:tc>
        <w:tc>
          <w:tcPr>
            <w:tcW w:w="2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203"/>
        </w:trPr>
        <w:tc>
          <w:tcPr>
            <w:tcW w:w="43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OF YEAR...............................</w:t>
            </w:r>
          </w:p>
        </w:tc>
        <w:tc>
          <w:tcPr>
            <w:tcW w:w="260" w:type="dxa"/>
            <w:vAlign w:val="bottom"/>
          </w:tcPr>
          <w:p>
            <w:pPr>
              <w:spacing w:after="0"/>
              <w:rPr>
                <w:sz w:val="17"/>
                <w:szCs w:val="17"/>
                <w:color w:val="auto"/>
              </w:rPr>
            </w:pPr>
          </w:p>
        </w:tc>
        <w:tc>
          <w:tcPr>
            <w:tcW w:w="14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8,065,021</w:t>
            </w:r>
          </w:p>
        </w:tc>
        <w:tc>
          <w:tcPr>
            <w:tcW w:w="420" w:type="dxa"/>
            <w:vAlign w:val="bottom"/>
          </w:tcPr>
          <w:p>
            <w:pPr>
              <w:spacing w:after="0"/>
              <w:rPr>
                <w:sz w:val="17"/>
                <w:szCs w:val="17"/>
                <w:color w:val="auto"/>
              </w:rPr>
            </w:pP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8,932,125</w:t>
            </w:r>
          </w:p>
        </w:tc>
      </w:tr>
      <w:tr>
        <w:trPr>
          <w:trHeight w:val="203"/>
        </w:trPr>
        <w:tc>
          <w:tcPr>
            <w:tcW w:w="4380" w:type="dxa"/>
            <w:vAlign w:val="bottom"/>
          </w:tcPr>
          <w:p>
            <w:pPr>
              <w:spacing w:after="0"/>
              <w:rPr>
                <w:sz w:val="17"/>
                <w:szCs w:val="17"/>
                <w:color w:val="auto"/>
              </w:rPr>
            </w:pPr>
          </w:p>
        </w:tc>
        <w:tc>
          <w:tcPr>
            <w:tcW w:w="1740" w:type="dxa"/>
            <w:vAlign w:val="bottom"/>
            <w:gridSpan w:val="2"/>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158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380" w:type="dxa"/>
            <w:vAlign w:val="bottom"/>
          </w:tcPr>
          <w:p>
            <w:pPr>
              <w:spacing w:after="0" w:line="203" w:lineRule="exact"/>
              <w:rPr>
                <w:sz w:val="20"/>
                <w:szCs w:val="20"/>
                <w:color w:val="auto"/>
              </w:rPr>
            </w:pPr>
            <w:r>
              <w:rPr>
                <w:rFonts w:ascii="Courier New" w:cs="Courier New" w:eastAsia="Courier New" w:hAnsi="Courier New"/>
                <w:sz w:val="18"/>
                <w:szCs w:val="18"/>
                <w:color w:val="auto"/>
              </w:rPr>
              <w:t>CASH AND CASH EQUIVALENTS, END</w:t>
            </w:r>
          </w:p>
        </w:tc>
        <w:tc>
          <w:tcPr>
            <w:tcW w:w="26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43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OF PERIOD.............................</w:t>
            </w:r>
          </w:p>
        </w:tc>
        <w:tc>
          <w:tcPr>
            <w:tcW w:w="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4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3,287,819</w:t>
            </w:r>
          </w:p>
        </w:tc>
        <w:tc>
          <w:tcPr>
            <w:tcW w:w="158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$ 7,850,442</w:t>
            </w:r>
          </w:p>
        </w:tc>
      </w:tr>
      <w:tr>
        <w:trPr>
          <w:trHeight w:val="203"/>
        </w:trPr>
        <w:tc>
          <w:tcPr>
            <w:tcW w:w="4380" w:type="dxa"/>
            <w:vAlign w:val="bottom"/>
          </w:tcPr>
          <w:p>
            <w:pPr>
              <w:spacing w:after="0"/>
              <w:rPr>
                <w:sz w:val="17"/>
                <w:szCs w:val="17"/>
                <w:color w:val="auto"/>
              </w:rPr>
            </w:pPr>
          </w:p>
        </w:tc>
        <w:tc>
          <w:tcPr>
            <w:tcW w:w="1740" w:type="dxa"/>
            <w:vAlign w:val="bottom"/>
            <w:gridSpan w:val="2"/>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158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380" w:type="dxa"/>
            <w:vAlign w:val="bottom"/>
          </w:tcPr>
          <w:p>
            <w:pPr>
              <w:spacing w:after="0"/>
              <w:rPr>
                <w:sz w:val="17"/>
                <w:szCs w:val="17"/>
                <w:color w:val="auto"/>
              </w:rPr>
            </w:pPr>
          </w:p>
        </w:tc>
        <w:tc>
          <w:tcPr>
            <w:tcW w:w="1740" w:type="dxa"/>
            <w:vAlign w:val="bottom"/>
            <w:gridSpan w:val="2"/>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158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380" w:type="dxa"/>
            <w:vAlign w:val="bottom"/>
          </w:tcPr>
          <w:p>
            <w:pPr>
              <w:spacing w:after="0" w:line="203" w:lineRule="exact"/>
              <w:rPr>
                <w:sz w:val="20"/>
                <w:szCs w:val="20"/>
                <w:color w:val="auto"/>
              </w:rPr>
            </w:pPr>
            <w:r>
              <w:rPr>
                <w:rFonts w:ascii="Courier New" w:cs="Courier New" w:eastAsia="Courier New" w:hAnsi="Courier New"/>
                <w:sz w:val="18"/>
                <w:szCs w:val="18"/>
                <w:color w:val="auto"/>
              </w:rPr>
              <w:t>SUPPLEMENTAL DISCLOSURES OF CASH</w:t>
            </w:r>
          </w:p>
        </w:tc>
        <w:tc>
          <w:tcPr>
            <w:tcW w:w="26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43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FLOW INFORMATION:</w:t>
            </w:r>
          </w:p>
        </w:tc>
        <w:tc>
          <w:tcPr>
            <w:tcW w:w="26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405"/>
        </w:trPr>
        <w:tc>
          <w:tcPr>
            <w:tcW w:w="4380" w:type="dxa"/>
            <w:vAlign w:val="bottom"/>
          </w:tcPr>
          <w:p>
            <w:pPr>
              <w:ind w:left="220"/>
              <w:spacing w:after="0"/>
              <w:rPr>
                <w:sz w:val="20"/>
                <w:szCs w:val="20"/>
                <w:color w:val="auto"/>
              </w:rPr>
            </w:pPr>
            <w:r>
              <w:rPr>
                <w:rFonts w:ascii="Courier New" w:cs="Courier New" w:eastAsia="Courier New" w:hAnsi="Courier New"/>
                <w:sz w:val="18"/>
                <w:szCs w:val="18"/>
                <w:color w:val="auto"/>
              </w:rPr>
              <w:t>Cash paid for interest................</w:t>
            </w:r>
          </w:p>
        </w:tc>
        <w:tc>
          <w:tcPr>
            <w:tcW w:w="26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148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45,502</w:t>
            </w:r>
          </w:p>
        </w:tc>
        <w:tc>
          <w:tcPr>
            <w:tcW w:w="42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ind w:right="12"/>
              <w:spacing w:after="0"/>
              <w:rPr>
                <w:sz w:val="20"/>
                <w:szCs w:val="20"/>
                <w:color w:val="auto"/>
              </w:rPr>
            </w:pPr>
            <w:r>
              <w:rPr>
                <w:rFonts w:ascii="Courier New" w:cs="Courier New" w:eastAsia="Courier New" w:hAnsi="Courier New"/>
                <w:sz w:val="18"/>
                <w:szCs w:val="18"/>
                <w:color w:val="auto"/>
              </w:rPr>
              <w:t>49,149</w:t>
            </w:r>
          </w:p>
        </w:tc>
      </w:tr>
      <w:tr>
        <w:trPr>
          <w:trHeight w:val="203"/>
        </w:trPr>
        <w:tc>
          <w:tcPr>
            <w:tcW w:w="4380" w:type="dxa"/>
            <w:vAlign w:val="bottom"/>
          </w:tcPr>
          <w:p>
            <w:pPr>
              <w:spacing w:after="0"/>
              <w:rPr>
                <w:sz w:val="17"/>
                <w:szCs w:val="17"/>
                <w:color w:val="auto"/>
              </w:rPr>
            </w:pPr>
          </w:p>
        </w:tc>
        <w:tc>
          <w:tcPr>
            <w:tcW w:w="1740" w:type="dxa"/>
            <w:vAlign w:val="bottom"/>
            <w:gridSpan w:val="2"/>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158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380" w:type="dxa"/>
            <w:vAlign w:val="bottom"/>
          </w:tcPr>
          <w:p>
            <w:pPr>
              <w:spacing w:after="0"/>
              <w:rPr>
                <w:sz w:val="17"/>
                <w:szCs w:val="17"/>
                <w:color w:val="auto"/>
              </w:rPr>
            </w:pPr>
          </w:p>
        </w:tc>
        <w:tc>
          <w:tcPr>
            <w:tcW w:w="1740" w:type="dxa"/>
            <w:vAlign w:val="bottom"/>
            <w:gridSpan w:val="2"/>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158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3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Cash paid for income taxes............</w:t>
            </w:r>
          </w:p>
        </w:tc>
        <w:tc>
          <w:tcPr>
            <w:tcW w:w="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4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4,624,487</w:t>
            </w:r>
          </w:p>
        </w:tc>
        <w:tc>
          <w:tcPr>
            <w:tcW w:w="158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$ 3,060,771</w:t>
            </w:r>
          </w:p>
        </w:tc>
      </w:tr>
      <w:tr>
        <w:trPr>
          <w:trHeight w:val="203"/>
        </w:trPr>
        <w:tc>
          <w:tcPr>
            <w:tcW w:w="4380" w:type="dxa"/>
            <w:vAlign w:val="bottom"/>
          </w:tcPr>
          <w:p>
            <w:pPr>
              <w:spacing w:after="0"/>
              <w:rPr>
                <w:sz w:val="17"/>
                <w:szCs w:val="17"/>
                <w:color w:val="auto"/>
              </w:rPr>
            </w:pPr>
          </w:p>
        </w:tc>
        <w:tc>
          <w:tcPr>
            <w:tcW w:w="1740" w:type="dxa"/>
            <w:vAlign w:val="bottom"/>
            <w:gridSpan w:val="2"/>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158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380" w:type="dxa"/>
            <w:vAlign w:val="bottom"/>
          </w:tcPr>
          <w:p>
            <w:pPr>
              <w:spacing w:after="0"/>
              <w:rPr>
                <w:sz w:val="17"/>
                <w:szCs w:val="17"/>
                <w:color w:val="auto"/>
              </w:rPr>
            </w:pPr>
          </w:p>
        </w:tc>
        <w:tc>
          <w:tcPr>
            <w:tcW w:w="1740" w:type="dxa"/>
            <w:vAlign w:val="bottom"/>
            <w:gridSpan w:val="2"/>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158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0" w:lineRule="exact"/>
        <w:rPr>
          <w:sz w:val="20"/>
          <w:szCs w:val="20"/>
          <w:color w:val="auto"/>
        </w:rPr>
      </w:pPr>
    </w:p>
    <w:p>
      <w:pPr>
        <w:spacing w:after="0" w:line="209"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6"/>
          <w:szCs w:val="16"/>
          <w:color w:val="auto"/>
        </w:rPr>
        <w:t>See accompanying Notes to Consolidated Condensed Financial Statements.</w:t>
      </w:r>
    </w:p>
    <w:p>
      <w:pPr>
        <w:spacing w:after="0" w:line="218"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5</w:t>
      </w:r>
    </w:p>
    <w:p>
      <w:pPr>
        <w:sectPr>
          <w:pgSz w:w="11900" w:h="16838" w:orient="portrait"/>
          <w:cols w:equalWidth="0" w:num="1">
            <w:col w:w="10219"/>
          </w:cols>
          <w:pgMar w:left="240" w:top="717" w:right="1440" w:bottom="1440" w:gutter="0" w:footer="0" w:header="0"/>
        </w:sectPr>
      </w:pPr>
    </w:p>
    <w:bookmarkStart w:id="5" w:name="page6"/>
    <w:bookmarkEnd w:id="5"/>
    <w:p>
      <w:pPr>
        <w:ind w:left="2432"/>
        <w:spacing w:after="0"/>
        <w:rPr>
          <w:sz w:val="20"/>
          <w:szCs w:val="20"/>
          <w:color w:val="auto"/>
        </w:rPr>
      </w:pPr>
      <w:r>
        <w:rPr>
          <w:rFonts w:ascii="Courier New" w:cs="Courier New" w:eastAsia="Courier New" w:hAnsi="Courier New"/>
          <w:sz w:val="18"/>
          <w:szCs w:val="18"/>
          <w:color w:val="auto"/>
        </w:rPr>
        <w:t>HAWKINS CHEMICAL, INC. AND SUBSIDIARY</w:t>
      </w:r>
    </w:p>
    <w:p>
      <w:pPr>
        <w:ind w:left="1692"/>
        <w:spacing w:after="0" w:line="238" w:lineRule="auto"/>
        <w:rPr>
          <w:sz w:val="20"/>
          <w:szCs w:val="20"/>
          <w:color w:val="auto"/>
        </w:rPr>
      </w:pPr>
      <w:r>
        <w:rPr>
          <w:rFonts w:ascii="Courier New" w:cs="Courier New" w:eastAsia="Courier New" w:hAnsi="Courier New"/>
          <w:sz w:val="18"/>
          <w:szCs w:val="18"/>
          <w:color w:val="auto"/>
        </w:rPr>
        <w:t>NOTES TO CONSOLIDATED CONDENSED FINANCIAL STATEMENTS</w:t>
      </w:r>
    </w:p>
    <w:p>
      <w:pPr>
        <w:spacing w:after="0" w:line="200" w:lineRule="exact"/>
        <w:rPr>
          <w:sz w:val="20"/>
          <w:szCs w:val="20"/>
          <w:color w:val="auto"/>
        </w:rPr>
      </w:pPr>
    </w:p>
    <w:p>
      <w:pPr>
        <w:spacing w:after="0" w:line="210" w:lineRule="exact"/>
        <w:rPr>
          <w:sz w:val="20"/>
          <w:szCs w:val="20"/>
          <w:color w:val="auto"/>
        </w:rPr>
      </w:pPr>
    </w:p>
    <w:p>
      <w:pPr>
        <w:ind w:left="532" w:right="1779" w:hanging="532"/>
        <w:spacing w:after="0" w:line="238" w:lineRule="auto"/>
        <w:tabs>
          <w:tab w:leader="none" w:pos="532"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accompanying unaudited condensed consolidated financial statements have been prepared in accordance with the instructions for Form 10-Q and, accordingly, do not include all information and footnotes required by generally accepted accounting principles for complete financial statements. These statements should be read in conjunction with the financial statements and footnotes included in the Company's Annual Report on Form 10-K for the year ended September 28, 1997, previously filed with the Commission. In the opinion of management, the accompanying unaudited consolidated condensed financial statements contain all adjustments necessary to present fairly the Company's financial position and the results of its operations and cash flows for the periods presented. All adjustments made to the interim financial statements were of a normal recurring nature.</w:t>
      </w:r>
    </w:p>
    <w:p>
      <w:pPr>
        <w:spacing w:after="0" w:line="207" w:lineRule="exact"/>
        <w:rPr>
          <w:rFonts w:ascii="Courier New" w:cs="Courier New" w:eastAsia="Courier New" w:hAnsi="Courier New"/>
          <w:sz w:val="18"/>
          <w:szCs w:val="18"/>
          <w:color w:val="auto"/>
        </w:rPr>
      </w:pPr>
    </w:p>
    <w:p>
      <w:pPr>
        <w:ind w:left="532" w:right="219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Effective December 15, 1997, the Company adopted Statement of Financial Accounting Standards No. 128, "Earnings per Share," (SFAS No. 128). Earnings per common share presented for the three and nine months ended June 30, 1997 have been restated for the adoption of SFAS No. 128. The effect of adopting SFAS No. 128 at December 15, 1997, on earnings per common share for the three and nine months ended June 30, 1997 was not material.</w:t>
      </w:r>
    </w:p>
    <w:p>
      <w:pPr>
        <w:spacing w:after="0" w:line="211" w:lineRule="exact"/>
        <w:rPr>
          <w:rFonts w:ascii="Courier New" w:cs="Courier New" w:eastAsia="Courier New" w:hAnsi="Courier New"/>
          <w:sz w:val="18"/>
          <w:szCs w:val="18"/>
          <w:color w:val="auto"/>
        </w:rPr>
      </w:pPr>
    </w:p>
    <w:p>
      <w:pPr>
        <w:ind w:left="532" w:right="177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The other accounting policies followed by the Company are set forth in Note 1 to the Company's financial statements in the 1997 Hawkins Chemical, Inc. Annual Report which is incorporated by reference to Form 10-K filed with the Commission on December 29, 1997.</w:t>
      </w:r>
    </w:p>
    <w:p>
      <w:pPr>
        <w:spacing w:after="0" w:line="207" w:lineRule="exact"/>
        <w:rPr>
          <w:rFonts w:ascii="Courier New" w:cs="Courier New" w:eastAsia="Courier New" w:hAnsi="Courier New"/>
          <w:sz w:val="18"/>
          <w:szCs w:val="18"/>
          <w:color w:val="auto"/>
        </w:rPr>
      </w:pPr>
    </w:p>
    <w:p>
      <w:pPr>
        <w:ind w:left="532" w:right="2199" w:hanging="532"/>
        <w:spacing w:after="0" w:line="236" w:lineRule="auto"/>
        <w:tabs>
          <w:tab w:leader="none" w:pos="532"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results of operations for the period ended June 30, 1998 are not necessarily indicative of the results that may be expected for the full year.</w:t>
      </w:r>
    </w:p>
    <w:p>
      <w:pPr>
        <w:spacing w:after="0" w:line="208" w:lineRule="exact"/>
        <w:rPr>
          <w:rFonts w:ascii="Courier New" w:cs="Courier New" w:eastAsia="Courier New" w:hAnsi="Courier New"/>
          <w:sz w:val="18"/>
          <w:szCs w:val="18"/>
          <w:color w:val="auto"/>
        </w:rPr>
      </w:pPr>
    </w:p>
    <w:p>
      <w:pPr>
        <w:ind w:left="532" w:right="1999" w:hanging="532"/>
        <w:spacing w:after="0" w:line="273" w:lineRule="auto"/>
        <w:tabs>
          <w:tab w:leader="none" w:pos="532"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Inventories, principally valued by the LIFO method, are less than current cost by approximately $1,380,000 at June 30, 1998. Inventory consists principally of finished goods. Inventory quantities fluctuate during the year. No material amounts of interim liquidation of inventory quantities have occurred that are not expected to be replaced by year-end.</w:t>
      </w:r>
    </w:p>
    <w:p>
      <w:pPr>
        <w:spacing w:after="0" w:line="184" w:lineRule="exact"/>
        <w:rPr>
          <w:rFonts w:ascii="Courier New" w:cs="Courier New" w:eastAsia="Courier New" w:hAnsi="Courier New"/>
          <w:sz w:val="16"/>
          <w:szCs w:val="16"/>
          <w:color w:val="auto"/>
        </w:rPr>
      </w:pPr>
    </w:p>
    <w:p>
      <w:pPr>
        <w:ind w:left="532" w:right="1779" w:hanging="532"/>
        <w:spacing w:after="0" w:line="237" w:lineRule="auto"/>
        <w:tabs>
          <w:tab w:leader="none" w:pos="532"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On May 29, 1997, the Company sold the inventory and operations of The Lynde Company, a wholly owned subsidiary that specialized in swimming pool chemicals, effective March 1, 1997. Lynde had revenues of $725,500 and a net loss of $19,600 for the nine-month period ended June 30, 1997.</w:t>
      </w:r>
    </w:p>
    <w:p>
      <w:pPr>
        <w:spacing w:after="0" w:line="207" w:lineRule="exact"/>
        <w:rPr>
          <w:rFonts w:ascii="Courier New" w:cs="Courier New" w:eastAsia="Courier New" w:hAnsi="Courier New"/>
          <w:sz w:val="18"/>
          <w:szCs w:val="18"/>
          <w:color w:val="auto"/>
        </w:rPr>
      </w:pPr>
    </w:p>
    <w:p>
      <w:pPr>
        <w:ind w:left="532" w:right="1779" w:hanging="532"/>
        <w:spacing w:after="0" w:line="238" w:lineRule="auto"/>
        <w:tabs>
          <w:tab w:leader="none" w:pos="532"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During 1995, the Company had a fire in the office/warehouse of The Lynde Company, a former wholly owned subsidiary. Through June 30, 1998, the Company has expensed approximately $2,550,000 ($20,000 in the nine months ended June 30, 1998) to cover estimated costs incurred by the Company in connection with a lawsuit filed against the Company as a result of the fire, of which approximately $2,400,000 has been paid. Based upon the settlement agreement, the Company will incur additional future obligations relating to the settlement of this lawsuit pursuant to a matrix and plan of distribution which is a part of the settlement. The Company is not able to estimate the extent of this potential exposure at this time, but it believes the final disposition of this matter will not have a material adverse effect on the Company's financial position, results of operations, or cash flows. Based on two favorable lower court rulings, management believes that all or a portion of such litigation expenses may be recoverable from the Company's insurers. The Company's insurers have appealed the lower court's decisions to the U.S. Eighth Circuit Court of Appeals. It is not possible, therefore, to determine at this time what recovery, if any, may be obtained by the Company, and no amount has been recorded at June 30, 1998.</w:t>
      </w:r>
    </w:p>
    <w:p>
      <w:pPr>
        <w:spacing w:after="0" w:line="204" w:lineRule="exact"/>
        <w:rPr>
          <w:sz w:val="20"/>
          <w:szCs w:val="20"/>
          <w:color w:val="auto"/>
        </w:rPr>
      </w:pPr>
    </w:p>
    <w:p>
      <w:pPr>
        <w:ind w:left="4012"/>
        <w:spacing w:after="0"/>
        <w:rPr>
          <w:sz w:val="20"/>
          <w:szCs w:val="20"/>
          <w:color w:val="auto"/>
        </w:rPr>
      </w:pPr>
      <w:r>
        <w:rPr>
          <w:rFonts w:ascii="Courier New" w:cs="Courier New" w:eastAsia="Courier New" w:hAnsi="Courier New"/>
          <w:sz w:val="18"/>
          <w:szCs w:val="18"/>
          <w:color w:val="auto"/>
        </w:rPr>
        <w:t>6</w:t>
      </w:r>
    </w:p>
    <w:p>
      <w:pPr>
        <w:sectPr>
          <w:pgSz w:w="11900" w:h="16838" w:orient="portrait"/>
          <w:cols w:equalWidth="0" w:num="1">
            <w:col w:w="10211"/>
          </w:cols>
          <w:pgMar w:left="248" w:top="717" w:right="1440" w:bottom="1440" w:gutter="0" w:footer="0" w:header="0"/>
        </w:sectPr>
      </w:pPr>
    </w:p>
    <w:bookmarkStart w:id="6" w:name="page7"/>
    <w:bookmarkEnd w:id="6"/>
    <w:p>
      <w:pPr>
        <w:ind w:left="1580" w:right="3899" w:hanging="1579"/>
        <w:spacing w:after="0" w:line="290" w:lineRule="auto"/>
        <w:tabs>
          <w:tab w:leader="none" w:pos="1560" w:val="left"/>
        </w:tabs>
        <w:rPr>
          <w:sz w:val="20"/>
          <w:szCs w:val="20"/>
          <w:color w:val="auto"/>
        </w:rPr>
      </w:pPr>
      <w:r>
        <w:rPr>
          <w:rFonts w:ascii="Courier New" w:cs="Courier New" w:eastAsia="Courier New" w:hAnsi="Courier New"/>
          <w:sz w:val="18"/>
          <w:szCs w:val="18"/>
          <w:color w:val="auto"/>
        </w:rPr>
        <w:t>Item 2.</w:t>
      </w:r>
      <w:r>
        <w:rPr>
          <w:sz w:val="20"/>
          <w:szCs w:val="20"/>
          <w:color w:val="auto"/>
        </w:rPr>
        <w:tab/>
      </w:r>
      <w:r>
        <w:rPr>
          <w:rFonts w:ascii="Courier New" w:cs="Courier New" w:eastAsia="Courier New" w:hAnsi="Courier New"/>
          <w:sz w:val="16"/>
          <w:szCs w:val="16"/>
          <w:color w:val="auto"/>
        </w:rPr>
        <w:t>MANAGEMENT'S DISCUSSION AND ANALYSIS OF FINANCIAL CONDITION AND RESULTS OF OPERATIONS</w:t>
      </w:r>
    </w:p>
    <w:p>
      <w:pPr>
        <w:spacing w:after="0" w:line="36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RESULTS OF OPERATIONS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CONTINUING OPERATIONS</w:t>
      </w:r>
    </w:p>
    <w:p>
      <w:pPr>
        <w:spacing w:after="0" w:line="207" w:lineRule="exact"/>
        <w:rPr>
          <w:sz w:val="20"/>
          <w:szCs w:val="20"/>
          <w:color w:val="auto"/>
        </w:rPr>
      </w:pPr>
    </w:p>
    <w:p>
      <w:pPr>
        <w:ind w:right="2519"/>
        <w:spacing w:after="0" w:line="268" w:lineRule="auto"/>
        <w:rPr>
          <w:sz w:val="20"/>
          <w:szCs w:val="20"/>
          <w:color w:val="auto"/>
        </w:rPr>
      </w:pPr>
      <w:r>
        <w:rPr>
          <w:rFonts w:ascii="Courier New" w:cs="Courier New" w:eastAsia="Courier New" w:hAnsi="Courier New"/>
          <w:sz w:val="16"/>
          <w:szCs w:val="16"/>
          <w:color w:val="auto"/>
        </w:rPr>
        <w:t>Net sales increased $1,853,141 (7.8%) in the third quarter of this fiscal year as compared to the same quarter a year ago, and increased $6,226,962</w:t>
      </w:r>
    </w:p>
    <w:p>
      <w:pPr>
        <w:ind w:right="2099"/>
        <w:spacing w:after="0" w:line="237" w:lineRule="auto"/>
        <w:rPr>
          <w:sz w:val="20"/>
          <w:szCs w:val="20"/>
          <w:color w:val="auto"/>
        </w:rPr>
      </w:pPr>
      <w:r>
        <w:rPr>
          <w:rFonts w:ascii="Courier New" w:cs="Courier New" w:eastAsia="Courier New" w:hAnsi="Courier New"/>
          <w:sz w:val="18"/>
          <w:szCs w:val="18"/>
          <w:color w:val="auto"/>
        </w:rPr>
        <w:t>(9.7%) in the first nine months of fiscal 1998 as compared to the same period in fiscal 1997. These increases were due to increased sales of pharmaceutical chemicals, food grade product chemicals and high purity electroplating products, an increase in the selling price of a single, large-volume product (caustic soda), and increased volumes in most product lines.</w:t>
      </w:r>
    </w:p>
    <w:p>
      <w:pPr>
        <w:spacing w:after="0" w:line="210" w:lineRule="exact"/>
        <w:rPr>
          <w:sz w:val="20"/>
          <w:szCs w:val="20"/>
          <w:color w:val="auto"/>
        </w:rPr>
      </w:pPr>
    </w:p>
    <w:p>
      <w:pPr>
        <w:ind w:right="2099"/>
        <w:spacing w:after="0" w:line="269" w:lineRule="auto"/>
        <w:rPr>
          <w:sz w:val="20"/>
          <w:szCs w:val="20"/>
          <w:color w:val="auto"/>
        </w:rPr>
      </w:pPr>
      <w:r>
        <w:rPr>
          <w:rFonts w:ascii="Courier New" w:cs="Courier New" w:eastAsia="Courier New" w:hAnsi="Courier New"/>
          <w:sz w:val="16"/>
          <w:szCs w:val="16"/>
          <w:color w:val="auto"/>
        </w:rPr>
        <w:t>Gross margin, as a percentage of net sales, for the third quarter of this fiscal year was 24.0% compared to 24.7% for the same quarter one year ago, and 22.9% for the first nine months of this fiscal year, compared to 22.5% for the first nine months of fiscal 1997. The decrease in the third quarter as compared to the prior year was due mainly to increased costs of operations and to the increase in the cost and selling price of a single, large-volume product while maintaining a similar dollar profit margin. The increase in the gross margin percentage for the first nine months of this fiscal year as compared to the same period in fiscal 1997 was due to the sales increases mentioned above that were partially offset by increased costs of operations. The demand for this product does not fluctuate materially as the cost and selling price increase or decrease. By maintaining stable dollar margins, the gross margin percentage will generally decrease when the cost of the product is increasing and will increase when the cost of the product is decreasing. Also, because the Company uses the LIFO method for valuing inventories, when ending inventory units increase, an additional amount relating to increased units in ending inventory is charged to cost of operations. The Company has generally been able to and expects to continue to adjust its selling prices as the cost of materials and other expenses change, thereby maintaining relatively stable dollar gross margins.</w:t>
      </w:r>
    </w:p>
    <w:p>
      <w:pPr>
        <w:spacing w:after="0" w:line="200" w:lineRule="exact"/>
        <w:rPr>
          <w:sz w:val="20"/>
          <w:szCs w:val="20"/>
          <w:color w:val="auto"/>
        </w:rPr>
      </w:pPr>
    </w:p>
    <w:p>
      <w:pPr>
        <w:spacing w:after="0" w:line="397" w:lineRule="exact"/>
        <w:rPr>
          <w:sz w:val="20"/>
          <w:szCs w:val="20"/>
          <w:color w:val="auto"/>
        </w:rPr>
      </w:pPr>
    </w:p>
    <w:p>
      <w:pPr>
        <w:ind w:right="2099"/>
        <w:spacing w:after="0" w:line="237" w:lineRule="auto"/>
        <w:rPr>
          <w:sz w:val="20"/>
          <w:szCs w:val="20"/>
          <w:color w:val="auto"/>
        </w:rPr>
      </w:pPr>
      <w:r>
        <w:rPr>
          <w:rFonts w:ascii="Courier New" w:cs="Courier New" w:eastAsia="Courier New" w:hAnsi="Courier New"/>
          <w:sz w:val="18"/>
          <w:szCs w:val="18"/>
          <w:color w:val="auto"/>
        </w:rPr>
        <w:t>Selling, general and administrative expenses, as a percentage of net sales, for the third quarter of fiscal 1998 were 10.9% compared to 11.5% for the same quarter one year ago, and 10.6% for the first nine months of fiscal 1998 as compared to 11.0% for the first nine months of fiscal 1997. Stated as a percentage of the same period one year ago, the third quarter increase in such expenses was 2.4%, or $64,490, and the nine-month increase was 6.1%, or $434,983. These increases were mainly due to increased employee compensation and benefits, which comprises the majority of the selling, general and administrative expenditures. Of the remaining expenses in this category, no single item is more than 6% of the total. Most of these expenses are fixed in nature and fluctuate only slightly with sales.</w:t>
      </w:r>
    </w:p>
    <w:p>
      <w:pPr>
        <w:spacing w:after="0" w:line="216" w:lineRule="exact"/>
        <w:rPr>
          <w:sz w:val="20"/>
          <w:szCs w:val="20"/>
          <w:color w:val="auto"/>
        </w:rPr>
      </w:pPr>
    </w:p>
    <w:p>
      <w:pPr>
        <w:jc w:val="both"/>
        <w:ind w:right="2099"/>
        <w:spacing w:after="0" w:line="237" w:lineRule="auto"/>
        <w:rPr>
          <w:sz w:val="20"/>
          <w:szCs w:val="20"/>
          <w:color w:val="auto"/>
        </w:rPr>
      </w:pPr>
      <w:r>
        <w:rPr>
          <w:rFonts w:ascii="Courier New" w:cs="Courier New" w:eastAsia="Courier New" w:hAnsi="Courier New"/>
          <w:sz w:val="18"/>
          <w:szCs w:val="18"/>
          <w:color w:val="auto"/>
        </w:rPr>
        <w:t>Income from operations increased $217,820, or 6.9%, in the third quarter and $1,262,415, or 17.1%, in the first nine months of fiscal 1998 as compared to the same periods one year ago. These increases are primarily attributable to the net sales increase.</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OTHER INCOME</w:t>
      </w:r>
    </w:p>
    <w:p>
      <w:pPr>
        <w:spacing w:after="0" w:line="207" w:lineRule="exact"/>
        <w:rPr>
          <w:sz w:val="20"/>
          <w:szCs w:val="20"/>
          <w:color w:val="auto"/>
        </w:rPr>
      </w:pPr>
    </w:p>
    <w:p>
      <w:pPr>
        <w:ind w:right="2099"/>
        <w:spacing w:after="0" w:line="237" w:lineRule="auto"/>
        <w:rPr>
          <w:sz w:val="20"/>
          <w:szCs w:val="20"/>
          <w:color w:val="auto"/>
        </w:rPr>
      </w:pPr>
      <w:r>
        <w:rPr>
          <w:rFonts w:ascii="Courier New" w:cs="Courier New" w:eastAsia="Courier New" w:hAnsi="Courier New"/>
          <w:sz w:val="18"/>
          <w:szCs w:val="18"/>
          <w:color w:val="auto"/>
        </w:rPr>
        <w:t>Interest income decreased $39,783, in the third quarter of fiscal 1998 as compared to the same quarter one year ago and increased $99,353 in the first nine months of this fiscal year as compared to the same period one year ago. The third quarter decrease was due to lower average cash balances available for investment and to an increase in investments in income tax exempt securities, which generally have a lower pre-tax return than other taxable investments, but have a higher after-tax return. The nine-month increase was due to an increase in average cash available for investments during the first six months of this fiscal year. Interest expense decreased slightly due mainly to the decline in long-term debt.</w:t>
      </w:r>
    </w:p>
    <w:p>
      <w:pPr>
        <w:spacing w:after="0" w:line="209"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7</w:t>
      </w:r>
    </w:p>
    <w:p>
      <w:pPr>
        <w:sectPr>
          <w:pgSz w:w="11900" w:h="16838" w:orient="portrait"/>
          <w:cols w:equalWidth="0" w:num="1">
            <w:col w:w="10219"/>
          </w:cols>
          <w:pgMar w:left="240" w:top="723" w:right="1440" w:bottom="1440" w:gutter="0" w:footer="0" w:header="0"/>
        </w:sectPr>
      </w:pPr>
    </w:p>
    <w:bookmarkStart w:id="7" w:name="page8"/>
    <w:bookmarkEnd w:id="7"/>
    <w:p>
      <w:pPr>
        <w:jc w:val="both"/>
        <w:ind w:right="2099"/>
        <w:spacing w:after="0" w:line="268" w:lineRule="auto"/>
        <w:rPr>
          <w:sz w:val="20"/>
          <w:szCs w:val="20"/>
          <w:color w:val="auto"/>
        </w:rPr>
      </w:pPr>
      <w:r>
        <w:rPr>
          <w:rFonts w:ascii="Courier New" w:cs="Courier New" w:eastAsia="Courier New" w:hAnsi="Courier New"/>
          <w:sz w:val="16"/>
          <w:szCs w:val="16"/>
          <w:color w:val="auto"/>
        </w:rPr>
        <w:t>Other income also decreased in both the three and nine-month periods because of last year's sale of The Lynde Company's inventory and operations; the gain on the sale of $1,324,827 was reported in the 1997 fiscal third quarter.</w:t>
      </w:r>
    </w:p>
    <w:p>
      <w:pPr>
        <w:spacing w:after="0" w:line="1" w:lineRule="exact"/>
        <w:rPr>
          <w:sz w:val="20"/>
          <w:szCs w:val="20"/>
          <w:color w:val="auto"/>
        </w:rPr>
      </w:pPr>
    </w:p>
    <w:p>
      <w:pPr>
        <w:ind w:right="2199"/>
        <w:spacing w:after="0" w:line="236" w:lineRule="auto"/>
        <w:rPr>
          <w:sz w:val="20"/>
          <w:szCs w:val="20"/>
          <w:color w:val="auto"/>
        </w:rPr>
      </w:pPr>
      <w:r>
        <w:rPr>
          <w:rFonts w:ascii="Courier New" w:cs="Courier New" w:eastAsia="Courier New" w:hAnsi="Courier New"/>
          <w:sz w:val="18"/>
          <w:szCs w:val="18"/>
          <w:color w:val="auto"/>
        </w:rPr>
        <w:t>Because the sale was effective March 1, 1997, however, Lynde's 1997 sales of $725,500 and its operating loss of $19,600 were reported in the first two quarters of 1997.</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LIQUIDITY AND CAPITAL RESOURCES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For the nine-month period ended June 30, 1998, cash flows from operations</w:t>
      </w:r>
    </w:p>
    <w:p>
      <w:pPr>
        <w:spacing w:after="0" w:line="238" w:lineRule="auto"/>
        <w:rPr>
          <w:sz w:val="20"/>
          <w:szCs w:val="20"/>
          <w:color w:val="auto"/>
        </w:rPr>
      </w:pPr>
      <w:r>
        <w:rPr>
          <w:rFonts w:ascii="Courier New" w:cs="Courier New" w:eastAsia="Courier New" w:hAnsi="Courier New"/>
          <w:sz w:val="18"/>
          <w:szCs w:val="18"/>
          <w:color w:val="auto"/>
        </w:rPr>
        <w:t>were $3,739,717 compared to $3,215,744 during the same period one year ago.</w:t>
      </w:r>
    </w:p>
    <w:p>
      <w:pPr>
        <w:spacing w:after="0"/>
        <w:rPr>
          <w:sz w:val="20"/>
          <w:szCs w:val="20"/>
          <w:color w:val="auto"/>
        </w:rPr>
      </w:pPr>
      <w:r>
        <w:rPr>
          <w:rFonts w:ascii="Courier New" w:cs="Courier New" w:eastAsia="Courier New" w:hAnsi="Courier New"/>
          <w:sz w:val="18"/>
          <w:szCs w:val="18"/>
          <w:color w:val="auto"/>
        </w:rPr>
        <w:t>During the nine-month period ended June 30, 1998, the Company added</w:t>
      </w:r>
    </w:p>
    <w:p>
      <w:pPr>
        <w:spacing w:after="0" w:line="237" w:lineRule="auto"/>
        <w:rPr>
          <w:sz w:val="20"/>
          <w:szCs w:val="20"/>
          <w:color w:val="auto"/>
        </w:rPr>
      </w:pPr>
      <w:r>
        <w:rPr>
          <w:rFonts w:ascii="Courier New" w:cs="Courier New" w:eastAsia="Courier New" w:hAnsi="Courier New"/>
          <w:sz w:val="18"/>
          <w:szCs w:val="18"/>
          <w:color w:val="auto"/>
        </w:rPr>
        <w:t>$2,410,955 to investments and invested $4,075,939 in property and equipment</w:t>
      </w:r>
    </w:p>
    <w:p>
      <w:pPr>
        <w:spacing w:after="0" w:line="238" w:lineRule="auto"/>
        <w:tabs>
          <w:tab w:leader="none" w:pos="1260" w:val="left"/>
        </w:tabs>
        <w:rPr>
          <w:sz w:val="20"/>
          <w:szCs w:val="20"/>
          <w:color w:val="auto"/>
        </w:rPr>
      </w:pPr>
      <w:r>
        <w:rPr>
          <w:rFonts w:ascii="Courier New" w:cs="Courier New" w:eastAsia="Courier New" w:hAnsi="Courier New"/>
          <w:sz w:val="18"/>
          <w:szCs w:val="18"/>
          <w:color w:val="auto"/>
        </w:rPr>
        <w:t>additions.</w:t>
        <w:tab/>
        <w:t>The food grade chemical production facility and truck wash area</w:t>
      </w:r>
    </w:p>
    <w:p>
      <w:pPr>
        <w:spacing w:after="0"/>
        <w:rPr>
          <w:sz w:val="20"/>
          <w:szCs w:val="20"/>
          <w:color w:val="auto"/>
        </w:rPr>
      </w:pPr>
      <w:r>
        <w:rPr>
          <w:rFonts w:ascii="Courier New" w:cs="Courier New" w:eastAsia="Courier New" w:hAnsi="Courier New"/>
          <w:sz w:val="18"/>
          <w:szCs w:val="18"/>
          <w:color w:val="auto"/>
        </w:rPr>
        <w:t>accounted for approximately $1,800,000, transportation equipment accounted</w:t>
      </w:r>
    </w:p>
    <w:p>
      <w:pPr>
        <w:spacing w:after="0" w:line="237" w:lineRule="auto"/>
        <w:rPr>
          <w:sz w:val="20"/>
          <w:szCs w:val="20"/>
          <w:color w:val="auto"/>
        </w:rPr>
      </w:pPr>
      <w:r>
        <w:rPr>
          <w:rFonts w:ascii="Courier New" w:cs="Courier New" w:eastAsia="Courier New" w:hAnsi="Courier New"/>
          <w:sz w:val="18"/>
          <w:szCs w:val="18"/>
          <w:color w:val="auto"/>
        </w:rPr>
        <w:t>for $470,000, warehouse, laboratory and office machinery and equipment</w:t>
      </w:r>
    </w:p>
    <w:p>
      <w:pPr>
        <w:spacing w:after="0"/>
        <w:rPr>
          <w:sz w:val="20"/>
          <w:szCs w:val="20"/>
          <w:color w:val="auto"/>
        </w:rPr>
      </w:pPr>
      <w:r>
        <w:rPr>
          <w:rFonts w:ascii="Courier New" w:cs="Courier New" w:eastAsia="Courier New" w:hAnsi="Courier New"/>
          <w:sz w:val="18"/>
          <w:szCs w:val="18"/>
          <w:color w:val="auto"/>
        </w:rPr>
        <w:t>amounted to $550,000 and other building improvements and additions were</w:t>
      </w:r>
    </w:p>
    <w:p>
      <w:pPr>
        <w:spacing w:after="0" w:line="237" w:lineRule="auto"/>
        <w:rPr>
          <w:sz w:val="20"/>
          <w:szCs w:val="20"/>
          <w:color w:val="auto"/>
        </w:rPr>
      </w:pPr>
      <w:r>
        <w:rPr>
          <w:rFonts w:ascii="Courier New" w:cs="Courier New" w:eastAsia="Courier New" w:hAnsi="Courier New"/>
          <w:sz w:val="18"/>
          <w:szCs w:val="18"/>
          <w:color w:val="auto"/>
        </w:rPr>
        <w:t>$1,256,000.</w:t>
      </w:r>
    </w:p>
    <w:p>
      <w:pPr>
        <w:spacing w:after="0" w:line="207" w:lineRule="exact"/>
        <w:rPr>
          <w:sz w:val="20"/>
          <w:szCs w:val="20"/>
          <w:color w:val="auto"/>
        </w:rPr>
      </w:pPr>
    </w:p>
    <w:p>
      <w:pPr>
        <w:ind w:right="2099"/>
        <w:spacing w:after="0" w:line="237" w:lineRule="auto"/>
        <w:rPr>
          <w:sz w:val="20"/>
          <w:szCs w:val="20"/>
          <w:color w:val="auto"/>
        </w:rPr>
      </w:pPr>
      <w:r>
        <w:rPr>
          <w:rFonts w:ascii="Courier New" w:cs="Courier New" w:eastAsia="Courier New" w:hAnsi="Courier New"/>
          <w:sz w:val="18"/>
          <w:szCs w:val="18"/>
          <w:color w:val="auto"/>
        </w:rPr>
        <w:t>Accounts receivable increased due to increased sales in the third quarter. Inventories and accounts payable increased due to the increase in the cost of the single, large-volume product mentioned above and to an increase in the quantities of that product at June 30, 1998. Other current liabilities decreased as a result of the payment of benefit plan accruals that existed at fiscal year end. The Company did not issue any securities during the nine-month period ended June 30, 1998.</w:t>
      </w:r>
    </w:p>
    <w:p>
      <w:pPr>
        <w:spacing w:after="0" w:line="211" w:lineRule="exact"/>
        <w:rPr>
          <w:sz w:val="20"/>
          <w:szCs w:val="20"/>
          <w:color w:val="auto"/>
        </w:rPr>
      </w:pPr>
    </w:p>
    <w:p>
      <w:pPr>
        <w:ind w:right="2099"/>
        <w:spacing w:after="0" w:line="237" w:lineRule="auto"/>
        <w:rPr>
          <w:sz w:val="20"/>
          <w:szCs w:val="20"/>
          <w:color w:val="auto"/>
        </w:rPr>
      </w:pPr>
      <w:r>
        <w:rPr>
          <w:rFonts w:ascii="Courier New" w:cs="Courier New" w:eastAsia="Courier New" w:hAnsi="Courier New"/>
          <w:sz w:val="18"/>
          <w:szCs w:val="18"/>
          <w:color w:val="auto"/>
        </w:rPr>
        <w:t>The cash flows from operations, coupled with the Company's strong cash position, puts the Company in a position to fund both short and long-term working capital and capital investment needs with internally generated funds. Management does not, therefore, anticipate the need to engage in significant financing activities in either the short or long-term. If the need to obtain additional capital does arise, however, management is confident that the Company's total debt to capital ratio puts it in a position to issue either debt or equity securities on favorable terms.</w:t>
      </w:r>
    </w:p>
    <w:p>
      <w:pPr>
        <w:spacing w:after="0" w:line="212" w:lineRule="exact"/>
        <w:rPr>
          <w:sz w:val="20"/>
          <w:szCs w:val="20"/>
          <w:color w:val="auto"/>
        </w:rPr>
      </w:pPr>
    </w:p>
    <w:p>
      <w:pPr>
        <w:ind w:right="2099"/>
        <w:spacing w:after="0" w:line="269" w:lineRule="auto"/>
        <w:rPr>
          <w:sz w:val="20"/>
          <w:szCs w:val="20"/>
          <w:color w:val="auto"/>
        </w:rPr>
      </w:pPr>
      <w:r>
        <w:rPr>
          <w:rFonts w:ascii="Courier New" w:cs="Courier New" w:eastAsia="Courier New" w:hAnsi="Courier New"/>
          <w:sz w:val="16"/>
          <w:szCs w:val="16"/>
          <w:color w:val="auto"/>
        </w:rPr>
        <w:t>Although management continually reviews opportunities to enhance the value of the Company through strategic acquisitions, other capital investments and strategic divestitures, no material commitments for such investments or divestitures currently exist. Until appropriate investment opportunities are identified, the Company will continue to invest excess cash in conservative investments pursuant to a revised investment policy recently adopted by the Board of Directors. The policy directs investment in short-term and mid-term fixed income instruments earning a market rate of interest without assuming undue risk of principal. Primary objectives are preservation of principal, maintenance of liquidity, and rate of return. Cash equivalents consist of short-term certificates of deposit and investments consist of relatively low-risk investment and annuity contracts with highly rated, stable insurance companies, and marketable securities consisting of investment grade municipal securities, all of which are carried at cost which approximates fair value. All cash equivalents are highly liquid and are available upon demand. There are some penalties associated with the early liquidation of the Company's investment and annuity contracts.</w:t>
      </w:r>
    </w:p>
    <w:p>
      <w:pPr>
        <w:spacing w:after="0" w:line="396" w:lineRule="exact"/>
        <w:rPr>
          <w:sz w:val="20"/>
          <w:szCs w:val="20"/>
          <w:color w:val="auto"/>
        </w:rPr>
      </w:pPr>
    </w:p>
    <w:p>
      <w:pPr>
        <w:ind w:right="2419"/>
        <w:spacing w:after="0" w:line="237" w:lineRule="auto"/>
        <w:rPr>
          <w:sz w:val="20"/>
          <w:szCs w:val="20"/>
          <w:color w:val="auto"/>
        </w:rPr>
      </w:pPr>
      <w:r>
        <w:rPr>
          <w:rFonts w:ascii="Courier New" w:cs="Courier New" w:eastAsia="Courier New" w:hAnsi="Courier New"/>
          <w:sz w:val="18"/>
          <w:szCs w:val="18"/>
          <w:color w:val="auto"/>
        </w:rPr>
        <w:t>Other than as discussed above, management is not aware of any matters that have materially affected the first nine months of fiscal 1998, but are not expected to materially affect future periods, nor is management aware of other matters not affecting this period that are expected to materially affect future periods.</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YEAR 2000 COMPLIANCE</w:t>
      </w:r>
    </w:p>
    <w:p>
      <w:pPr>
        <w:spacing w:after="0" w:line="207" w:lineRule="exact"/>
        <w:rPr>
          <w:sz w:val="20"/>
          <w:szCs w:val="20"/>
          <w:color w:val="auto"/>
        </w:rPr>
      </w:pPr>
    </w:p>
    <w:p>
      <w:pPr>
        <w:ind w:right="2099"/>
        <w:spacing w:after="0" w:line="237" w:lineRule="auto"/>
        <w:rPr>
          <w:sz w:val="20"/>
          <w:szCs w:val="20"/>
          <w:color w:val="auto"/>
        </w:rPr>
      </w:pPr>
      <w:r>
        <w:rPr>
          <w:rFonts w:ascii="Courier New" w:cs="Courier New" w:eastAsia="Courier New" w:hAnsi="Courier New"/>
          <w:sz w:val="18"/>
          <w:szCs w:val="18"/>
          <w:color w:val="auto"/>
        </w:rPr>
        <w:t>The Company has completed an assessment of the "Year 2000" issue with respect to its computer systems and equipment. The Company has been in the process of upgrading its systems to improve overall business performance and to accommodate business of the year 2000. The Company is also in the</w:t>
      </w:r>
    </w:p>
    <w:p>
      <w:pPr>
        <w:spacing w:after="0" w:line="202"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8</w:t>
      </w:r>
    </w:p>
    <w:p>
      <w:pPr>
        <w:sectPr>
          <w:pgSz w:w="11900" w:h="16838" w:orient="portrait"/>
          <w:cols w:equalWidth="0" w:num="1">
            <w:col w:w="10219"/>
          </w:cols>
          <w:pgMar w:left="240" w:top="723" w:right="1440" w:bottom="1440" w:gutter="0" w:footer="0" w:header="0"/>
        </w:sectPr>
      </w:pPr>
    </w:p>
    <w:bookmarkStart w:id="8" w:name="page9"/>
    <w:bookmarkEnd w:id="8"/>
    <w:p>
      <w:pPr>
        <w:ind w:right="2099"/>
        <w:spacing w:after="0" w:line="275" w:lineRule="auto"/>
        <w:rPr>
          <w:sz w:val="20"/>
          <w:szCs w:val="20"/>
          <w:color w:val="auto"/>
        </w:rPr>
      </w:pPr>
      <w:r>
        <w:rPr>
          <w:rFonts w:ascii="Courier New" w:cs="Courier New" w:eastAsia="Courier New" w:hAnsi="Courier New"/>
          <w:sz w:val="16"/>
          <w:szCs w:val="16"/>
          <w:color w:val="auto"/>
        </w:rPr>
        <w:t>process of communicating with its suppliers and customers to determine the extent to which it may be affected by any third party's Year 2000 issues. Therefore, it is believed that the Year 2000 will not have a material adverse effect on the Company's business, operating results and financial condition.</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RECENTLY ISSUED ACCOUNTING STANDARDS</w:t>
      </w:r>
    </w:p>
    <w:p>
      <w:pPr>
        <w:spacing w:after="0" w:line="207" w:lineRule="exact"/>
        <w:rPr>
          <w:sz w:val="20"/>
          <w:szCs w:val="20"/>
          <w:color w:val="auto"/>
        </w:rPr>
      </w:pPr>
    </w:p>
    <w:p>
      <w:pPr>
        <w:ind w:right="2199"/>
        <w:spacing w:after="0" w:line="237" w:lineRule="auto"/>
        <w:rPr>
          <w:sz w:val="20"/>
          <w:szCs w:val="20"/>
          <w:color w:val="auto"/>
        </w:rPr>
      </w:pPr>
      <w:r>
        <w:rPr>
          <w:rFonts w:ascii="Courier New" w:cs="Courier New" w:eastAsia="Courier New" w:hAnsi="Courier New"/>
          <w:sz w:val="18"/>
          <w:szCs w:val="18"/>
          <w:color w:val="auto"/>
        </w:rPr>
        <w:t>In June 1997, the Financial Accounting Standards Board (FASB) issued Statement of Financial Accounting Standards (SFAS) No. 130, "Reporting Comprehensive Income," which establishes standards for reporting and display of comprehensive income and its components in a full set of general purpose financial statements. The Company will be required to adopt SFAS No. 130 in fiscal 1999.</w:t>
      </w:r>
    </w:p>
    <w:p>
      <w:pPr>
        <w:spacing w:after="0" w:line="210" w:lineRule="exact"/>
        <w:rPr>
          <w:sz w:val="20"/>
          <w:szCs w:val="20"/>
          <w:color w:val="auto"/>
        </w:rPr>
      </w:pPr>
    </w:p>
    <w:p>
      <w:pPr>
        <w:ind w:right="2199"/>
        <w:spacing w:after="0" w:line="237" w:lineRule="auto"/>
        <w:rPr>
          <w:sz w:val="20"/>
          <w:szCs w:val="20"/>
          <w:color w:val="auto"/>
        </w:rPr>
      </w:pPr>
      <w:r>
        <w:rPr>
          <w:rFonts w:ascii="Courier New" w:cs="Courier New" w:eastAsia="Courier New" w:hAnsi="Courier New"/>
          <w:sz w:val="18"/>
          <w:szCs w:val="18"/>
          <w:color w:val="auto"/>
        </w:rPr>
        <w:t>In June 1997, the FASB also issued SFAS No. 131, "Disclosures about Segments of an Enterprise and Related Information." SFAS No. 131 redefines how operating segments are determined and requires disclosures of certain financial and descriptive information about a company's operating segments. The Company anticipates the adoption of SFAS No. 131 will result in the Company continuing to operate in one segment. The Company will be required to adopt SFAS No. 131 in fiscal 1999.</w:t>
      </w: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FORWARD-LOOKING STATEMENTS</w:t>
      </w:r>
    </w:p>
    <w:p>
      <w:pPr>
        <w:spacing w:after="0" w:line="207" w:lineRule="exact"/>
        <w:rPr>
          <w:sz w:val="20"/>
          <w:szCs w:val="20"/>
          <w:color w:val="auto"/>
        </w:rPr>
      </w:pPr>
    </w:p>
    <w:p>
      <w:pPr>
        <w:ind w:right="2099"/>
        <w:spacing w:after="0" w:line="270" w:lineRule="auto"/>
        <w:rPr>
          <w:sz w:val="20"/>
          <w:szCs w:val="20"/>
          <w:color w:val="auto"/>
        </w:rPr>
      </w:pPr>
      <w:r>
        <w:rPr>
          <w:rFonts w:ascii="Courier New" w:cs="Courier New" w:eastAsia="Courier New" w:hAnsi="Courier New"/>
          <w:sz w:val="16"/>
          <w:szCs w:val="16"/>
          <w:color w:val="auto"/>
        </w:rPr>
        <w:t>THE INFORMATION CONTAINED IN THIS FORM 10-Q INCLUDES FORWARD-LOOKING STATEMENTS AS DEFINED IN SECTION 21E OF THE SECURITIES EXCHANGE ACT OF 1934, AS AMENDED. THESE FORWARD-LOOKING STATEMENTS INVOLVE A NUMBER OF RISKS AND UNCERTAINTIES, INCLUDING DEMAND FROM MAJOR CUSTOMERS, COMPETITION, CHANGES IN PRODUCT OR CUSTOMER MIX OR REVENUES, CHANGES IN PRODUCT COSTS AND OPERATING EXPENSES AND OTHER FACTORS DISCLOSED THROUGHOUT THIS REPORT. THE ACTUAL RESULTS THAT THE COMPANY ACHIEVES MAY DIFFER MATERIALLY FROM ANY FORWARD-LOOKING STATEMENTS DUE TO SUCH RISKS AND UNCERTAINTIES. THE COMPANY UNDERTAKES NO OBLIGATION TO REVISE ANY FORWARD-LOOKING STATEMENTS IN ORDER TO REFLECT EVENTS OR CIRCUMSTANCES THAT MAY ARISE AFTER THE DATE OF THIS REPORT. READERS ARE URGED TO CAREFULLY REVIEW AND CONSIDER THE VARIOUS DISCLOSURES MADE BY THE COMPANY IN THIS REPORT AND IN THE COMPANY'S OTHER REPORTS FILED WITH THE SECURITIES AND EXCHANGE COMMISSION THAT ATTEMPT TO ADVISE INTERESTED PARTIES OF THE RISKS AND UNCERTAINTIES THAT MAY AFFECT THE COMPANY'S FINANCIAL CONDITION AND RESULTS OF OPERATION.</w:t>
      </w:r>
    </w:p>
    <w:p>
      <w:pPr>
        <w:spacing w:after="0" w:line="381"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9</w:t>
      </w:r>
    </w:p>
    <w:p>
      <w:pPr>
        <w:sectPr>
          <w:pgSz w:w="11900" w:h="16838" w:orient="portrait"/>
          <w:cols w:equalWidth="0" w:num="1">
            <w:col w:w="10219"/>
          </w:cols>
          <w:pgMar w:left="240" w:top="723" w:right="1440" w:bottom="1440" w:gutter="0" w:footer="0" w:header="0"/>
        </w:sectPr>
      </w:pPr>
    </w:p>
    <w:bookmarkStart w:id="9" w:name="page10"/>
    <w:bookmarkEnd w:id="9"/>
    <w:p>
      <w:pPr>
        <w:ind w:left="2960"/>
        <w:spacing w:after="0"/>
        <w:tabs>
          <w:tab w:leader="none" w:pos="4000" w:val="left"/>
        </w:tabs>
        <w:rPr>
          <w:sz w:val="20"/>
          <w:szCs w:val="20"/>
          <w:color w:val="auto"/>
        </w:rPr>
      </w:pPr>
      <w:r>
        <w:rPr>
          <w:rFonts w:ascii="Courier New" w:cs="Courier New" w:eastAsia="Courier New" w:hAnsi="Courier New"/>
          <w:sz w:val="18"/>
          <w:szCs w:val="18"/>
          <w:color w:val="auto"/>
        </w:rPr>
        <w:t>PART II.</w:t>
      </w:r>
      <w:r>
        <w:rPr>
          <w:sz w:val="20"/>
          <w:szCs w:val="20"/>
          <w:color w:val="auto"/>
        </w:rPr>
        <w:tab/>
      </w:r>
      <w:r>
        <w:rPr>
          <w:rFonts w:ascii="Courier New" w:cs="Courier New" w:eastAsia="Courier New" w:hAnsi="Courier New"/>
          <w:sz w:val="16"/>
          <w:szCs w:val="16"/>
          <w:color w:val="auto"/>
        </w:rPr>
        <w:t>OTHER INFORMATION</w:t>
      </w:r>
    </w:p>
    <w:p>
      <w:pPr>
        <w:spacing w:after="0" w:line="200" w:lineRule="exact"/>
        <w:rPr>
          <w:sz w:val="20"/>
          <w:szCs w:val="20"/>
          <w:color w:val="auto"/>
        </w:rPr>
      </w:pPr>
    </w:p>
    <w:p>
      <w:pPr>
        <w:spacing w:after="0" w:line="204"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1.</w:t>
      </w:r>
      <w:r>
        <w:rPr>
          <w:sz w:val="20"/>
          <w:szCs w:val="20"/>
          <w:color w:val="auto"/>
        </w:rPr>
        <w:tab/>
      </w:r>
      <w:r>
        <w:rPr>
          <w:rFonts w:ascii="Courier New" w:cs="Courier New" w:eastAsia="Courier New" w:hAnsi="Courier New"/>
          <w:sz w:val="16"/>
          <w:szCs w:val="16"/>
          <w:color w:val="auto"/>
        </w:rPr>
        <w:t>Legal Proceedings</w:t>
      </w:r>
    </w:p>
    <w:p>
      <w:pPr>
        <w:spacing w:after="0" w:line="207" w:lineRule="exact"/>
        <w:rPr>
          <w:sz w:val="20"/>
          <w:szCs w:val="20"/>
          <w:color w:val="auto"/>
        </w:rPr>
      </w:pPr>
    </w:p>
    <w:p>
      <w:pPr>
        <w:ind w:right="2319"/>
        <w:spacing w:after="0" w:line="237" w:lineRule="auto"/>
        <w:rPr>
          <w:sz w:val="20"/>
          <w:szCs w:val="20"/>
          <w:color w:val="auto"/>
        </w:rPr>
      </w:pPr>
      <w:r>
        <w:rPr>
          <w:rFonts w:ascii="Courier New" w:cs="Courier New" w:eastAsia="Courier New" w:hAnsi="Courier New"/>
          <w:sz w:val="18"/>
          <w:szCs w:val="18"/>
          <w:color w:val="auto"/>
        </w:rPr>
        <w:t>As of the date of this filing, neither the Registrant nor any of its subsidiaries were involved in any pending legal proceedings to which the Registrant or its subsidiaries was a party or of which any property of the Registrant or its subsidiaries were the subject other than ordinary routine litigation incidental to their business, except as follows:</w:t>
      </w:r>
    </w:p>
    <w:p>
      <w:pPr>
        <w:spacing w:after="0" w:line="209" w:lineRule="exact"/>
        <w:rPr>
          <w:sz w:val="20"/>
          <w:szCs w:val="20"/>
          <w:color w:val="auto"/>
        </w:rPr>
      </w:pPr>
    </w:p>
    <w:p>
      <w:pPr>
        <w:ind w:left="540" w:right="2319" w:hanging="526"/>
        <w:spacing w:after="0" w:line="237" w:lineRule="auto"/>
        <w:rPr>
          <w:sz w:val="20"/>
          <w:szCs w:val="20"/>
          <w:color w:val="auto"/>
        </w:rPr>
      </w:pPr>
      <w:r>
        <w:rPr>
          <w:rFonts w:ascii="Courier New" w:cs="Courier New" w:eastAsia="Courier New" w:hAnsi="Courier New"/>
          <w:sz w:val="18"/>
          <w:szCs w:val="18"/>
          <w:color w:val="auto"/>
        </w:rPr>
        <w:t>LYNDE COMPANY WAREHOUSE FIRE.</w:t>
      </w:r>
      <w:r>
        <w:rPr>
          <w:sz w:val="20"/>
          <w:szCs w:val="20"/>
          <w:color w:val="auto"/>
        </w:rPr>
        <w:t xml:space="preserve"> </w:t>
      </w:r>
      <w:r>
        <w:rPr>
          <w:rFonts w:ascii="Courier New" w:cs="Courier New" w:eastAsia="Courier New" w:hAnsi="Courier New"/>
          <w:sz w:val="18"/>
          <w:szCs w:val="18"/>
          <w:color w:val="auto"/>
        </w:rPr>
        <w:t>On March 1, 1995, the Company and its former subsidiary, The Lynde Company, were named as defendants in an action entitled DONNA M. COOKSEY, ET AL. V. HAWKINS CHEMICAL, INC. AND THE LYNDE COMPANY ("COOKSEY"). This action was certified as a partial class action in 1997. The Registrant has entered into a class settlement agreement with the class, pursuant to which the Registrant has agreed to pay certain costs and expenses of the class, as well as certain compensation to the class pursuant to a Matrix and Plan of Distribution which form a part of the settlement agreement.</w:t>
      </w:r>
    </w:p>
    <w:p>
      <w:pPr>
        <w:spacing w:after="0" w:line="214" w:lineRule="exact"/>
        <w:rPr>
          <w:sz w:val="20"/>
          <w:szCs w:val="20"/>
          <w:color w:val="auto"/>
        </w:rPr>
      </w:pPr>
    </w:p>
    <w:p>
      <w:pPr>
        <w:ind w:left="540" w:right="2419"/>
        <w:spacing w:after="0" w:line="237" w:lineRule="auto"/>
        <w:rPr>
          <w:sz w:val="20"/>
          <w:szCs w:val="20"/>
          <w:color w:val="auto"/>
        </w:rPr>
      </w:pPr>
      <w:r>
        <w:rPr>
          <w:rFonts w:ascii="Courier New" w:cs="Courier New" w:eastAsia="Courier New" w:hAnsi="Courier New"/>
          <w:sz w:val="18"/>
          <w:szCs w:val="18"/>
          <w:color w:val="auto"/>
        </w:rPr>
        <w:t>The district court approved the settlement on January 30, 1998. Pursuant to the settlement, in early February 1998 the Company paid $850,000 to attorneys for the class, and $5,000 to each of the four class representatives. It is not possible at this time to quantify the probable additional settlement costs which may be payable by the Registrant pursuant to the Matrix and Plan of Distribution which form a part of the settlement agreement. The Registrant reasonably expects, however, that such settlement costs will be estimable by the end of 1998.</w:t>
      </w:r>
    </w:p>
    <w:p>
      <w:pPr>
        <w:spacing w:after="0" w:line="208"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6.</w:t>
      </w:r>
      <w:r>
        <w:rPr>
          <w:sz w:val="20"/>
          <w:szCs w:val="20"/>
          <w:color w:val="auto"/>
        </w:rPr>
        <w:tab/>
      </w:r>
      <w:r>
        <w:rPr>
          <w:rFonts w:ascii="Courier New" w:cs="Courier New" w:eastAsia="Courier New" w:hAnsi="Courier New"/>
          <w:sz w:val="16"/>
          <w:szCs w:val="16"/>
          <w:color w:val="auto"/>
        </w:rPr>
        <w:t>Exhibits and Reports on Form 8-K.</w:t>
      </w:r>
    </w:p>
    <w:p>
      <w:pPr>
        <w:spacing w:after="0" w:line="201" w:lineRule="exact"/>
        <w:rPr>
          <w:sz w:val="20"/>
          <w:szCs w:val="20"/>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Exhibits.</w:t>
      </w:r>
    </w:p>
    <w:p>
      <w:pPr>
        <w:spacing w:after="0" w:line="4" w:lineRule="exact"/>
        <w:rPr>
          <w:rFonts w:ascii="Courier New" w:cs="Courier New" w:eastAsia="Courier New" w:hAnsi="Courier New"/>
          <w:sz w:val="18"/>
          <w:szCs w:val="18"/>
          <w:color w:val="auto"/>
        </w:rPr>
      </w:pPr>
    </w:p>
    <w:p>
      <w:pPr>
        <w:ind w:left="540" w:right="2319"/>
        <w:spacing w:after="0" w:line="236"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The following exhibits are included with this Quarterly Report on Form 10-Q (or incorporated by reference) as required by Item 601 of Regulation S-K.</w:t>
      </w:r>
    </w:p>
    <w:p>
      <w:pPr>
        <w:sectPr>
          <w:pgSz w:w="11900" w:h="16838" w:orient="portrait"/>
          <w:cols w:equalWidth="0" w:num="1">
            <w:col w:w="10219"/>
          </w:cols>
          <w:pgMar w:left="240" w:top="717" w:right="1440" w:bottom="97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1060"/>
        <w:spacing w:after="0"/>
        <w:rPr>
          <w:sz w:val="20"/>
          <w:szCs w:val="20"/>
          <w:color w:val="auto"/>
        </w:rPr>
      </w:pPr>
      <w:r>
        <w:rPr>
          <w:rFonts w:ascii="Courier New" w:cs="Courier New" w:eastAsia="Courier New" w:hAnsi="Courier New"/>
          <w:sz w:val="16"/>
          <w:szCs w:val="16"/>
          <w:color w:val="auto"/>
        </w:rPr>
        <w:t>Exhibit No.</w:t>
      </w:r>
    </w:p>
    <w:p>
      <w:pPr>
        <w:spacing w:after="0" w:line="21" w:lineRule="exact"/>
        <w:rPr>
          <w:sz w:val="20"/>
          <w:szCs w:val="20"/>
          <w:color w:val="auto"/>
        </w:rPr>
      </w:pPr>
    </w:p>
    <w:p>
      <w:pPr>
        <w:ind w:left="1060"/>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9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Description of Exhibit</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ectPr>
          <w:pgSz w:w="11900" w:h="16838" w:orient="portrait"/>
          <w:cols w:equalWidth="0" w:num="2">
            <w:col w:w="2980" w:space="720"/>
            <w:col w:w="6519"/>
          </w:cols>
          <w:pgMar w:left="240" w:top="717" w:right="1440" w:bottom="970" w:gutter="0" w:footer="0" w:header="0"/>
          <w:type w:val="continuous"/>
        </w:sectPr>
      </w:pPr>
    </w:p>
    <w:p>
      <w:pPr>
        <w:spacing w:after="0" w:line="18" w:lineRule="exact"/>
        <w:rPr>
          <w:sz w:val="20"/>
          <w:szCs w:val="20"/>
          <w:color w:val="auto"/>
        </w:rPr>
      </w:pPr>
    </w:p>
    <w:p>
      <w:pPr>
        <w:ind w:left="1480"/>
        <w:spacing w:after="0"/>
        <w:rPr>
          <w:sz w:val="20"/>
          <w:szCs w:val="20"/>
          <w:color w:val="auto"/>
        </w:rPr>
      </w:pPr>
      <w:r>
        <w:rPr>
          <w:rFonts w:ascii="Courier New" w:cs="Courier New" w:eastAsia="Courier New" w:hAnsi="Courier New"/>
          <w:sz w:val="18"/>
          <w:szCs w:val="18"/>
          <w:color w:val="auto"/>
        </w:rPr>
        <w:t>27</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Financial Data Schedule</w:t>
      </w:r>
    </w:p>
    <w:p>
      <w:pPr>
        <w:spacing w:after="0" w:line="216" w:lineRule="exact"/>
        <w:rPr>
          <w:sz w:val="20"/>
          <w:szCs w:val="20"/>
          <w:color w:val="auto"/>
        </w:rPr>
      </w:pPr>
    </w:p>
    <w:p>
      <w:pPr>
        <w:sectPr>
          <w:pgSz w:w="11900" w:h="16838" w:orient="portrait"/>
          <w:cols w:equalWidth="0" w:num="2">
            <w:col w:w="2980" w:space="720"/>
            <w:col w:w="6519"/>
          </w:cols>
          <w:pgMar w:left="240" w:top="717" w:right="1440" w:bottom="970" w:gutter="0" w:footer="0" w:header="0"/>
          <w:type w:val="continuous"/>
        </w:sectPr>
      </w:pPr>
    </w:p>
    <w:p>
      <w:pPr>
        <w:spacing w:after="0" w:line="204" w:lineRule="exact"/>
        <w:rPr>
          <w:sz w:val="20"/>
          <w:szCs w:val="20"/>
          <w:color w:val="auto"/>
        </w:rPr>
      </w:pPr>
    </w:p>
    <w:p>
      <w:pPr>
        <w:ind w:left="540" w:hanging="532"/>
        <w:spacing w:after="0"/>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Reports on Form 8-K.</w:t>
      </w:r>
    </w:p>
    <w:p>
      <w:pPr>
        <w:spacing w:after="0" w:line="206" w:lineRule="exact"/>
        <w:rPr>
          <w:rFonts w:ascii="Courier New" w:cs="Courier New" w:eastAsia="Courier New" w:hAnsi="Courier New"/>
          <w:sz w:val="18"/>
          <w:szCs w:val="18"/>
          <w:color w:val="auto"/>
        </w:rPr>
      </w:pPr>
    </w:p>
    <w:p>
      <w:pPr>
        <w:ind w:left="540" w:right="231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No reports on Form 8-K have been filed during the fiscal quarter ended June 30, 1998.</w:t>
      </w:r>
    </w:p>
    <w:p>
      <w:pPr>
        <w:spacing w:after="0" w:line="1" w:lineRule="exact"/>
        <w:rPr>
          <w:rFonts w:ascii="Courier New" w:cs="Courier New" w:eastAsia="Courier New" w:hAnsi="Courier New"/>
          <w:sz w:val="18"/>
          <w:szCs w:val="18"/>
          <w:color w:val="auto"/>
        </w:rPr>
      </w:pPr>
    </w:p>
    <w:p>
      <w:pPr>
        <w:ind w:left="5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jc w:val="both"/>
        <w:ind w:right="2619"/>
        <w:spacing w:after="0" w:line="236" w:lineRule="auto"/>
        <w:rPr>
          <w:sz w:val="20"/>
          <w:szCs w:val="20"/>
          <w:color w:val="auto"/>
        </w:rPr>
      </w:pPr>
      <w:r>
        <w:rPr>
          <w:rFonts w:ascii="Courier New" w:cs="Courier New" w:eastAsia="Courier New" w:hAnsi="Courier New"/>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06" w:lineRule="exact"/>
        <w:rPr>
          <w:sz w:val="20"/>
          <w:szCs w:val="20"/>
          <w:color w:val="auto"/>
        </w:rPr>
      </w:pPr>
    </w:p>
    <w:p>
      <w:pPr>
        <w:ind w:left="4320"/>
        <w:spacing w:after="0"/>
        <w:rPr>
          <w:sz w:val="20"/>
          <w:szCs w:val="20"/>
          <w:color w:val="auto"/>
        </w:rPr>
      </w:pPr>
      <w:r>
        <w:rPr>
          <w:rFonts w:ascii="Courier New" w:cs="Courier New" w:eastAsia="Courier New" w:hAnsi="Courier New"/>
          <w:sz w:val="18"/>
          <w:szCs w:val="18"/>
          <w:color w:val="auto"/>
        </w:rPr>
        <w:t>HAWKINS CHEMICAL, INC.</w:t>
      </w:r>
    </w:p>
    <w:p>
      <w:pPr>
        <w:spacing w:after="0" w:line="201" w:lineRule="exact"/>
        <w:rPr>
          <w:sz w:val="20"/>
          <w:szCs w:val="20"/>
          <w:color w:val="auto"/>
        </w:rPr>
      </w:pPr>
    </w:p>
    <w:p>
      <w:pPr>
        <w:jc w:val="center"/>
        <w:ind w:right="-320"/>
        <w:spacing w:after="0"/>
        <w:tabs>
          <w:tab w:leader="none" w:pos="180" w:val="left"/>
          <w:tab w:leader="none" w:pos="200" w:val="left"/>
        </w:tabs>
        <w:rPr>
          <w:sz w:val="20"/>
          <w:szCs w:val="20"/>
          <w:color w:val="auto"/>
        </w:rPr>
      </w:pPr>
      <w:r>
        <w:rPr>
          <w:rFonts w:ascii="Courier New" w:cs="Courier New" w:eastAsia="Courier New" w:hAnsi="Courier New"/>
          <w:sz w:val="18"/>
          <w:szCs w:val="18"/>
          <w:color w:val="auto"/>
        </w:rPr>
        <w:t>BY</w:t>
        <w:tab/>
        <w:t>/s/</w:t>
      </w:r>
      <w:r>
        <w:rPr>
          <w:sz w:val="20"/>
          <w:szCs w:val="20"/>
          <w:color w:val="auto"/>
        </w:rPr>
        <w:tab/>
      </w:r>
      <w:r>
        <w:rPr>
          <w:rFonts w:ascii="Courier New" w:cs="Courier New" w:eastAsia="Courier New" w:hAnsi="Courier New"/>
          <w:sz w:val="16"/>
          <w:szCs w:val="16"/>
          <w:color w:val="auto"/>
        </w:rPr>
        <w:t>Howard M. Hawkins</w:t>
      </w:r>
    </w:p>
    <w:p>
      <w:pPr>
        <w:spacing w:after="0" w:line="4" w:lineRule="exact"/>
        <w:rPr>
          <w:sz w:val="20"/>
          <w:szCs w:val="20"/>
          <w:color w:val="auto"/>
        </w:rPr>
      </w:pPr>
    </w:p>
    <w:p>
      <w:pPr>
        <w:ind w:left="43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320"/>
        <w:spacing w:after="0"/>
        <w:rPr>
          <w:sz w:val="20"/>
          <w:szCs w:val="20"/>
          <w:color w:val="auto"/>
        </w:rPr>
      </w:pPr>
      <w:r>
        <w:rPr>
          <w:rFonts w:ascii="Courier New" w:cs="Courier New" w:eastAsia="Courier New" w:hAnsi="Courier New"/>
          <w:sz w:val="18"/>
          <w:szCs w:val="18"/>
          <w:color w:val="auto"/>
        </w:rPr>
        <w:t>Howard M. Hawkins, Treasurer</w:t>
      </w:r>
    </w:p>
    <w:p>
      <w:pPr>
        <w:ind w:left="4320"/>
        <w:spacing w:after="0" w:line="238" w:lineRule="auto"/>
        <w:rPr>
          <w:sz w:val="20"/>
          <w:szCs w:val="20"/>
          <w:color w:val="auto"/>
        </w:rPr>
      </w:pPr>
      <w:r>
        <w:rPr>
          <w:rFonts w:ascii="Courier New" w:cs="Courier New" w:eastAsia="Courier New" w:hAnsi="Courier New"/>
          <w:sz w:val="18"/>
          <w:szCs w:val="18"/>
          <w:color w:val="auto"/>
        </w:rPr>
        <w:t>(Chief Financial and Accounting</w:t>
      </w:r>
    </w:p>
    <w:p>
      <w:pPr>
        <w:ind w:left="4320"/>
        <w:spacing w:after="0"/>
        <w:rPr>
          <w:sz w:val="20"/>
          <w:szCs w:val="20"/>
          <w:color w:val="auto"/>
        </w:rPr>
      </w:pPr>
      <w:r>
        <w:rPr>
          <w:rFonts w:ascii="Courier New" w:cs="Courier New" w:eastAsia="Courier New" w:hAnsi="Courier New"/>
          <w:sz w:val="18"/>
          <w:szCs w:val="18"/>
          <w:color w:val="auto"/>
        </w:rPr>
        <w:t>Officer)</w:t>
      </w:r>
    </w:p>
    <w:p>
      <w:pPr>
        <w:spacing w:after="0" w:line="200" w:lineRule="exact"/>
        <w:rPr>
          <w:sz w:val="20"/>
          <w:szCs w:val="20"/>
          <w:color w:val="auto"/>
        </w:rPr>
      </w:pPr>
    </w:p>
    <w:p>
      <w:pPr>
        <w:spacing w:after="0" w:line="203"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8"/>
          <w:szCs w:val="18"/>
          <w:color w:val="auto"/>
        </w:rPr>
        <w:t>Dated:</w:t>
        <w:tab/>
        <w:t>August 12, 1998</w:t>
      </w:r>
    </w:p>
    <w:p>
      <w:pPr>
        <w:spacing w:after="0" w:line="200" w:lineRule="exact"/>
        <w:rPr>
          <w:sz w:val="20"/>
          <w:szCs w:val="20"/>
          <w:color w:val="auto"/>
        </w:rPr>
      </w:pPr>
    </w:p>
    <w:p>
      <w:pPr>
        <w:spacing w:after="0" w:line="204"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10</w:t>
      </w:r>
    </w:p>
    <w:p>
      <w:pPr>
        <w:sectPr>
          <w:pgSz w:w="11900" w:h="16838" w:orient="portrait"/>
          <w:cols w:equalWidth="0" w:num="1">
            <w:col w:w="10219"/>
          </w:cols>
          <w:pgMar w:left="240" w:top="717" w:right="1440" w:bottom="970" w:gutter="0" w:footer="0" w:header="0"/>
          <w:type w:val="continuous"/>
        </w:sectPr>
      </w:pPr>
    </w:p>
    <w:bookmarkStart w:id="10" w:name="page11"/>
    <w:bookmarkEnd w:id="10"/>
    <w:p>
      <w:pPr>
        <w:ind w:left="3480"/>
        <w:spacing w:after="0"/>
        <w:rPr>
          <w:sz w:val="20"/>
          <w:szCs w:val="20"/>
          <w:color w:val="auto"/>
        </w:rPr>
      </w:pPr>
      <w:r>
        <w:rPr>
          <w:rFonts w:ascii="Courier New" w:cs="Courier New" w:eastAsia="Courier New" w:hAnsi="Courier New"/>
          <w:sz w:val="18"/>
          <w:szCs w:val="18"/>
          <w:color w:val="auto"/>
        </w:rPr>
        <w:t>EXHIBIT INDEX</w:t>
      </w:r>
    </w:p>
    <w:p>
      <w:pPr>
        <w:spacing w:after="0" w:line="207" w:lineRule="exact"/>
        <w:rPr>
          <w:sz w:val="20"/>
          <w:szCs w:val="20"/>
          <w:color w:val="auto"/>
        </w:rPr>
      </w:pPr>
    </w:p>
    <w:p>
      <w:pPr>
        <w:ind w:right="2319"/>
        <w:spacing w:after="0" w:line="290" w:lineRule="auto"/>
        <w:rPr>
          <w:sz w:val="20"/>
          <w:szCs w:val="20"/>
          <w:color w:val="auto"/>
        </w:rPr>
      </w:pPr>
      <w:r>
        <w:rPr>
          <w:rFonts w:ascii="Courier New" w:cs="Courier New" w:eastAsia="Courier New" w:hAnsi="Courier New"/>
          <w:sz w:val="16"/>
          <w:szCs w:val="16"/>
          <w:color w:val="auto"/>
        </w:rPr>
        <w:t>The following exhibits are included with this Quarterly Report on Form 10-Q (or incorporated by reference) as required by Item 601 of Regulation S-K.</w:t>
      </w:r>
    </w:p>
    <w:p>
      <w:pPr>
        <w:spacing w:after="0" w:line="200" w:lineRule="exact"/>
        <w:rPr>
          <w:sz w:val="20"/>
          <w:szCs w:val="20"/>
          <w:color w:val="auto"/>
        </w:rPr>
      </w:pPr>
    </w:p>
    <w:p>
      <w:pPr>
        <w:spacing w:after="0" w:line="369" w:lineRule="exact"/>
        <w:rPr>
          <w:sz w:val="20"/>
          <w:szCs w:val="20"/>
          <w:color w:val="auto"/>
        </w:rPr>
      </w:pPr>
    </w:p>
    <w:tbl>
      <w:tblPr>
        <w:tblLayout w:type="fixed"/>
        <w:tblInd w:w="320" w:type="dxa"/>
        <w:tblCellMar>
          <w:top w:w="0" w:type="dxa"/>
          <w:left w:w="0" w:type="dxa"/>
          <w:bottom w:w="0" w:type="dxa"/>
          <w:right w:w="0" w:type="dxa"/>
        </w:tblCellMar>
      </w:tblPr>
      <w:tr>
        <w:trPr>
          <w:trHeight w:val="204"/>
        </w:trPr>
        <w:tc>
          <w:tcPr>
            <w:tcW w:w="1640" w:type="dxa"/>
            <w:vAlign w:val="bottom"/>
          </w:tcPr>
          <w:p>
            <w:pPr>
              <w:spacing w:after="0"/>
              <w:rPr>
                <w:sz w:val="20"/>
                <w:szCs w:val="20"/>
                <w:color w:val="auto"/>
              </w:rPr>
            </w:pPr>
            <w:r>
              <w:rPr>
                <w:rFonts w:ascii="Courier New" w:cs="Courier New" w:eastAsia="Courier New" w:hAnsi="Courier New"/>
                <w:sz w:val="18"/>
                <w:szCs w:val="18"/>
                <w:color w:val="auto"/>
              </w:rPr>
              <w:t>Exhibit No.</w:t>
            </w:r>
          </w:p>
        </w:tc>
        <w:tc>
          <w:tcPr>
            <w:tcW w:w="2000" w:type="dxa"/>
            <w:vAlign w:val="bottom"/>
          </w:tcPr>
          <w:p>
            <w:pPr>
              <w:ind w:left="480"/>
              <w:spacing w:after="0"/>
              <w:rPr>
                <w:sz w:val="20"/>
                <w:szCs w:val="20"/>
                <w:color w:val="auto"/>
              </w:rPr>
            </w:pPr>
            <w:r>
              <w:rPr>
                <w:rFonts w:ascii="Courier New" w:cs="Courier New" w:eastAsia="Courier New" w:hAnsi="Courier New"/>
                <w:sz w:val="18"/>
                <w:szCs w:val="18"/>
                <w:color w:val="auto"/>
                <w:w w:val="99"/>
              </w:rPr>
              <w:t>Description of</w:t>
            </w:r>
          </w:p>
        </w:tc>
        <w:tc>
          <w:tcPr>
            <w:tcW w:w="1420" w:type="dxa"/>
            <w:vAlign w:val="bottom"/>
          </w:tcPr>
          <w:p>
            <w:pPr>
              <w:ind w:left="60"/>
              <w:spacing w:after="0"/>
              <w:rPr>
                <w:sz w:val="20"/>
                <w:szCs w:val="20"/>
                <w:color w:val="auto"/>
              </w:rPr>
            </w:pPr>
            <w:r>
              <w:rPr>
                <w:rFonts w:ascii="Courier New" w:cs="Courier New" w:eastAsia="Courier New" w:hAnsi="Courier New"/>
                <w:sz w:val="18"/>
                <w:szCs w:val="18"/>
                <w:color w:val="auto"/>
              </w:rPr>
              <w:t>Exhibit</w:t>
            </w:r>
          </w:p>
        </w:tc>
        <w:tc>
          <w:tcPr>
            <w:tcW w:w="1360" w:type="dxa"/>
            <w:vAlign w:val="bottom"/>
          </w:tcPr>
          <w:p>
            <w:pPr>
              <w:jc w:val="center"/>
              <w:ind w:left="432"/>
              <w:spacing w:after="0"/>
              <w:rPr>
                <w:sz w:val="20"/>
                <w:szCs w:val="20"/>
                <w:color w:val="auto"/>
              </w:rPr>
            </w:pPr>
            <w:r>
              <w:rPr>
                <w:rFonts w:ascii="Courier New" w:cs="Courier New" w:eastAsia="Courier New" w:hAnsi="Courier New"/>
                <w:sz w:val="18"/>
                <w:szCs w:val="18"/>
                <w:color w:val="auto"/>
                <w:w w:val="97"/>
              </w:rPr>
              <w:t>Page No.</w:t>
            </w:r>
          </w:p>
        </w:tc>
      </w:tr>
      <w:tr>
        <w:trPr>
          <w:trHeight w:val="203"/>
        </w:trPr>
        <w:tc>
          <w:tcPr>
            <w:tcW w:w="1640" w:type="dxa"/>
            <w:vAlign w:val="bottom"/>
          </w:tcPr>
          <w:p>
            <w:pPr>
              <w:spacing w:after="0" w:line="203" w:lineRule="exact"/>
              <w:rPr>
                <w:sz w:val="20"/>
                <w:szCs w:val="20"/>
                <w:color w:val="auto"/>
              </w:rPr>
            </w:pPr>
            <w:r>
              <w:rPr>
                <w:rFonts w:ascii="Courier New" w:cs="Courier New" w:eastAsia="Courier New" w:hAnsi="Courier New"/>
                <w:sz w:val="18"/>
                <w:szCs w:val="18"/>
                <w:color w:val="auto"/>
              </w:rPr>
              <w:t>-----------</w:t>
            </w:r>
          </w:p>
        </w:tc>
        <w:tc>
          <w:tcPr>
            <w:tcW w:w="3420" w:type="dxa"/>
            <w:vAlign w:val="bottom"/>
            <w:gridSpan w:val="2"/>
          </w:tcPr>
          <w:p>
            <w:pPr>
              <w:ind w:left="480"/>
              <w:spacing w:after="0" w:line="203" w:lineRule="exact"/>
              <w:rPr>
                <w:sz w:val="20"/>
                <w:szCs w:val="20"/>
                <w:color w:val="auto"/>
              </w:rPr>
            </w:pPr>
            <w:r>
              <w:rPr>
                <w:rFonts w:ascii="Courier New" w:cs="Courier New" w:eastAsia="Courier New" w:hAnsi="Courier New"/>
                <w:sz w:val="18"/>
                <w:szCs w:val="18"/>
                <w:color w:val="auto"/>
              </w:rPr>
              <w:t>----------------------</w:t>
            </w:r>
          </w:p>
        </w:tc>
        <w:tc>
          <w:tcPr>
            <w:tcW w:w="1360" w:type="dxa"/>
            <w:vAlign w:val="bottom"/>
          </w:tcPr>
          <w:p>
            <w:pPr>
              <w:jc w:val="center"/>
              <w:ind w:left="432"/>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405"/>
        </w:trPr>
        <w:tc>
          <w:tcPr>
            <w:tcW w:w="1640" w:type="dxa"/>
            <w:vAlign w:val="bottom"/>
          </w:tcPr>
          <w:p>
            <w:pPr>
              <w:jc w:val="right"/>
              <w:ind w:right="1012"/>
              <w:spacing w:after="0"/>
              <w:rPr>
                <w:sz w:val="20"/>
                <w:szCs w:val="20"/>
                <w:color w:val="auto"/>
              </w:rPr>
            </w:pPr>
            <w:r>
              <w:rPr>
                <w:rFonts w:ascii="Courier New" w:cs="Courier New" w:eastAsia="Courier New" w:hAnsi="Courier New"/>
                <w:sz w:val="18"/>
                <w:szCs w:val="18"/>
                <w:color w:val="auto"/>
              </w:rPr>
              <w:t>27</w:t>
            </w:r>
          </w:p>
        </w:tc>
        <w:tc>
          <w:tcPr>
            <w:tcW w:w="2000" w:type="dxa"/>
            <w:vAlign w:val="bottom"/>
          </w:tcPr>
          <w:p>
            <w:pPr>
              <w:ind w:left="480"/>
              <w:spacing w:after="0"/>
              <w:rPr>
                <w:sz w:val="20"/>
                <w:szCs w:val="20"/>
                <w:color w:val="auto"/>
              </w:rPr>
            </w:pPr>
            <w:r>
              <w:rPr>
                <w:rFonts w:ascii="Courier New" w:cs="Courier New" w:eastAsia="Courier New" w:hAnsi="Courier New"/>
                <w:sz w:val="18"/>
                <w:szCs w:val="18"/>
                <w:color w:val="auto"/>
                <w:w w:val="99"/>
              </w:rPr>
              <w:t>Financial Data</w:t>
            </w:r>
          </w:p>
        </w:tc>
        <w:tc>
          <w:tcPr>
            <w:tcW w:w="1420" w:type="dxa"/>
            <w:vAlign w:val="bottom"/>
          </w:tcPr>
          <w:p>
            <w:pPr>
              <w:ind w:left="60"/>
              <w:spacing w:after="0"/>
              <w:rPr>
                <w:sz w:val="20"/>
                <w:szCs w:val="20"/>
                <w:color w:val="auto"/>
              </w:rPr>
            </w:pPr>
            <w:r>
              <w:rPr>
                <w:rFonts w:ascii="Courier New" w:cs="Courier New" w:eastAsia="Courier New" w:hAnsi="Courier New"/>
                <w:sz w:val="18"/>
                <w:szCs w:val="18"/>
                <w:color w:val="auto"/>
              </w:rPr>
              <w:t>Schedule</w:t>
            </w:r>
          </w:p>
        </w:tc>
        <w:tc>
          <w:tcPr>
            <w:tcW w:w="1360" w:type="dxa"/>
            <w:vAlign w:val="bottom"/>
          </w:tcPr>
          <w:p>
            <w:pPr>
              <w:jc w:val="center"/>
              <w:ind w:left="452"/>
              <w:spacing w:after="0"/>
              <w:rPr>
                <w:sz w:val="20"/>
                <w:szCs w:val="20"/>
                <w:color w:val="auto"/>
              </w:rPr>
            </w:pPr>
            <w:r>
              <w:rPr>
                <w:rFonts w:ascii="Courier New" w:cs="Courier New" w:eastAsia="Courier New" w:hAnsi="Courier New"/>
                <w:sz w:val="18"/>
                <w:szCs w:val="18"/>
                <w:color w:val="auto"/>
              </w:rPr>
              <w:t>12</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11</w:t>
      </w:r>
    </w:p>
    <w:p>
      <w:pPr>
        <w:sectPr>
          <w:pgSz w:w="11900" w:h="16838" w:orient="portrait"/>
          <w:cols w:equalWidth="0" w:num="1">
            <w:col w:w="10219"/>
          </w:cols>
          <w:pgMar w:left="240" w:top="717" w:right="1440" w:bottom="1440" w:gutter="0" w:footer="0" w:header="0"/>
        </w:sectPr>
      </w:pPr>
    </w:p>
    <w:bookmarkStart w:id="11" w:name="page12"/>
    <w:bookmarkEnd w:id="11"/>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12" w:name="page13"/>
    <w:bookmarkEnd w:id="12"/>
    <w:p>
      <w:pPr>
        <w:spacing w:after="0"/>
        <w:rPr>
          <w:sz w:val="20"/>
          <w:szCs w:val="20"/>
          <w:color w:val="auto"/>
        </w:rPr>
      </w:pPr>
      <w:r>
        <w:rPr>
          <w:rFonts w:ascii="Courier New" w:cs="Courier New" w:eastAsia="Courier New" w:hAnsi="Courier New"/>
          <w:sz w:val="18"/>
          <w:szCs w:val="18"/>
          <w:color w:val="auto"/>
        </w:rPr>
        <w:t>5</w:t>
      </w:r>
    </w:p>
    <w:p>
      <w:pPr>
        <w:spacing w:after="0" w:line="200" w:lineRule="exact"/>
        <w:rPr>
          <w:sz w:val="20"/>
          <w:szCs w:val="20"/>
          <w:color w:val="auto"/>
        </w:rPr>
      </w:pPr>
    </w:p>
    <w:p>
      <w:pPr>
        <w:spacing w:after="0" w:line="204" w:lineRule="exact"/>
        <w:rPr>
          <w:sz w:val="20"/>
          <w:szCs w:val="20"/>
          <w:color w:val="auto"/>
        </w:rPr>
      </w:pPr>
    </w:p>
    <w:p>
      <w:pPr>
        <w:ind w:left="1880"/>
        <w:spacing w:after="0"/>
        <w:rPr>
          <w:sz w:val="20"/>
          <w:szCs w:val="20"/>
          <w:color w:val="auto"/>
        </w:rPr>
      </w:pPr>
      <w:r>
        <w:rPr>
          <w:rFonts w:ascii="Courier New" w:cs="Courier New" w:eastAsia="Courier New" w:hAnsi="Courier New"/>
          <w:sz w:val="18"/>
          <w:szCs w:val="18"/>
          <w:color w:val="auto"/>
        </w:rPr>
        <w:t>9-MOS</w:t>
      </w:r>
    </w:p>
    <w:p>
      <w:pPr>
        <w:ind w:left="2620"/>
        <w:spacing w:after="0" w:line="238" w:lineRule="auto"/>
        <w:rPr>
          <w:sz w:val="20"/>
          <w:szCs w:val="20"/>
          <w:color w:val="auto"/>
        </w:rPr>
      </w:pPr>
      <w:r>
        <w:rPr>
          <w:rFonts w:ascii="Courier New" w:cs="Courier New" w:eastAsia="Courier New" w:hAnsi="Courier New"/>
          <w:sz w:val="18"/>
          <w:szCs w:val="18"/>
          <w:color w:val="auto"/>
        </w:rPr>
        <w:t>SEP-27-1998</w:t>
      </w:r>
    </w:p>
    <w:p>
      <w:pPr>
        <w:ind w:left="2940"/>
        <w:spacing w:after="0"/>
        <w:rPr>
          <w:sz w:val="20"/>
          <w:szCs w:val="20"/>
          <w:color w:val="auto"/>
        </w:rPr>
      </w:pPr>
      <w:r>
        <w:rPr>
          <w:rFonts w:ascii="Courier New" w:cs="Courier New" w:eastAsia="Courier New" w:hAnsi="Courier New"/>
          <w:sz w:val="18"/>
          <w:szCs w:val="18"/>
          <w:color w:val="auto"/>
        </w:rPr>
        <w:t>SEP-29-1997</w:t>
      </w:r>
    </w:p>
    <w:p>
      <w:pPr>
        <w:ind w:left="3160"/>
        <w:spacing w:after="0" w:line="237" w:lineRule="auto"/>
        <w:rPr>
          <w:sz w:val="20"/>
          <w:szCs w:val="20"/>
          <w:color w:val="auto"/>
        </w:rPr>
      </w:pPr>
      <w:r>
        <w:rPr>
          <w:rFonts w:ascii="Courier New" w:cs="Courier New" w:eastAsia="Courier New" w:hAnsi="Courier New"/>
          <w:sz w:val="18"/>
          <w:szCs w:val="18"/>
          <w:color w:val="auto"/>
        </w:rPr>
        <w:t>JUN-30-1998</w:t>
      </w:r>
    </w:p>
    <w:p>
      <w:pPr>
        <w:ind w:left="4000"/>
        <w:spacing w:after="0" w:line="238" w:lineRule="auto"/>
        <w:rPr>
          <w:sz w:val="20"/>
          <w:szCs w:val="20"/>
          <w:color w:val="auto"/>
        </w:rPr>
      </w:pPr>
      <w:r>
        <w:rPr>
          <w:rFonts w:ascii="Courier New" w:cs="Courier New" w:eastAsia="Courier New" w:hAnsi="Courier New"/>
          <w:sz w:val="18"/>
          <w:szCs w:val="18"/>
          <w:color w:val="auto"/>
        </w:rPr>
        <w:t>3,287,819</w:t>
      </w:r>
    </w:p>
    <w:p>
      <w:pPr>
        <w:ind w:left="3260"/>
        <w:spacing w:after="0"/>
        <w:rPr>
          <w:sz w:val="20"/>
          <w:szCs w:val="20"/>
          <w:color w:val="auto"/>
        </w:rPr>
      </w:pPr>
      <w:r>
        <w:rPr>
          <w:rFonts w:ascii="Courier New" w:cs="Courier New" w:eastAsia="Courier New" w:hAnsi="Courier New"/>
          <w:sz w:val="18"/>
          <w:szCs w:val="18"/>
          <w:color w:val="auto"/>
        </w:rPr>
        <w:t>14,391,033</w:t>
      </w:r>
    </w:p>
    <w:p>
      <w:pPr>
        <w:ind w:left="3160"/>
        <w:spacing w:after="0" w:line="237" w:lineRule="auto"/>
        <w:rPr>
          <w:sz w:val="20"/>
          <w:szCs w:val="20"/>
          <w:color w:val="auto"/>
        </w:rPr>
      </w:pPr>
      <w:r>
        <w:rPr>
          <w:rFonts w:ascii="Courier New" w:cs="Courier New" w:eastAsia="Courier New" w:hAnsi="Courier New"/>
          <w:sz w:val="18"/>
          <w:szCs w:val="18"/>
          <w:color w:val="auto"/>
        </w:rPr>
        <w:t>12,191,144</w:t>
      </w:r>
    </w:p>
    <w:p>
      <w:pPr>
        <w:ind w:left="3580"/>
        <w:spacing w:after="0"/>
        <w:rPr>
          <w:sz w:val="20"/>
          <w:szCs w:val="20"/>
          <w:color w:val="auto"/>
        </w:rPr>
      </w:pPr>
      <w:r>
        <w:rPr>
          <w:rFonts w:ascii="Courier New" w:cs="Courier New" w:eastAsia="Courier New" w:hAnsi="Courier New"/>
          <w:sz w:val="18"/>
          <w:szCs w:val="18"/>
          <w:color w:val="auto"/>
        </w:rPr>
        <w:t>370,828</w:t>
      </w:r>
    </w:p>
    <w:p>
      <w:pPr>
        <w:ind w:left="3460"/>
        <w:spacing w:after="0" w:line="237" w:lineRule="auto"/>
        <w:rPr>
          <w:sz w:val="20"/>
          <w:szCs w:val="20"/>
          <w:color w:val="auto"/>
        </w:rPr>
      </w:pPr>
      <w:r>
        <w:rPr>
          <w:rFonts w:ascii="Courier New" w:cs="Courier New" w:eastAsia="Courier New" w:hAnsi="Courier New"/>
          <w:sz w:val="18"/>
          <w:szCs w:val="18"/>
          <w:color w:val="auto"/>
        </w:rPr>
        <w:t>9,027,740</w:t>
      </w:r>
    </w:p>
    <w:p>
      <w:pPr>
        <w:ind w:left="2840"/>
        <w:spacing w:after="0"/>
        <w:rPr>
          <w:sz w:val="20"/>
          <w:szCs w:val="20"/>
          <w:color w:val="auto"/>
        </w:rPr>
      </w:pPr>
      <w:r>
        <w:rPr>
          <w:rFonts w:ascii="Courier New" w:cs="Courier New" w:eastAsia="Courier New" w:hAnsi="Courier New"/>
          <w:sz w:val="18"/>
          <w:szCs w:val="18"/>
          <w:color w:val="auto"/>
        </w:rPr>
        <w:t>40,717,955</w:t>
      </w:r>
    </w:p>
    <w:p>
      <w:pPr>
        <w:ind w:left="3900"/>
        <w:spacing w:after="0" w:line="237" w:lineRule="auto"/>
        <w:rPr>
          <w:sz w:val="20"/>
          <w:szCs w:val="20"/>
          <w:color w:val="auto"/>
        </w:rPr>
      </w:pPr>
      <w:r>
        <w:rPr>
          <w:rFonts w:ascii="Courier New" w:cs="Courier New" w:eastAsia="Courier New" w:hAnsi="Courier New"/>
          <w:sz w:val="18"/>
          <w:szCs w:val="18"/>
          <w:color w:val="auto"/>
        </w:rPr>
        <w:t>32,055,319</w:t>
      </w:r>
    </w:p>
    <w:p>
      <w:pPr>
        <w:ind w:left="3040"/>
        <w:spacing w:after="0" w:line="238" w:lineRule="auto"/>
        <w:rPr>
          <w:sz w:val="20"/>
          <w:szCs w:val="20"/>
          <w:color w:val="auto"/>
        </w:rPr>
      </w:pPr>
      <w:r>
        <w:rPr>
          <w:rFonts w:ascii="Courier New" w:cs="Courier New" w:eastAsia="Courier New" w:hAnsi="Courier New"/>
          <w:sz w:val="18"/>
          <w:szCs w:val="18"/>
          <w:color w:val="auto"/>
        </w:rPr>
        <w:t>13,802,395</w:t>
      </w:r>
    </w:p>
    <w:p>
      <w:pPr>
        <w:ind w:left="3040"/>
        <w:spacing w:after="0"/>
        <w:rPr>
          <w:sz w:val="20"/>
          <w:szCs w:val="20"/>
          <w:color w:val="auto"/>
        </w:rPr>
      </w:pPr>
      <w:r>
        <w:rPr>
          <w:rFonts w:ascii="Courier New" w:cs="Courier New" w:eastAsia="Courier New" w:hAnsi="Courier New"/>
          <w:sz w:val="18"/>
          <w:szCs w:val="18"/>
          <w:color w:val="auto"/>
        </w:rPr>
        <w:t>65,013,938</w:t>
      </w:r>
    </w:p>
    <w:p>
      <w:pPr>
        <w:ind w:left="2420"/>
        <w:spacing w:after="0" w:line="237" w:lineRule="auto"/>
        <w:rPr>
          <w:sz w:val="20"/>
          <w:szCs w:val="20"/>
          <w:color w:val="auto"/>
        </w:rPr>
      </w:pPr>
      <w:r>
        <w:rPr>
          <w:rFonts w:ascii="Courier New" w:cs="Courier New" w:eastAsia="Courier New" w:hAnsi="Courier New"/>
          <w:sz w:val="18"/>
          <w:szCs w:val="18"/>
          <w:color w:val="auto"/>
        </w:rPr>
        <w:t>9,970,353</w:t>
      </w:r>
    </w:p>
    <w:p>
      <w:pPr>
        <w:ind w:left="4100"/>
        <w:spacing w:after="0"/>
        <w:rPr>
          <w:sz w:val="20"/>
          <w:szCs w:val="20"/>
          <w:color w:val="auto"/>
        </w:rPr>
      </w:pPr>
      <w:r>
        <w:rPr>
          <w:rFonts w:ascii="Courier New" w:cs="Courier New" w:eastAsia="Courier New" w:hAnsi="Courier New"/>
          <w:sz w:val="18"/>
          <w:szCs w:val="18"/>
          <w:color w:val="auto"/>
        </w:rPr>
        <w:t>423,402</w:t>
      </w:r>
    </w:p>
    <w:p>
      <w:pPr>
        <w:ind w:left="3260"/>
        <w:spacing w:after="0" w:line="237" w:lineRule="auto"/>
        <w:rPr>
          <w:sz w:val="20"/>
          <w:szCs w:val="20"/>
          <w:color w:val="auto"/>
        </w:rPr>
      </w:pPr>
      <w:r>
        <w:rPr>
          <w:rFonts w:ascii="Courier New" w:cs="Courier New" w:eastAsia="Courier New" w:hAnsi="Courier New"/>
          <w:sz w:val="18"/>
          <w:szCs w:val="18"/>
          <w:color w:val="auto"/>
        </w:rPr>
        <w:t>0</w:t>
      </w:r>
    </w:p>
    <w:p>
      <w:pPr>
        <w:ind w:left="4320"/>
        <w:spacing w:after="0"/>
        <w:rPr>
          <w:sz w:val="20"/>
          <w:szCs w:val="20"/>
          <w:color w:val="auto"/>
        </w:rPr>
      </w:pPr>
      <w:r>
        <w:rPr>
          <w:rFonts w:ascii="Courier New" w:cs="Courier New" w:eastAsia="Courier New" w:hAnsi="Courier New"/>
          <w:sz w:val="18"/>
          <w:szCs w:val="18"/>
          <w:color w:val="auto"/>
        </w:rPr>
        <w:t>0</w:t>
      </w:r>
    </w:p>
    <w:p>
      <w:pPr>
        <w:ind w:left="4000"/>
        <w:spacing w:after="0" w:line="237" w:lineRule="auto"/>
        <w:rPr>
          <w:sz w:val="20"/>
          <w:szCs w:val="20"/>
          <w:color w:val="auto"/>
        </w:rPr>
      </w:pPr>
      <w:r>
        <w:rPr>
          <w:rFonts w:ascii="Courier New" w:cs="Courier New" w:eastAsia="Courier New" w:hAnsi="Courier New"/>
          <w:sz w:val="18"/>
          <w:szCs w:val="18"/>
          <w:color w:val="auto"/>
        </w:rPr>
        <w:t>580,195</w:t>
      </w:r>
    </w:p>
    <w:p>
      <w:pPr>
        <w:ind w:left="3460"/>
        <w:spacing w:after="0" w:line="238" w:lineRule="auto"/>
        <w:rPr>
          <w:sz w:val="20"/>
          <w:szCs w:val="20"/>
          <w:color w:val="auto"/>
        </w:rPr>
      </w:pPr>
      <w:r>
        <w:rPr>
          <w:rFonts w:ascii="Courier New" w:cs="Courier New" w:eastAsia="Courier New" w:hAnsi="Courier New"/>
          <w:sz w:val="18"/>
          <w:szCs w:val="18"/>
          <w:color w:val="auto"/>
        </w:rPr>
        <w:t>53,044,988</w:t>
      </w:r>
    </w:p>
    <w:p>
      <w:pPr>
        <w:ind w:left="1580"/>
        <w:spacing w:after="0"/>
        <w:rPr>
          <w:sz w:val="20"/>
          <w:szCs w:val="20"/>
          <w:color w:val="auto"/>
        </w:rPr>
      </w:pPr>
      <w:r>
        <w:rPr>
          <w:rFonts w:ascii="Courier New" w:cs="Courier New" w:eastAsia="Courier New" w:hAnsi="Courier New"/>
          <w:sz w:val="18"/>
          <w:szCs w:val="18"/>
          <w:color w:val="auto"/>
        </w:rPr>
        <w:t>65,013,938</w:t>
      </w:r>
    </w:p>
    <w:p>
      <w:pPr>
        <w:ind w:left="3780"/>
        <w:spacing w:after="0" w:line="237" w:lineRule="auto"/>
        <w:rPr>
          <w:sz w:val="20"/>
          <w:szCs w:val="20"/>
          <w:color w:val="auto"/>
        </w:rPr>
      </w:pPr>
      <w:r>
        <w:rPr>
          <w:rFonts w:ascii="Courier New" w:cs="Courier New" w:eastAsia="Courier New" w:hAnsi="Courier New"/>
          <w:sz w:val="18"/>
          <w:szCs w:val="18"/>
          <w:color w:val="auto"/>
        </w:rPr>
        <w:t>70,703,030</w:t>
      </w:r>
    </w:p>
    <w:p>
      <w:pPr>
        <w:ind w:left="2840"/>
        <w:spacing w:after="0"/>
        <w:rPr>
          <w:sz w:val="20"/>
          <w:szCs w:val="20"/>
          <w:color w:val="auto"/>
        </w:rPr>
      </w:pPr>
      <w:r>
        <w:rPr>
          <w:rFonts w:ascii="Courier New" w:cs="Courier New" w:eastAsia="Courier New" w:hAnsi="Courier New"/>
          <w:sz w:val="18"/>
          <w:szCs w:val="18"/>
          <w:color w:val="auto"/>
        </w:rPr>
        <w:t>70,703,030</w:t>
      </w:r>
    </w:p>
    <w:p>
      <w:pPr>
        <w:jc w:val="right"/>
        <w:ind w:right="5059"/>
        <w:spacing w:after="0" w:line="237" w:lineRule="auto"/>
        <w:rPr>
          <w:sz w:val="20"/>
          <w:szCs w:val="20"/>
          <w:color w:val="auto"/>
        </w:rPr>
      </w:pPr>
      <w:r>
        <w:rPr>
          <w:rFonts w:ascii="Courier New" w:cs="Courier New" w:eastAsia="Courier New" w:hAnsi="Courier New"/>
          <w:sz w:val="18"/>
          <w:szCs w:val="18"/>
          <w:color w:val="auto"/>
        </w:rPr>
        <w:t>54,514,634</w:t>
      </w:r>
    </w:p>
    <w:p>
      <w:pPr>
        <w:ind w:left="3160"/>
        <w:spacing w:after="0"/>
        <w:rPr>
          <w:sz w:val="20"/>
          <w:szCs w:val="20"/>
          <w:color w:val="auto"/>
        </w:rPr>
      </w:pPr>
      <w:r>
        <w:rPr>
          <w:rFonts w:ascii="Courier New" w:cs="Courier New" w:eastAsia="Courier New" w:hAnsi="Courier New"/>
          <w:sz w:val="18"/>
          <w:szCs w:val="18"/>
          <w:color w:val="auto"/>
        </w:rPr>
        <w:t>54,514,634</w:t>
      </w:r>
    </w:p>
    <w:p>
      <w:pPr>
        <w:ind w:left="3780"/>
        <w:spacing w:after="0" w:line="237" w:lineRule="auto"/>
        <w:rPr>
          <w:sz w:val="20"/>
          <w:szCs w:val="20"/>
          <w:color w:val="auto"/>
        </w:rPr>
      </w:pPr>
      <w:r>
        <w:rPr>
          <w:rFonts w:ascii="Courier New" w:cs="Courier New" w:eastAsia="Courier New" w:hAnsi="Courier New"/>
          <w:sz w:val="18"/>
          <w:szCs w:val="18"/>
          <w:color w:val="auto"/>
        </w:rPr>
        <w:t>0</w:t>
      </w:r>
    </w:p>
    <w:p>
      <w:pPr>
        <w:ind w:left="3780"/>
        <w:spacing w:after="0"/>
        <w:rPr>
          <w:sz w:val="20"/>
          <w:szCs w:val="20"/>
          <w:color w:val="auto"/>
        </w:rPr>
      </w:pPr>
      <w:r>
        <w:rPr>
          <w:rFonts w:ascii="Courier New" w:cs="Courier New" w:eastAsia="Courier New" w:hAnsi="Courier New"/>
          <w:sz w:val="18"/>
          <w:szCs w:val="18"/>
          <w:color w:val="auto"/>
        </w:rPr>
        <w:t>0</w:t>
      </w:r>
    </w:p>
    <w:p>
      <w:pPr>
        <w:ind w:left="3040"/>
        <w:spacing w:after="0" w:line="237" w:lineRule="auto"/>
        <w:rPr>
          <w:sz w:val="20"/>
          <w:szCs w:val="20"/>
          <w:color w:val="auto"/>
        </w:rPr>
      </w:pPr>
      <w:r>
        <w:rPr>
          <w:rFonts w:ascii="Courier New" w:cs="Courier New" w:eastAsia="Courier New" w:hAnsi="Courier New"/>
          <w:sz w:val="18"/>
          <w:szCs w:val="18"/>
          <w:color w:val="auto"/>
        </w:rPr>
        <w:t>32,722</w:t>
      </w:r>
    </w:p>
    <w:p>
      <w:pPr>
        <w:ind w:left="3040"/>
        <w:spacing w:after="0" w:line="238" w:lineRule="auto"/>
        <w:rPr>
          <w:sz w:val="20"/>
          <w:szCs w:val="20"/>
          <w:color w:val="auto"/>
        </w:rPr>
      </w:pPr>
      <w:r>
        <w:rPr>
          <w:rFonts w:ascii="Courier New" w:cs="Courier New" w:eastAsia="Courier New" w:hAnsi="Courier New"/>
          <w:sz w:val="18"/>
          <w:szCs w:val="18"/>
          <w:color w:val="auto"/>
        </w:rPr>
        <w:t>9,643,299</w:t>
      </w:r>
    </w:p>
    <w:p>
      <w:pPr>
        <w:ind w:left="3360"/>
        <w:spacing w:after="0"/>
        <w:rPr>
          <w:sz w:val="20"/>
          <w:szCs w:val="20"/>
          <w:color w:val="auto"/>
        </w:rPr>
      </w:pPr>
      <w:r>
        <w:rPr>
          <w:rFonts w:ascii="Courier New" w:cs="Courier New" w:eastAsia="Courier New" w:hAnsi="Courier New"/>
          <w:sz w:val="18"/>
          <w:szCs w:val="18"/>
          <w:color w:val="auto"/>
        </w:rPr>
        <w:t>3,799,500</w:t>
      </w:r>
    </w:p>
    <w:p>
      <w:pPr>
        <w:ind w:left="2620"/>
        <w:spacing w:after="0" w:line="237" w:lineRule="auto"/>
        <w:rPr>
          <w:sz w:val="20"/>
          <w:szCs w:val="20"/>
          <w:color w:val="auto"/>
        </w:rPr>
      </w:pPr>
      <w:r>
        <w:rPr>
          <w:rFonts w:ascii="Courier New" w:cs="Courier New" w:eastAsia="Courier New" w:hAnsi="Courier New"/>
          <w:sz w:val="18"/>
          <w:szCs w:val="18"/>
          <w:color w:val="auto"/>
        </w:rPr>
        <w:t>5,843,799</w:t>
      </w:r>
    </w:p>
    <w:p>
      <w:pPr>
        <w:ind w:left="4000"/>
        <w:spacing w:after="0"/>
        <w:rPr>
          <w:sz w:val="20"/>
          <w:szCs w:val="20"/>
          <w:color w:val="auto"/>
        </w:rPr>
      </w:pPr>
      <w:r>
        <w:rPr>
          <w:rFonts w:ascii="Courier New" w:cs="Courier New" w:eastAsia="Courier New" w:hAnsi="Courier New"/>
          <w:sz w:val="18"/>
          <w:szCs w:val="18"/>
          <w:color w:val="auto"/>
        </w:rPr>
        <w:t>0</w:t>
      </w:r>
    </w:p>
    <w:p>
      <w:pPr>
        <w:ind w:left="3900"/>
        <w:spacing w:after="0" w:line="237" w:lineRule="auto"/>
        <w:rPr>
          <w:sz w:val="20"/>
          <w:szCs w:val="20"/>
          <w:color w:val="auto"/>
        </w:rPr>
      </w:pPr>
      <w:r>
        <w:rPr>
          <w:rFonts w:ascii="Courier New" w:cs="Courier New" w:eastAsia="Courier New" w:hAnsi="Courier New"/>
          <w:sz w:val="18"/>
          <w:szCs w:val="18"/>
          <w:color w:val="auto"/>
        </w:rPr>
        <w:t>0</w:t>
      </w:r>
    </w:p>
    <w:p>
      <w:pPr>
        <w:ind w:left="4520"/>
        <w:spacing w:after="0"/>
        <w:rPr>
          <w:sz w:val="20"/>
          <w:szCs w:val="20"/>
          <w:color w:val="auto"/>
        </w:rPr>
      </w:pPr>
      <w:r>
        <w:rPr>
          <w:rFonts w:ascii="Courier New" w:cs="Courier New" w:eastAsia="Courier New" w:hAnsi="Courier New"/>
          <w:sz w:val="18"/>
          <w:szCs w:val="18"/>
          <w:color w:val="auto"/>
        </w:rPr>
        <w:t>0</w:t>
      </w:r>
    </w:p>
    <w:p>
      <w:pPr>
        <w:ind w:left="3360"/>
        <w:spacing w:after="0" w:line="237" w:lineRule="auto"/>
        <w:rPr>
          <w:sz w:val="20"/>
          <w:szCs w:val="20"/>
          <w:color w:val="auto"/>
        </w:rPr>
      </w:pPr>
      <w:r>
        <w:rPr>
          <w:rFonts w:ascii="Courier New" w:cs="Courier New" w:eastAsia="Courier New" w:hAnsi="Courier New"/>
          <w:sz w:val="18"/>
          <w:szCs w:val="18"/>
          <w:color w:val="auto"/>
        </w:rPr>
        <w:t>5,843,799</w:t>
      </w:r>
    </w:p>
    <w:p>
      <w:pPr>
        <w:ind w:left="3900"/>
        <w:spacing w:after="0" w:line="238" w:lineRule="auto"/>
        <w:rPr>
          <w:sz w:val="20"/>
          <w:szCs w:val="20"/>
          <w:color w:val="auto"/>
        </w:rPr>
      </w:pPr>
      <w:r>
        <w:rPr>
          <w:rFonts w:ascii="Courier New" w:cs="Courier New" w:eastAsia="Courier New" w:hAnsi="Courier New"/>
          <w:sz w:val="18"/>
          <w:szCs w:val="18"/>
          <w:color w:val="auto"/>
        </w:rPr>
        <w:t>.50</w:t>
      </w:r>
    </w:p>
    <w:p>
      <w:pPr>
        <w:ind w:left="3900"/>
        <w:spacing w:after="0"/>
        <w:rPr>
          <w:sz w:val="20"/>
          <w:szCs w:val="20"/>
          <w:color w:val="auto"/>
        </w:rPr>
      </w:pPr>
      <w:r>
        <w:rPr>
          <w:rFonts w:ascii="Courier New" w:cs="Courier New" w:eastAsia="Courier New" w:hAnsi="Courier New"/>
          <w:sz w:val="18"/>
          <w:szCs w:val="18"/>
          <w:color w:val="auto"/>
        </w:rPr>
        <w:t>.50</w:t>
      </w:r>
    </w:p>
    <w:sectPr>
      <w:pgSz w:w="11900" w:h="16838" w:orient="portrait"/>
      <w:cols w:equalWidth="0" w:num="1">
        <w:col w:w="10099"/>
      </w:cols>
      <w:pgMar w:left="36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upperLetter"/>
      <w:start w:val="24"/>
    </w:lvl>
  </w:abstractNum>
  <w:abstractNum w:abstractNumId="1">
    <w:nsid w:val="2AE8944A"/>
    <w:multiLevelType w:val="hybridMultilevel"/>
    <w:lvl w:ilvl="0">
      <w:lvlJc w:val="left"/>
      <w:lvlText w:val="["/>
      <w:numFmt w:val="bullet"/>
      <w:start w:val="1"/>
    </w:lvl>
  </w:abstractNum>
  <w:abstractNum w:abstractNumId="2">
    <w:nsid w:val="625558EC"/>
    <w:multiLevelType w:val="hybridMultilevel"/>
    <w:lvl w:ilvl="0">
      <w:lvlJc w:val="left"/>
      <w:lvlText w:val="%1."/>
      <w:numFmt w:val="decimal"/>
      <w:start w:val="1"/>
    </w:lvl>
  </w:abstractNum>
  <w:abstractNum w:abstractNumId="3">
    <w:nsid w:val="238E1F29"/>
    <w:multiLevelType w:val="hybridMultilevel"/>
    <w:lvl w:ilvl="0">
      <w:lvlJc w:val="left"/>
      <w:lvlText w:val="(%1)"/>
      <w:numFmt w:val="lowerLetter"/>
      <w:start w:val="1"/>
    </w:lvl>
  </w:abstractNum>
  <w:abstractNum w:abstractNumId="4">
    <w:nsid w:val="46E87CCD"/>
    <w:multiLevelType w:val="hybridMultilevel"/>
    <w:lvl w:ilvl="0">
      <w:lvlJc w:val="left"/>
      <w:lvlText w:val="(%1)"/>
      <w:numFmt w:val="lowerLetter"/>
      <w:start w:val="2"/>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2019-12-13T01:49:53Z</dcterms:created>
  <dcterms:modified xsi:type="dcterms:W3CDTF">2019-12-13T01:49:53Z</dcterms:modified>
</cp:coreProperties>
</file>