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0"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163830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191770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quarterly period ended June 30, 2009</w:t>
      </w:r>
    </w:p>
    <w:p>
      <w:pPr>
        <w:spacing w:after="0" w:line="139" w:lineRule="exact"/>
        <w:rPr>
          <w:sz w:val="24"/>
          <w:szCs w:val="24"/>
          <w:color w:val="auto"/>
        </w:rPr>
      </w:pPr>
    </w:p>
    <w:tbl>
      <w:tblPr>
        <w:tblLayout w:type="fixed"/>
        <w:tblInd w:w="1520" w:type="dxa"/>
        <w:tblCellMar>
          <w:top w:w="0" w:type="dxa"/>
          <w:left w:w="0" w:type="dxa"/>
          <w:bottom w:w="0" w:type="dxa"/>
          <w:right w:w="0" w:type="dxa"/>
        </w:tblCellMar>
      </w:tblPr>
      <w:tr>
        <w:trPr>
          <w:trHeight w:val="281"/>
        </w:trPr>
        <w:tc>
          <w:tcPr>
            <w:tcW w:w="2240" w:type="dxa"/>
            <w:vAlign w:val="bottom"/>
          </w:tcPr>
          <w:p>
            <w:pPr>
              <w:spacing w:after="0"/>
              <w:rPr>
                <w:sz w:val="24"/>
                <w:szCs w:val="24"/>
                <w:color w:val="auto"/>
              </w:rPr>
            </w:pPr>
          </w:p>
        </w:tc>
        <w:tc>
          <w:tcPr>
            <w:tcW w:w="5800" w:type="dxa"/>
            <w:vAlign w:val="bottom"/>
            <w:gridSpan w:val="3"/>
          </w:tcPr>
          <w:p>
            <w:pPr>
              <w:jc w:val="center"/>
              <w:ind w:right="1812"/>
              <w:spacing w:after="0"/>
              <w:rPr>
                <w:sz w:val="20"/>
                <w:szCs w:val="20"/>
                <w:color w:val="auto"/>
              </w:rPr>
            </w:pPr>
            <w:r>
              <w:rPr>
                <w:rFonts w:ascii="Arial" w:cs="Arial" w:eastAsia="Arial" w:hAnsi="Arial"/>
                <w:sz w:val="22"/>
                <w:szCs w:val="22"/>
                <w:b w:val="1"/>
                <w:bCs w:val="1"/>
                <w:color w:val="auto"/>
                <w:w w:val="88"/>
              </w:rPr>
              <w:t>Commission file number 0-7647</w:t>
            </w:r>
          </w:p>
        </w:tc>
      </w:tr>
      <w:tr>
        <w:trPr>
          <w:trHeight w:val="257"/>
        </w:trPr>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2700" w:type="dxa"/>
            <w:vAlign w:val="bottom"/>
          </w:tcPr>
          <w:p>
            <w:pPr>
              <w:spacing w:after="0"/>
              <w:rPr>
                <w:sz w:val="22"/>
                <w:szCs w:val="22"/>
                <w:color w:val="auto"/>
              </w:rPr>
            </w:pPr>
          </w:p>
        </w:tc>
      </w:tr>
      <w:tr>
        <w:trPr>
          <w:trHeight w:val="610"/>
        </w:trPr>
        <w:tc>
          <w:tcPr>
            <w:tcW w:w="2240" w:type="dxa"/>
            <w:vAlign w:val="bottom"/>
          </w:tcPr>
          <w:p>
            <w:pPr>
              <w:spacing w:after="0"/>
              <w:rPr>
                <w:sz w:val="24"/>
                <w:szCs w:val="24"/>
                <w:color w:val="auto"/>
              </w:rPr>
            </w:pPr>
          </w:p>
        </w:tc>
        <w:tc>
          <w:tcPr>
            <w:tcW w:w="5800" w:type="dxa"/>
            <w:vAlign w:val="bottom"/>
            <w:gridSpan w:val="3"/>
          </w:tcPr>
          <w:p>
            <w:pPr>
              <w:jc w:val="center"/>
              <w:ind w:right="1792"/>
              <w:spacing w:after="0"/>
              <w:rPr>
                <w:sz w:val="20"/>
                <w:szCs w:val="20"/>
                <w:color w:val="auto"/>
              </w:rPr>
            </w:pPr>
            <w:r>
              <w:rPr>
                <w:rFonts w:ascii="Arial" w:cs="Arial" w:eastAsia="Arial" w:hAnsi="Arial"/>
                <w:sz w:val="43"/>
                <w:szCs w:val="43"/>
                <w:b w:val="1"/>
                <w:bCs w:val="1"/>
                <w:color w:val="auto"/>
              </w:rPr>
              <w:t>HAWKINS, INC.</w:t>
            </w:r>
          </w:p>
        </w:tc>
      </w:tr>
      <w:tr>
        <w:trPr>
          <w:trHeight w:val="222"/>
        </w:trPr>
        <w:tc>
          <w:tcPr>
            <w:tcW w:w="2240" w:type="dxa"/>
            <w:vAlign w:val="bottom"/>
          </w:tcPr>
          <w:p>
            <w:pPr>
              <w:spacing w:after="0"/>
              <w:rPr>
                <w:sz w:val="19"/>
                <w:szCs w:val="19"/>
                <w:color w:val="auto"/>
              </w:rPr>
            </w:pPr>
          </w:p>
        </w:tc>
        <w:tc>
          <w:tcPr>
            <w:tcW w:w="5800" w:type="dxa"/>
            <w:vAlign w:val="bottom"/>
            <w:gridSpan w:val="3"/>
          </w:tcPr>
          <w:p>
            <w:pPr>
              <w:jc w:val="center"/>
              <w:ind w:right="181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93"/>
        </w:trPr>
        <w:tc>
          <w:tcPr>
            <w:tcW w:w="2240" w:type="dxa"/>
            <w:vAlign w:val="bottom"/>
          </w:tcPr>
          <w:p>
            <w:pPr>
              <w:jc w:val="center"/>
              <w:ind w:right="25"/>
              <w:spacing w:after="0"/>
              <w:rPr>
                <w:sz w:val="20"/>
                <w:szCs w:val="20"/>
                <w:color w:val="auto"/>
              </w:rPr>
            </w:pPr>
            <w:r>
              <w:rPr>
                <w:rFonts w:ascii="Arial" w:cs="Arial" w:eastAsia="Arial" w:hAnsi="Arial"/>
                <w:sz w:val="22"/>
                <w:szCs w:val="22"/>
                <w:b w:val="1"/>
                <w:bCs w:val="1"/>
                <w:color w:val="auto"/>
                <w:w w:val="99"/>
              </w:rPr>
              <w:t>MINNESOTA</w:t>
            </w:r>
          </w:p>
        </w:tc>
        <w:tc>
          <w:tcPr>
            <w:tcW w:w="5800" w:type="dxa"/>
            <w:vAlign w:val="bottom"/>
            <w:gridSpan w:val="3"/>
          </w:tcPr>
          <w:p>
            <w:pPr>
              <w:jc w:val="right"/>
              <w:ind w:right="67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2240" w:type="dxa"/>
            <w:vAlign w:val="bottom"/>
          </w:tcPr>
          <w:p>
            <w:pPr>
              <w:jc w:val="center"/>
              <w:ind w:right="25"/>
              <w:spacing w:after="0"/>
              <w:rPr>
                <w:sz w:val="20"/>
                <w:szCs w:val="20"/>
                <w:color w:val="auto"/>
              </w:rPr>
            </w:pPr>
            <w:r>
              <w:rPr>
                <w:rFonts w:ascii="Arial" w:cs="Arial" w:eastAsia="Arial" w:hAnsi="Arial"/>
                <w:sz w:val="18"/>
                <w:szCs w:val="18"/>
                <w:color w:val="auto"/>
                <w:w w:val="90"/>
              </w:rPr>
              <w:t>(State or other jurisdiction of</w:t>
            </w:r>
          </w:p>
        </w:tc>
        <w:tc>
          <w:tcPr>
            <w:tcW w:w="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00" w:type="dxa"/>
            <w:vAlign w:val="bottom"/>
          </w:tcPr>
          <w:p>
            <w:pPr>
              <w:jc w:val="center"/>
              <w:ind w:left="7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2240" w:type="dxa"/>
            <w:vAlign w:val="bottom"/>
          </w:tcPr>
          <w:p>
            <w:pPr>
              <w:jc w:val="center"/>
              <w:ind w:right="25"/>
              <w:spacing w:after="0"/>
              <w:rPr>
                <w:sz w:val="20"/>
                <w:szCs w:val="20"/>
                <w:color w:val="auto"/>
              </w:rPr>
            </w:pPr>
            <w:r>
              <w:rPr>
                <w:rFonts w:ascii="Arial" w:cs="Arial" w:eastAsia="Arial" w:hAnsi="Arial"/>
                <w:sz w:val="18"/>
                <w:szCs w:val="18"/>
                <w:color w:val="auto"/>
                <w:w w:val="90"/>
              </w:rPr>
              <w:t>incorporation or organization)</w:t>
            </w:r>
          </w:p>
        </w:tc>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-1134110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-1134110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4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(612) 331-6910</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227965</wp:posOffset>
            </wp:positionV>
            <wp:extent cx="14706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right="30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jc w:val="center"/>
        <w:ind w:right="20"/>
        <w:spacing w:after="0"/>
        <w:tabs>
          <w:tab w:leader="none" w:pos="260" w:val="left"/>
        </w:tabs>
        <w:rPr>
          <w:sz w:val="20"/>
          <w:szCs w:val="20"/>
          <w:color w:val="auto"/>
        </w:rPr>
      </w:pPr>
      <w:r>
        <w:rPr>
          <w:rFonts w:ascii="Arial" w:cs="Arial" w:eastAsia="Arial" w:hAnsi="Arial"/>
          <w:sz w:val="22"/>
          <w:szCs w:val="22"/>
          <w:color w:val="auto"/>
        </w:rPr>
        <w:t>YES x</w:t>
      </w:r>
      <w:r>
        <w:rPr>
          <w:sz w:val="20"/>
          <w:szCs w:val="20"/>
          <w:color w:val="auto"/>
        </w:rPr>
        <w:tab/>
      </w:r>
      <w:r>
        <w:rPr>
          <w:rFonts w:ascii="Arial" w:cs="Arial" w:eastAsia="Arial" w:hAnsi="Arial"/>
          <w:sz w:val="19"/>
          <w:szCs w:val="19"/>
          <w:color w:val="auto"/>
        </w:rPr>
        <w:t>NO o</w:t>
      </w:r>
    </w:p>
    <w:p>
      <w:pPr>
        <w:spacing w:after="0" w:line="206"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6" w:lineRule="exact"/>
        <w:rPr>
          <w:sz w:val="24"/>
          <w:szCs w:val="24"/>
          <w:color w:val="auto"/>
        </w:rPr>
      </w:pPr>
    </w:p>
    <w:p>
      <w:pPr>
        <w:jc w:val="center"/>
        <w:ind w:right="20"/>
        <w:spacing w:after="0"/>
        <w:tabs>
          <w:tab w:leader="none" w:pos="260" w:val="left"/>
        </w:tabs>
        <w:rPr>
          <w:sz w:val="20"/>
          <w:szCs w:val="20"/>
          <w:color w:val="auto"/>
        </w:rPr>
      </w:pPr>
      <w:r>
        <w:rPr>
          <w:rFonts w:ascii="Arial" w:cs="Arial" w:eastAsia="Arial" w:hAnsi="Arial"/>
          <w:sz w:val="22"/>
          <w:szCs w:val="22"/>
          <w:color w:val="auto"/>
        </w:rPr>
        <w:t>YES o</w:t>
      </w:r>
      <w:r>
        <w:rPr>
          <w:sz w:val="20"/>
          <w:szCs w:val="20"/>
          <w:color w:val="auto"/>
        </w:rPr>
        <w:tab/>
      </w:r>
      <w:r>
        <w:rPr>
          <w:rFonts w:ascii="Arial" w:cs="Arial" w:eastAsia="Arial" w:hAnsi="Arial"/>
          <w:sz w:val="19"/>
          <w:szCs w:val="19"/>
          <w:color w:val="auto"/>
        </w:rPr>
        <w:t>NO o</w:t>
      </w:r>
    </w:p>
    <w:p>
      <w:pPr>
        <w:spacing w:after="0" w:line="206" w:lineRule="exact"/>
        <w:rPr>
          <w:sz w:val="24"/>
          <w:szCs w:val="24"/>
          <w:color w:val="auto"/>
        </w:rPr>
      </w:pPr>
    </w:p>
    <w:p>
      <w:pPr>
        <w:ind w:right="200"/>
        <w:spacing w:after="0" w:line="251"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(as defined in Rule 12b-2 of the Exchange Act).</w:t>
      </w:r>
    </w:p>
    <w:p>
      <w:pPr>
        <w:spacing w:after="0" w:line="187" w:lineRule="exact"/>
        <w:rPr>
          <w:sz w:val="24"/>
          <w:szCs w:val="24"/>
          <w:color w:val="auto"/>
        </w:rPr>
      </w:pPr>
    </w:p>
    <w:p>
      <w:pPr>
        <w:spacing w:after="0"/>
        <w:tabs>
          <w:tab w:leader="none" w:pos="3080" w:val="left"/>
          <w:tab w:leader="none" w:pos="5480" w:val="left"/>
          <w:tab w:leader="none" w:pos="8440" w:val="left"/>
        </w:tabs>
        <w:rPr>
          <w:sz w:val="20"/>
          <w:szCs w:val="20"/>
          <w:color w:val="auto"/>
        </w:rPr>
      </w:pPr>
      <w:r>
        <w:rPr>
          <w:rFonts w:ascii="Arial" w:cs="Arial" w:eastAsia="Arial" w:hAnsi="Arial"/>
          <w:sz w:val="22"/>
          <w:szCs w:val="22"/>
          <w:color w:val="auto"/>
        </w:rPr>
        <w:t>Large Accelerated Filer o</w:t>
      </w:r>
      <w:r>
        <w:rPr>
          <w:sz w:val="20"/>
          <w:szCs w:val="20"/>
          <w:color w:val="auto"/>
        </w:rPr>
        <w:tab/>
      </w:r>
      <w:r>
        <w:rPr>
          <w:rFonts w:ascii="Arial" w:cs="Arial" w:eastAsia="Arial" w:hAnsi="Arial"/>
          <w:sz w:val="22"/>
          <w:szCs w:val="22"/>
          <w:color w:val="auto"/>
        </w:rPr>
        <w:t>Accelerated Filer x</w:t>
      </w:r>
      <w:r>
        <w:rPr>
          <w:sz w:val="20"/>
          <w:szCs w:val="20"/>
          <w:color w:val="auto"/>
        </w:rPr>
        <w:tab/>
      </w:r>
      <w:r>
        <w:rPr>
          <w:rFonts w:ascii="Arial" w:cs="Arial" w:eastAsia="Arial" w:hAnsi="Arial"/>
          <w:sz w:val="22"/>
          <w:szCs w:val="22"/>
          <w:color w:val="auto"/>
        </w:rPr>
        <w:t>Non-Accelerated Filer o</w:t>
      </w:r>
      <w:r>
        <w:rPr>
          <w:sz w:val="20"/>
          <w:szCs w:val="20"/>
          <w:color w:val="auto"/>
        </w:rPr>
        <w:tab/>
      </w:r>
      <w:r>
        <w:rPr>
          <w:rFonts w:ascii="Arial" w:cs="Arial" w:eastAsia="Arial" w:hAnsi="Arial"/>
          <w:sz w:val="19"/>
          <w:szCs w:val="19"/>
          <w:color w:val="auto"/>
        </w:rPr>
        <w:t>Smaller Reporting Company o</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206" w:lineRule="exact"/>
        <w:rPr>
          <w:sz w:val="24"/>
          <w:szCs w:val="24"/>
          <w:color w:val="auto"/>
        </w:rPr>
      </w:pPr>
    </w:p>
    <w:p>
      <w:pPr>
        <w:ind w:left="5060"/>
        <w:spacing w:after="0"/>
        <w:tabs>
          <w:tab w:leader="none" w:pos="5880" w:val="left"/>
        </w:tabs>
        <w:rPr>
          <w:sz w:val="20"/>
          <w:szCs w:val="20"/>
          <w:color w:val="auto"/>
        </w:rPr>
      </w:pPr>
      <w:r>
        <w:rPr>
          <w:rFonts w:ascii="Arial" w:cs="Arial" w:eastAsia="Arial" w:hAnsi="Arial"/>
          <w:sz w:val="22"/>
          <w:szCs w:val="22"/>
          <w:color w:val="auto"/>
        </w:rPr>
        <w:t>YES o</w:t>
      </w:r>
      <w:r>
        <w:rPr>
          <w:sz w:val="20"/>
          <w:szCs w:val="20"/>
          <w:color w:val="auto"/>
        </w:rPr>
        <w:tab/>
      </w:r>
      <w:r>
        <w:rPr>
          <w:rFonts w:ascii="Arial" w:cs="Arial" w:eastAsia="Arial" w:hAnsi="Arial"/>
          <w:sz w:val="21"/>
          <w:szCs w:val="21"/>
          <w:color w:val="auto"/>
        </w:rPr>
        <w:t>NO x</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57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color w:val="auto"/>
                <w:w w:val="91"/>
              </w:rPr>
              <w:t>CLASS</w:t>
            </w:r>
          </w:p>
        </w:tc>
        <w:tc>
          <w:tcPr>
            <w:tcW w:w="572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color w:val="auto"/>
                <w:w w:val="93"/>
              </w:rPr>
              <w:t>OUTSTANDING AT JULY 31, 2009</w:t>
            </w:r>
          </w:p>
        </w:tc>
        <w:tc>
          <w:tcPr>
            <w:tcW w:w="40" w:type="dxa"/>
            <w:vAlign w:val="bottom"/>
          </w:tcPr>
          <w:p>
            <w:pPr>
              <w:spacing w:after="0"/>
              <w:rPr>
                <w:sz w:val="23"/>
                <w:szCs w:val="23"/>
                <w:color w:val="auto"/>
              </w:rPr>
            </w:pPr>
          </w:p>
        </w:tc>
      </w:tr>
      <w:tr>
        <w:trPr>
          <w:trHeight w:val="268"/>
        </w:trPr>
        <w:tc>
          <w:tcPr>
            <w:tcW w:w="5700" w:type="dxa"/>
            <w:vAlign w:val="bottom"/>
          </w:tcPr>
          <w:p>
            <w:pPr>
              <w:jc w:val="center"/>
              <w:ind w:right="52"/>
              <w:spacing w:after="0"/>
              <w:rPr>
                <w:sz w:val="20"/>
                <w:szCs w:val="20"/>
                <w:color w:val="auto"/>
              </w:rPr>
            </w:pPr>
            <w:r>
              <w:rPr>
                <w:rFonts w:ascii="Arial" w:cs="Arial" w:eastAsia="Arial" w:hAnsi="Arial"/>
                <w:sz w:val="22"/>
                <w:szCs w:val="22"/>
                <w:color w:val="auto"/>
                <w:w w:val="88"/>
              </w:rPr>
              <w:t>Common Stock, par value $.05 per share</w:t>
            </w:r>
          </w:p>
        </w:tc>
        <w:tc>
          <w:tcPr>
            <w:tcW w:w="5720" w:type="dxa"/>
            <w:vAlign w:val="bottom"/>
          </w:tcPr>
          <w:p>
            <w:pPr>
              <w:jc w:val="right"/>
              <w:ind w:right="2352"/>
              <w:spacing w:after="0"/>
              <w:rPr>
                <w:sz w:val="20"/>
                <w:szCs w:val="20"/>
                <w:color w:val="auto"/>
              </w:rPr>
            </w:pPr>
            <w:r>
              <w:rPr>
                <w:rFonts w:ascii="Arial" w:cs="Arial" w:eastAsia="Arial" w:hAnsi="Arial"/>
                <w:sz w:val="22"/>
                <w:szCs w:val="22"/>
                <w:color w:val="auto"/>
              </w:rPr>
              <w:t>10,276,458</w:t>
            </w:r>
          </w:p>
        </w:tc>
        <w:tc>
          <w:tcPr>
            <w:tcW w:w="40" w:type="dxa"/>
            <w:vAlign w:val="bottom"/>
          </w:tcPr>
          <w:p>
            <w:pPr>
              <w:spacing w:after="0"/>
              <w:rPr>
                <w:sz w:val="23"/>
                <w:szCs w:val="23"/>
                <w:color w:val="auto"/>
              </w:rPr>
            </w:pPr>
          </w:p>
        </w:tc>
      </w:tr>
      <w:tr>
        <w:trPr>
          <w:trHeight w:val="225"/>
        </w:trPr>
        <w:tc>
          <w:tcPr>
            <w:tcW w:w="570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8"/>
        </w:trPr>
        <w:tc>
          <w:tcPr>
            <w:tcW w:w="5700" w:type="dxa"/>
            <w:vAlign w:val="bottom"/>
            <w:tcBorders>
              <w:bottom w:val="single" w:sz="8" w:color="auto"/>
            </w:tcBorders>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375"/>
        </w:trPr>
        <w:tc>
          <w:tcPr>
            <w:tcW w:w="570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39" w:right="19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INDEX TO FORM 10-Q</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86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3"/>
        </w:trPr>
        <w:tc>
          <w:tcPr>
            <w:tcW w:w="1620" w:type="dxa"/>
            <w:vAlign w:val="bottom"/>
            <w:gridSpan w:val="8"/>
            <w:vMerge w:val="continue"/>
          </w:tcPr>
          <w:p>
            <w:pPr>
              <w:spacing w:after="0"/>
              <w:rPr>
                <w:sz w:val="14"/>
                <w:szCs w:val="14"/>
                <w:color w:val="auto"/>
              </w:rPr>
            </w:pPr>
          </w:p>
        </w:tc>
        <w:tc>
          <w:tcPr>
            <w:tcW w:w="7860" w:type="dxa"/>
            <w:vAlign w:val="bottom"/>
            <w:gridSpan w:val="13"/>
            <w:vMerge w:val="continue"/>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620" w:type="dxa"/>
            <w:vAlign w:val="bottom"/>
            <w:tcBorders>
              <w:top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00" w:type="dxa"/>
            <w:vAlign w:val="bottom"/>
            <w:gridSpan w:val="5"/>
          </w:tcPr>
          <w:p>
            <w:pPr>
              <w:spacing w:after="0"/>
              <w:rPr>
                <w:sz w:val="24"/>
                <w:szCs w:val="24"/>
                <w:color w:val="auto"/>
              </w:rPr>
            </w:pPr>
          </w:p>
        </w:tc>
        <w:tc>
          <w:tcPr>
            <w:tcW w:w="2320" w:type="dxa"/>
            <w:vAlign w:val="bottom"/>
            <w:tcBorders>
              <w:top w:val="single" w:sz="8" w:color="0000EE"/>
            </w:tcBorders>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540" w:type="dxa"/>
            <w:vAlign w:val="bottom"/>
            <w:gridSpan w:val="7"/>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 June 30, 2009 and March 29, 2009</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Statements of Income – Three Months Ended June 30, 2009 and 2008</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6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 Three Months Ended June 30, 2009 and 2008</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20" w:type="dxa"/>
            <w:vAlign w:val="bottom"/>
            <w:tcBorders>
              <w:top w:val="single" w:sz="8" w:color="0000EE"/>
            </w:tcBorders>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1840" w:type="dxa"/>
            <w:vAlign w:val="bottom"/>
            <w:gridSpan w:val="2"/>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Item 2.</w:t>
              </w:r>
            </w:hyperlink>
          </w:p>
        </w:tc>
        <w:tc>
          <w:tcPr>
            <w:tcW w:w="1100" w:type="dxa"/>
            <w:vAlign w:val="bottom"/>
            <w:gridSpan w:val="6"/>
          </w:tcPr>
          <w:p>
            <w:pPr>
              <w:spacing w:after="0"/>
              <w:rPr>
                <w:sz w:val="24"/>
                <w:szCs w:val="24"/>
                <w:color w:val="auto"/>
              </w:rPr>
            </w:pP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Management’s Discussion and Analysis of Financial Condition and Results of Operations</w:t>
              </w:r>
            </w:hyperlink>
          </w:p>
        </w:tc>
        <w:tc>
          <w:tcPr>
            <w:tcW w:w="15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45"/>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3.</w:t>
              </w:r>
            </w:hyperlink>
          </w:p>
        </w:tc>
        <w:tc>
          <w:tcPr>
            <w:tcW w:w="1100" w:type="dxa"/>
            <w:vAlign w:val="bottom"/>
            <w:gridSpan w:val="6"/>
          </w:tcPr>
          <w:p>
            <w:pPr>
              <w:spacing w:after="0"/>
              <w:rPr>
                <w:sz w:val="24"/>
                <w:szCs w:val="24"/>
                <w:color w:val="auto"/>
              </w:rPr>
            </w:pPr>
          </w:p>
        </w:tc>
        <w:tc>
          <w:tcPr>
            <w:tcW w:w="4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Quantitative and Qualitative Disclosures about Market Risk</w:t>
              </w:r>
            </w:hyperlink>
          </w:p>
        </w:tc>
        <w:tc>
          <w:tcPr>
            <w:tcW w:w="3660" w:type="dxa"/>
            <w:vAlign w:val="bottom"/>
            <w:gridSpan w:val="5"/>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45"/>
        </w:trPr>
        <w:tc>
          <w:tcPr>
            <w:tcW w:w="1620" w:type="dxa"/>
            <w:vAlign w:val="bottom"/>
            <w:gridSpan w:val="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786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0" w:type="dxa"/>
            <w:vAlign w:val="bottom"/>
            <w:gridSpan w:val="5"/>
          </w:tcPr>
          <w:p>
            <w:pPr>
              <w:spacing w:after="0"/>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PART II.</w:t>
              </w:r>
            </w:hyperlink>
          </w:p>
        </w:tc>
        <w:tc>
          <w:tcPr>
            <w:tcW w:w="920" w:type="dxa"/>
            <w:vAlign w:val="bottom"/>
            <w:gridSpan w:val="3"/>
          </w:tcPr>
          <w:p>
            <w:pPr>
              <w:spacing w:after="0"/>
              <w:rPr>
                <w:sz w:val="24"/>
                <w:szCs w:val="24"/>
                <w:color w:val="auto"/>
              </w:rPr>
            </w:pPr>
          </w:p>
        </w:tc>
        <w:tc>
          <w:tcPr>
            <w:tcW w:w="7860" w:type="dxa"/>
            <w:vAlign w:val="bottom"/>
            <w:gridSpan w:val="13"/>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OTHER INFORMATION</w:t>
              </w:r>
            </w:hyperlink>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Item 1A.</w:t>
              </w:r>
            </w:hyperlink>
          </w:p>
        </w:tc>
        <w:tc>
          <w:tcPr>
            <w:tcW w:w="60" w:type="dxa"/>
            <w:vAlign w:val="bottom"/>
            <w:tcBorders>
              <w:top w:val="single" w:sz="8" w:color="0000EE"/>
            </w:tcBorders>
          </w:tcPr>
          <w:p>
            <w:pPr>
              <w:spacing w:after="0"/>
              <w:rPr>
                <w:sz w:val="24"/>
                <w:szCs w:val="24"/>
                <w:color w:val="auto"/>
              </w:rPr>
            </w:pPr>
          </w:p>
        </w:tc>
        <w:tc>
          <w:tcPr>
            <w:tcW w:w="920" w:type="dxa"/>
            <w:vAlign w:val="bottom"/>
            <w:gridSpan w:val="3"/>
          </w:tcPr>
          <w:p>
            <w:pPr>
              <w:spacing w:after="0"/>
              <w:rPr>
                <w:sz w:val="24"/>
                <w:szCs w:val="24"/>
                <w:color w:val="auto"/>
              </w:rPr>
            </w:pPr>
          </w:p>
        </w:tc>
        <w:tc>
          <w:tcPr>
            <w:tcW w:w="8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16">
              <w:r>
                <w:rPr>
                  <w:rFonts w:ascii="Arial" w:cs="Arial" w:eastAsia="Arial" w:hAnsi="Arial"/>
                  <w:sz w:val="18"/>
                  <w:szCs w:val="18"/>
                  <w:color w:val="0000EE"/>
                  <w:w w:val="85"/>
                </w:rPr>
                <w:t>Risk Factors</w:t>
              </w:r>
            </w:hyperlink>
          </w:p>
        </w:tc>
        <w:tc>
          <w:tcPr>
            <w:tcW w:w="1080" w:type="dxa"/>
            <w:vAlign w:val="bottom"/>
            <w:tcBorders>
              <w:top w:val="single" w:sz="8" w:color="0000EE"/>
            </w:tcBorders>
            <w:gridSpan w:val="3"/>
          </w:tcPr>
          <w:p>
            <w:pPr>
              <w:spacing w:after="0"/>
              <w:rPr>
                <w:sz w:val="24"/>
                <w:szCs w:val="24"/>
                <w:color w:val="auto"/>
              </w:rPr>
            </w:pPr>
          </w:p>
        </w:tc>
        <w:tc>
          <w:tcPr>
            <w:tcW w:w="5900" w:type="dxa"/>
            <w:vAlign w:val="bottom"/>
            <w:gridSpan w:val="8"/>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45"/>
        </w:trPr>
        <w:tc>
          <w:tcPr>
            <w:tcW w:w="520" w:type="dxa"/>
            <w:vAlign w:val="bottom"/>
            <w:gridSpan w:val="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6.</w:t>
              </w:r>
            </w:hyperlink>
          </w:p>
        </w:tc>
        <w:tc>
          <w:tcPr>
            <w:tcW w:w="1100" w:type="dxa"/>
            <w:vAlign w:val="bottom"/>
            <w:gridSpan w:val="6"/>
          </w:tcPr>
          <w:p>
            <w:pPr>
              <w:spacing w:after="0"/>
              <w:rPr>
                <w:sz w:val="24"/>
                <w:szCs w:val="24"/>
                <w:color w:val="auto"/>
              </w:rPr>
            </w:pPr>
          </w:p>
        </w:tc>
        <w:tc>
          <w:tcPr>
            <w:tcW w:w="7860" w:type="dxa"/>
            <w:vAlign w:val="bottom"/>
            <w:gridSpan w:val="1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gridSpan w:val="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4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 Index</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60" w:type="dxa"/>
            <w:vAlign w:val="bottom"/>
          </w:tcPr>
          <w:p>
            <w:pPr>
              <w:ind w:left="600"/>
              <w:spacing w:after="0"/>
              <w:rPr>
                <w:sz w:val="20"/>
                <w:szCs w:val="20"/>
                <w:color w:val="auto"/>
              </w:rPr>
            </w:pPr>
            <w:r>
              <w:rPr>
                <w:rFonts w:ascii="Arial" w:cs="Arial" w:eastAsia="Arial" w:hAnsi="Arial"/>
                <w:sz w:val="22"/>
                <w:szCs w:val="22"/>
                <w:b w:val="1"/>
                <w:bCs w:val="1"/>
                <w:color w:val="auto"/>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40" w:type="dxa"/>
            <w:vAlign w:val="bottom"/>
            <w:gridSpan w:val="2"/>
          </w:tcPr>
          <w:p>
            <w:pPr>
              <w:spacing w:after="0"/>
              <w:rPr>
                <w:sz w:val="20"/>
                <w:szCs w:val="20"/>
                <w:color w:val="auto"/>
              </w:rPr>
            </w:pPr>
            <w:r>
              <w:rPr>
                <w:rFonts w:ascii="Arial" w:cs="Arial" w:eastAsia="Arial" w:hAnsi="Arial"/>
                <w:sz w:val="22"/>
                <w:szCs w:val="22"/>
                <w:color w:val="auto"/>
              </w:rPr>
              <w:t>ITEM 1.</w:t>
            </w:r>
          </w:p>
        </w:tc>
        <w:tc>
          <w:tcPr>
            <w:tcW w:w="6680" w:type="dxa"/>
            <w:vAlign w:val="bottom"/>
            <w:gridSpan w:val="2"/>
          </w:tcPr>
          <w:p>
            <w:pPr>
              <w:ind w:left="40"/>
              <w:spacing w:after="0"/>
              <w:rPr>
                <w:sz w:val="20"/>
                <w:szCs w:val="20"/>
                <w:color w:val="auto"/>
              </w:rPr>
            </w:pPr>
            <w:r>
              <w:rPr>
                <w:rFonts w:ascii="Arial" w:cs="Arial" w:eastAsia="Arial" w:hAnsi="Arial"/>
                <w:sz w:val="22"/>
                <w:szCs w:val="22"/>
                <w:color w:val="auto"/>
              </w:rPr>
              <w:t>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99"/>
              </w:rPr>
              <w:t>HAWKINS, INC.</w:t>
            </w:r>
          </w:p>
        </w:tc>
        <w:tc>
          <w:tcPr>
            <w:tcW w:w="19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20" w:type="dxa"/>
            <w:vAlign w:val="bottom"/>
            <w:gridSpan w:val="4"/>
          </w:tcPr>
          <w:p>
            <w:pPr>
              <w:spacing w:after="0"/>
              <w:rPr>
                <w:sz w:val="20"/>
                <w:szCs w:val="20"/>
                <w:color w:val="auto"/>
              </w:rPr>
            </w:pPr>
            <w:r>
              <w:rPr>
                <w:rFonts w:ascii="Arial" w:cs="Arial" w:eastAsia="Arial" w:hAnsi="Arial"/>
                <w:sz w:val="18"/>
                <w:szCs w:val="18"/>
                <w:b w:val="1"/>
                <w:bCs w:val="1"/>
                <w:color w:val="auto"/>
              </w:rPr>
              <w:t>CONDENSED BALANCE SHEETS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20" w:type="dxa"/>
            <w:vAlign w:val="bottom"/>
            <w:gridSpan w:val="4"/>
          </w:tcPr>
          <w:p>
            <w:pPr>
              <w:spacing w:after="0" w:line="184" w:lineRule="exact"/>
              <w:rPr>
                <w:sz w:val="20"/>
                <w:szCs w:val="20"/>
                <w:color w:val="auto"/>
              </w:rPr>
            </w:pPr>
            <w:r>
              <w:rPr>
                <w:rFonts w:ascii="Arial" w:cs="Arial" w:eastAsia="Arial" w:hAnsi="Arial"/>
                <w:sz w:val="18"/>
                <w:szCs w:val="18"/>
                <w:i w:val="1"/>
                <w:iCs w:val="1"/>
                <w:color w:val="auto"/>
              </w:rPr>
              <w:t>In thousands, except share and per-share data</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2009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29,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9"/>
              </w:rPr>
              <w:t>(FROM 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D6F3E8"/>
          </w:tcPr>
          <w:p>
            <w:pPr>
              <w:spacing w:after="0"/>
              <w:rPr>
                <w:sz w:val="20"/>
                <w:szCs w:val="20"/>
                <w:color w:val="auto"/>
              </w:rPr>
            </w:pPr>
            <w:r>
              <w:rPr>
                <w:rFonts w:ascii="Arial" w:cs="Arial" w:eastAsia="Arial" w:hAnsi="Arial"/>
                <w:sz w:val="18"/>
                <w:szCs w:val="18"/>
                <w:color w:val="auto"/>
              </w:rPr>
              <w:t>ASSETS</w:t>
            </w:r>
          </w:p>
        </w:tc>
        <w:tc>
          <w:tcPr>
            <w:tcW w:w="1920" w:type="dxa"/>
            <w:vAlign w:val="bottom"/>
            <w:shd w:val="clear" w:color="auto" w:fill="D6F3E8"/>
          </w:tcPr>
          <w:p>
            <w:pPr>
              <w:spacing w:after="0"/>
              <w:rPr>
                <w:sz w:val="18"/>
                <w:szCs w:val="18"/>
                <w:color w:val="auto"/>
              </w:rPr>
            </w:pPr>
          </w:p>
        </w:tc>
        <w:tc>
          <w:tcPr>
            <w:tcW w:w="47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0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15,502</w:t>
            </w:r>
          </w:p>
        </w:tc>
        <w:tc>
          <w:tcPr>
            <w:tcW w:w="200" w:type="dxa"/>
            <w:vAlign w:val="bottom"/>
            <w:shd w:val="clear" w:color="auto" w:fill="D6F3E8"/>
          </w:tcPr>
          <w:p>
            <w:pPr>
              <w:spacing w:after="0"/>
              <w:rPr>
                <w:sz w:val="18"/>
                <w:szCs w:val="18"/>
                <w:color w:val="auto"/>
              </w:rPr>
            </w:pPr>
          </w:p>
        </w:tc>
        <w:tc>
          <w:tcPr>
            <w:tcW w:w="2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40"/>
              <w:spacing w:after="0"/>
              <w:rPr>
                <w:sz w:val="20"/>
                <w:szCs w:val="20"/>
                <w:color w:val="auto"/>
              </w:rPr>
            </w:pPr>
            <w:r>
              <w:rPr>
                <w:rFonts w:ascii="Arial" w:cs="Arial" w:eastAsia="Arial" w:hAnsi="Arial"/>
                <w:sz w:val="18"/>
                <w:szCs w:val="18"/>
                <w:color w:val="auto"/>
              </w:rPr>
              <w:t>Investments available-for-sale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w w:val="95"/>
              </w:rPr>
              <w:t>Trade receivables – less allowance for doubtful accounts of $340 for June 30, 2009 and $350 for March</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29, 2009</w:t>
            </w:r>
          </w:p>
        </w:tc>
        <w:tc>
          <w:tcPr>
            <w:tcW w:w="1920" w:type="dxa"/>
            <w:vAlign w:val="bottom"/>
            <w:shd w:val="clear" w:color="auto" w:fill="D6F3E8"/>
          </w:tcPr>
          <w:p>
            <w:pPr>
              <w:spacing w:after="0"/>
              <w:rPr>
                <w:sz w:val="19"/>
                <w:szCs w:val="19"/>
                <w:color w:val="auto"/>
              </w:rPr>
            </w:pPr>
          </w:p>
        </w:tc>
        <w:tc>
          <w:tcPr>
            <w:tcW w:w="476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26,634</w:t>
            </w:r>
          </w:p>
        </w:tc>
        <w:tc>
          <w:tcPr>
            <w:tcW w:w="20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4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9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2,325</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40"/>
              <w:spacing w:after="0"/>
              <w:rPr>
                <w:sz w:val="20"/>
                <w:szCs w:val="20"/>
                <w:color w:val="auto"/>
              </w:rPr>
            </w:pPr>
            <w:r>
              <w:rPr>
                <w:rFonts w:ascii="Arial" w:cs="Arial" w:eastAsia="Arial" w:hAnsi="Arial"/>
                <w:sz w:val="18"/>
                <w:szCs w:val="18"/>
                <w:color w:val="auto"/>
              </w:rPr>
              <w:t>Assets held for sale (Note 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gridSpan w:val="3"/>
            <w:shd w:val="clear" w:color="auto" w:fill="D6F3E8"/>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D6F3E8"/>
          </w:tcPr>
          <w:p>
            <w:pPr>
              <w:spacing w:after="0"/>
              <w:rPr>
                <w:sz w:val="18"/>
                <w:szCs w:val="18"/>
                <w:color w:val="auto"/>
              </w:rPr>
            </w:pPr>
          </w:p>
        </w:tc>
        <w:tc>
          <w:tcPr>
            <w:tcW w:w="13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70,389</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13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84,135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020" w:type="dxa"/>
            <w:vAlign w:val="bottom"/>
            <w:gridSpan w:val="4"/>
          </w:tcPr>
          <w:p>
            <w:pPr>
              <w:spacing w:after="0"/>
              <w:rPr>
                <w:sz w:val="20"/>
                <w:szCs w:val="20"/>
                <w:color w:val="auto"/>
              </w:rPr>
            </w:pPr>
            <w:r>
              <w:rPr>
                <w:rFonts w:ascii="Arial" w:cs="Arial" w:eastAsia="Arial" w:hAnsi="Arial"/>
                <w:sz w:val="18"/>
                <w:szCs w:val="18"/>
                <w:color w:val="auto"/>
              </w:rPr>
              <w:t>PROPERTY, PLANT AND EQUIPMENT – net</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46,448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45,620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240" w:type="dxa"/>
            <w:vAlign w:val="bottom"/>
            <w:gridSpan w:val="2"/>
          </w:tcPr>
          <w:p>
            <w:pPr>
              <w:spacing w:after="0"/>
              <w:rPr>
                <w:sz w:val="13"/>
                <w:szCs w:val="13"/>
                <w:color w:val="auto"/>
              </w:rPr>
            </w:pPr>
          </w:p>
        </w:tc>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GOODWILL AND INTANGIBLE ASSETS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6,310</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363"/>
        </w:trPr>
        <w:tc>
          <w:tcPr>
            <w:tcW w:w="8020" w:type="dxa"/>
            <w:vAlign w:val="bottom"/>
            <w:gridSpan w:val="4"/>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9,791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w w:val="93"/>
              </w:rPr>
              <w:t>OTHER ASSETS</w:t>
            </w:r>
          </w:p>
        </w:tc>
        <w:tc>
          <w:tcPr>
            <w:tcW w:w="1920" w:type="dxa"/>
            <w:vAlign w:val="bottom"/>
            <w:tcBorders>
              <w:bottom w:val="single" w:sz="8" w:color="D6F3E8"/>
            </w:tcBorders>
            <w:shd w:val="clear" w:color="auto" w:fill="D6F3E8"/>
          </w:tcPr>
          <w:p>
            <w:pPr>
              <w:spacing w:after="0"/>
              <w:rPr>
                <w:sz w:val="18"/>
                <w:szCs w:val="18"/>
                <w:color w:val="auto"/>
              </w:rPr>
            </w:pPr>
          </w:p>
        </w:tc>
        <w:tc>
          <w:tcPr>
            <w:tcW w:w="476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3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133,099</w:t>
            </w:r>
          </w:p>
        </w:tc>
        <w:tc>
          <w:tcPr>
            <w:tcW w:w="2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136,290</w:t>
            </w:r>
          </w:p>
        </w:tc>
        <w:tc>
          <w:tcPr>
            <w:tcW w:w="0" w:type="dxa"/>
            <w:vAlign w:val="bottom"/>
          </w:tcPr>
          <w:p>
            <w:pPr>
              <w:spacing w:after="0"/>
              <w:rPr>
                <w:sz w:val="1"/>
                <w:szCs w:val="1"/>
                <w:color w:val="auto"/>
              </w:rPr>
            </w:pPr>
          </w:p>
        </w:tc>
      </w:tr>
      <w:tr>
        <w:trPr>
          <w:trHeight w:val="20"/>
        </w:trPr>
        <w:tc>
          <w:tcPr>
            <w:tcW w:w="3260" w:type="dxa"/>
            <w:vAlign w:val="bottom"/>
            <w:gridSpan w:val="3"/>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gridSpan w:val="3"/>
            <w:shd w:val="clear" w:color="auto" w:fill="D6F3E8"/>
          </w:tcPr>
          <w:p>
            <w:pPr>
              <w:spacing w:after="0" w:line="196" w:lineRule="exact"/>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D6F3E8"/>
          </w:tcPr>
          <w:p>
            <w:pPr>
              <w:spacing w:after="0"/>
              <w:rPr>
                <w:sz w:val="17"/>
                <w:szCs w:val="17"/>
                <w:color w:val="auto"/>
              </w:rPr>
            </w:pPr>
          </w:p>
        </w:tc>
        <w:tc>
          <w:tcPr>
            <w:tcW w:w="130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134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802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Accounts payable – trade</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12,089</w:t>
            </w:r>
          </w:p>
        </w:tc>
        <w:tc>
          <w:tcPr>
            <w:tcW w:w="200" w:type="dxa"/>
            <w:vAlign w:val="bottom"/>
            <w:shd w:val="clear" w:color="auto" w:fill="D6F3E8"/>
          </w:tcPr>
          <w:p>
            <w:pPr>
              <w:spacing w:after="0"/>
              <w:rPr>
                <w:sz w:val="18"/>
                <w:szCs w:val="18"/>
                <w:color w:val="auto"/>
              </w:rPr>
            </w:pPr>
          </w:p>
        </w:tc>
        <w:tc>
          <w:tcPr>
            <w:tcW w:w="2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4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3,811</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40"/>
              <w:spacing w:after="0"/>
              <w:rPr>
                <w:sz w:val="20"/>
                <w:szCs w:val="20"/>
                <w:color w:val="auto"/>
              </w:rPr>
            </w:pPr>
            <w:r>
              <w:rPr>
                <w:rFonts w:ascii="Arial" w:cs="Arial" w:eastAsia="Arial" w:hAnsi="Arial"/>
                <w:sz w:val="18"/>
                <w:szCs w:val="18"/>
                <w:color w:val="auto"/>
              </w:rPr>
              <w:t>Container deposits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w w:val="99"/>
              </w:rPr>
              <w:t>Other accruals</w:t>
            </w:r>
          </w:p>
        </w:tc>
        <w:tc>
          <w:tcPr>
            <w:tcW w:w="1920" w:type="dxa"/>
            <w:vAlign w:val="bottom"/>
            <w:tcBorders>
              <w:bottom w:val="single" w:sz="8" w:color="D6F3E8"/>
            </w:tcBorders>
            <w:shd w:val="clear" w:color="auto" w:fill="D6F3E8"/>
          </w:tcPr>
          <w:p>
            <w:pPr>
              <w:spacing w:after="0"/>
              <w:rPr>
                <w:sz w:val="18"/>
                <w:szCs w:val="18"/>
                <w:color w:val="auto"/>
              </w:rPr>
            </w:pPr>
          </w:p>
        </w:tc>
        <w:tc>
          <w:tcPr>
            <w:tcW w:w="476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2,124</w:t>
            </w:r>
          </w:p>
        </w:tc>
        <w:tc>
          <w:tcPr>
            <w:tcW w:w="20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3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27,836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40" w:type="dxa"/>
            <w:vAlign w:val="bottom"/>
            <w:gridSpan w:val="2"/>
          </w:tcPr>
          <w:p>
            <w:pPr>
              <w:spacing w:after="0"/>
              <w:rPr>
                <w:sz w:val="12"/>
                <w:szCs w:val="12"/>
                <w:color w:val="auto"/>
              </w:rPr>
            </w:pPr>
          </w:p>
        </w:tc>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363"/>
        </w:trPr>
        <w:tc>
          <w:tcPr>
            <w:tcW w:w="802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4,072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240" w:type="dxa"/>
            <w:vAlign w:val="bottom"/>
            <w:gridSpan w:val="2"/>
          </w:tcPr>
          <w:p>
            <w:pPr>
              <w:spacing w:after="0"/>
              <w:rPr>
                <w:sz w:val="13"/>
                <w:szCs w:val="13"/>
                <w:color w:val="auto"/>
              </w:rPr>
            </w:pPr>
          </w:p>
        </w:tc>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02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Common stock, par value $.05 per share; 10,246,458 shares issued and outstanding</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D6F3E8"/>
            </w:tcBorders>
            <w:gridSpan w:val="3"/>
            <w:shd w:val="clear" w:color="auto" w:fill="D6F3E8"/>
          </w:tcPr>
          <w:p>
            <w:pPr>
              <w:ind w:left="4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13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109,861</w:t>
            </w:r>
          </w:p>
        </w:tc>
        <w:tc>
          <w:tcPr>
            <w:tcW w:w="20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3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103,730</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133,099</w:t>
            </w:r>
          </w:p>
        </w:tc>
        <w:tc>
          <w:tcPr>
            <w:tcW w:w="2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thousands, except share and per-share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3"/>
          </w:tcPr>
          <w:p>
            <w:pPr>
              <w:jc w:val="right"/>
              <w:ind w:right="83"/>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73,586</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62,554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9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4"/>
                <w:szCs w:val="2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(57,730)</w:t>
            </w:r>
          </w:p>
        </w:tc>
        <w:tc>
          <w:tcPr>
            <w:tcW w:w="4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(49,113)</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15,856</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13,441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4"/>
                <w:szCs w:val="2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(6,355)</w:t>
            </w:r>
          </w:p>
        </w:tc>
        <w:tc>
          <w:tcPr>
            <w:tcW w:w="4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9,501</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7,408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98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9,510</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7,549</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9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4"/>
                <w:szCs w:val="2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(3,566)</w:t>
            </w:r>
          </w:p>
        </w:tc>
        <w:tc>
          <w:tcPr>
            <w:tcW w:w="4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5,944</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98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 (Note 5)</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9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6,053</w:t>
            </w:r>
          </w:p>
        </w:tc>
        <w:tc>
          <w:tcPr>
            <w:tcW w:w="340" w:type="dxa"/>
            <w:vAlign w:val="bottom"/>
            <w:tcBorders>
              <w:bottom w:val="single" w:sz="8" w:color="D6F3E8"/>
            </w:tcBorders>
            <w:shd w:val="clear" w:color="auto" w:fill="D6F3E8"/>
          </w:tcPr>
          <w:p>
            <w:pPr>
              <w:spacing w:after="0"/>
              <w:rPr>
                <w:sz w:val="22"/>
                <w:szCs w:val="22"/>
                <w:color w:val="auto"/>
              </w:rPr>
            </w:pPr>
          </w:p>
        </w:tc>
        <w:tc>
          <w:tcPr>
            <w:tcW w:w="460" w:type="dxa"/>
            <w:vAlign w:val="bottom"/>
            <w:tcBorders>
              <w:bottom w:val="single" w:sz="8" w:color="auto"/>
            </w:tcBorders>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4,876</w:t>
            </w:r>
          </w:p>
        </w:tc>
        <w:tc>
          <w:tcPr>
            <w:tcW w:w="1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79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10,246,458</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10,239,458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7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9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320" w:type="dxa"/>
            <w:vAlign w:val="bottom"/>
            <w:tcBorders>
              <w:bottom w:val="single" w:sz="8" w:color="auto"/>
            </w:tcBorders>
            <w:shd w:val="clear" w:color="auto" w:fill="D6F3E8"/>
          </w:tcPr>
          <w:p>
            <w:pPr>
              <w:spacing w:after="0"/>
              <w:rPr>
                <w:sz w:val="22"/>
                <w:szCs w:val="22"/>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10,265,357</w:t>
            </w:r>
          </w:p>
        </w:tc>
        <w:tc>
          <w:tcPr>
            <w:tcW w:w="340" w:type="dxa"/>
            <w:vAlign w:val="bottom"/>
            <w:tcBorders>
              <w:bottom w:val="single" w:sz="8" w:color="D6F3E8"/>
            </w:tcBorders>
            <w:shd w:val="clear" w:color="auto" w:fill="D6F3E8"/>
          </w:tcPr>
          <w:p>
            <w:pPr>
              <w:spacing w:after="0"/>
              <w:rPr>
                <w:sz w:val="22"/>
                <w:szCs w:val="22"/>
                <w:color w:val="auto"/>
              </w:rPr>
            </w:pPr>
          </w:p>
        </w:tc>
        <w:tc>
          <w:tcPr>
            <w:tcW w:w="460" w:type="dxa"/>
            <w:vAlign w:val="bottom"/>
            <w:tcBorders>
              <w:bottom w:val="single" w:sz="8" w:color="auto"/>
            </w:tcBorders>
            <w:shd w:val="clear" w:color="auto" w:fill="D6F3E8"/>
          </w:tcPr>
          <w:p>
            <w:pPr>
              <w:spacing w:after="0"/>
              <w:rPr>
                <w:sz w:val="22"/>
                <w:szCs w:val="22"/>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10,251,111</w:t>
            </w:r>
          </w:p>
        </w:tc>
        <w:tc>
          <w:tcPr>
            <w:tcW w:w="1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7980" w:type="dxa"/>
            <w:vAlign w:val="bottom"/>
            <w:gridSpan w:val="2"/>
          </w:tcPr>
          <w:p>
            <w:pPr>
              <w:spacing w:after="0"/>
              <w:rPr>
                <w:sz w:val="20"/>
                <w:szCs w:val="20"/>
                <w:color w:val="auto"/>
              </w:rPr>
            </w:pPr>
            <w:r>
              <w:rPr>
                <w:rFonts w:ascii="Arial" w:cs="Arial" w:eastAsia="Arial" w:hAnsi="Arial"/>
                <w:sz w:val="18"/>
                <w:szCs w:val="18"/>
                <w:color w:val="auto"/>
              </w:rPr>
              <w:t>Basic and diluted earnings per share:</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Earnings per share from continuing operations</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0.58</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Earnings per share from discontinued operations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Earnings per share</w:t>
            </w:r>
          </w:p>
        </w:tc>
        <w:tc>
          <w:tcPr>
            <w:tcW w:w="320" w:type="dxa"/>
            <w:vAlign w:val="bottom"/>
            <w:tcBorders>
              <w:bottom w:val="single" w:sz="8" w:color="auto"/>
            </w:tcBorders>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0.59</w:t>
            </w:r>
          </w:p>
        </w:tc>
        <w:tc>
          <w:tcPr>
            <w:tcW w:w="340" w:type="dxa"/>
            <w:vAlign w:val="bottom"/>
            <w:tcBorders>
              <w:bottom w:val="single" w:sz="8" w:color="D6F3E8"/>
            </w:tcBorders>
            <w:shd w:val="clear" w:color="auto" w:fill="D6F3E8"/>
          </w:tcPr>
          <w:p>
            <w:pPr>
              <w:spacing w:after="0"/>
              <w:rPr>
                <w:sz w:val="21"/>
                <w:szCs w:val="21"/>
                <w:color w:val="auto"/>
              </w:rPr>
            </w:pPr>
          </w:p>
        </w:tc>
        <w:tc>
          <w:tcPr>
            <w:tcW w:w="460" w:type="dxa"/>
            <w:vAlign w:val="bottom"/>
            <w:tcBorders>
              <w:bottom w:val="single" w:sz="8" w:color="auto"/>
            </w:tcBorders>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79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financial statements – unaudited.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gridSpan w:val="3"/>
          </w:tcPr>
          <w:p>
            <w:pPr>
              <w:jc w:val="right"/>
              <w:ind w:right="585"/>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6,053</w:t>
            </w:r>
          </w:p>
        </w:tc>
        <w:tc>
          <w:tcPr>
            <w:tcW w:w="340" w:type="dxa"/>
            <w:vAlign w:val="bottom"/>
          </w:tcPr>
          <w:p>
            <w:pPr>
              <w:spacing w:after="0"/>
              <w:rPr>
                <w:sz w:val="18"/>
                <w:szCs w:val="18"/>
                <w:color w:val="auto"/>
              </w:rPr>
            </w:pP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Reconciliation to cash flows:</w:t>
            </w:r>
          </w:p>
        </w:tc>
        <w:tc>
          <w:tcPr>
            <w:tcW w:w="90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Stock compensation expense</w:t>
            </w:r>
          </w:p>
        </w:tc>
        <w:tc>
          <w:tcPr>
            <w:tcW w:w="900" w:type="dxa"/>
            <w:vAlign w:val="bottom"/>
            <w:shd w:val="clear" w:color="auto" w:fill="D6F3E8"/>
          </w:tcPr>
          <w:p>
            <w:pPr>
              <w:spacing w:after="0"/>
              <w:rPr>
                <w:sz w:val="18"/>
                <w:szCs w:val="18"/>
                <w:color w:val="auto"/>
              </w:rPr>
            </w:pP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Loss (gain) from property disposals</w:t>
            </w:r>
          </w:p>
        </w:tc>
        <w:tc>
          <w:tcPr>
            <w:tcW w:w="9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Changes in operating accounts providing (using) cash:</w:t>
            </w:r>
          </w:p>
        </w:tc>
        <w:tc>
          <w:tcPr>
            <w:tcW w:w="90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60"/>
              <w:spacing w:after="0"/>
              <w:rPr>
                <w:sz w:val="20"/>
                <w:szCs w:val="20"/>
                <w:color w:val="auto"/>
              </w:rPr>
            </w:pPr>
            <w:r>
              <w:rPr>
                <w:rFonts w:ascii="Arial" w:cs="Arial" w:eastAsia="Arial" w:hAnsi="Arial"/>
                <w:sz w:val="18"/>
                <w:szCs w:val="18"/>
                <w:color w:val="auto"/>
              </w:rPr>
              <w:t>Trade receivables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2,249</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460"/>
              <w:spacing w:after="0"/>
              <w:rPr>
                <w:sz w:val="20"/>
                <w:szCs w:val="20"/>
                <w:color w:val="auto"/>
              </w:rPr>
            </w:pPr>
            <w:r>
              <w:rPr>
                <w:rFonts w:ascii="Arial" w:cs="Arial" w:eastAsia="Arial" w:hAnsi="Arial"/>
                <w:sz w:val="18"/>
                <w:szCs w:val="18"/>
                <w:color w:val="auto"/>
              </w:rPr>
              <w:t>Inventories</w:t>
            </w:r>
          </w:p>
        </w:tc>
        <w:tc>
          <w:tcPr>
            <w:tcW w:w="900" w:type="dxa"/>
            <w:vAlign w:val="bottom"/>
            <w:shd w:val="clear" w:color="auto" w:fill="D6F3E8"/>
          </w:tcPr>
          <w:p>
            <w:pPr>
              <w:spacing w:after="0"/>
              <w:rPr>
                <w:sz w:val="18"/>
                <w:szCs w:val="18"/>
                <w:color w:val="auto"/>
              </w:rPr>
            </w:pP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6,000</w:t>
            </w:r>
          </w:p>
        </w:tc>
        <w:tc>
          <w:tcPr>
            <w:tcW w:w="34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(1,476)</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460"/>
              <w:spacing w:after="0"/>
              <w:rPr>
                <w:sz w:val="20"/>
                <w:szCs w:val="20"/>
                <w:color w:val="auto"/>
              </w:rPr>
            </w:pPr>
            <w:r>
              <w:rPr>
                <w:rFonts w:ascii="Arial" w:cs="Arial" w:eastAsia="Arial" w:hAnsi="Arial"/>
                <w:sz w:val="18"/>
                <w:szCs w:val="18"/>
                <w:color w:val="auto"/>
              </w:rPr>
              <w:t>Accrued liabilities</w:t>
            </w:r>
          </w:p>
        </w:tc>
        <w:tc>
          <w:tcPr>
            <w:tcW w:w="90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(5,283)</w:t>
            </w:r>
          </w:p>
        </w:tc>
        <w:tc>
          <w:tcPr>
            <w:tcW w:w="96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60"/>
              <w:spacing w:after="0"/>
              <w:rPr>
                <w:sz w:val="20"/>
                <w:szCs w:val="20"/>
                <w:color w:val="auto"/>
              </w:rPr>
            </w:pPr>
            <w:r>
              <w:rPr>
                <w:rFonts w:ascii="Arial" w:cs="Arial" w:eastAsia="Arial" w:hAnsi="Arial"/>
                <w:sz w:val="18"/>
                <w:szCs w:val="18"/>
                <w:color w:val="auto"/>
              </w:rPr>
              <w:t>Income taxes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2,591</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46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(63)</w:t>
            </w:r>
          </w:p>
        </w:tc>
        <w:tc>
          <w:tcPr>
            <w:tcW w:w="96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D6F3E8"/>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11,724</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Additions to property, plant and equipment</w:t>
            </w:r>
          </w:p>
        </w:tc>
        <w:tc>
          <w:tcPr>
            <w:tcW w:w="9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(3,135)</w:t>
            </w:r>
          </w:p>
        </w:tc>
        <w:tc>
          <w:tcPr>
            <w:tcW w:w="9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Purchases of investments</w:t>
            </w:r>
          </w:p>
        </w:tc>
        <w:tc>
          <w:tcPr>
            <w:tcW w:w="90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w w:val="92"/>
              </w:rPr>
              <w:t>(20,000)</w:t>
            </w:r>
          </w:p>
        </w:tc>
        <w:tc>
          <w:tcPr>
            <w:tcW w:w="96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Sale and maturities of investments</w:t>
            </w:r>
          </w:p>
        </w:tc>
        <w:tc>
          <w:tcPr>
            <w:tcW w:w="9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Proceeds from property disposals</w:t>
            </w:r>
          </w:p>
        </w:tc>
        <w:tc>
          <w:tcPr>
            <w:tcW w:w="900" w:type="dxa"/>
            <w:vAlign w:val="bottom"/>
            <w:tcBorders>
              <w:bottom w:val="single" w:sz="8" w:color="auto"/>
            </w:tcBorders>
            <w:shd w:val="clear" w:color="auto" w:fill="D6F3E8"/>
          </w:tcPr>
          <w:p>
            <w:pPr>
              <w:spacing w:after="0"/>
              <w:rPr>
                <w:sz w:val="18"/>
                <w:szCs w:val="18"/>
                <w:color w:val="auto"/>
              </w:rPr>
            </w:pPr>
          </w:p>
        </w:tc>
        <w:tc>
          <w:tcPr>
            <w:tcW w:w="5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D6F3E8"/>
            </w:tcBorders>
            <w:shd w:val="clear" w:color="auto" w:fill="D6F3E8"/>
          </w:tcPr>
          <w:p>
            <w:pPr>
              <w:spacing w:after="0"/>
              <w:rPr>
                <w:sz w:val="18"/>
                <w:szCs w:val="18"/>
                <w:color w:val="auto"/>
              </w:rPr>
            </w:pPr>
          </w:p>
        </w:tc>
        <w:tc>
          <w:tcPr>
            <w:tcW w:w="960" w:type="dxa"/>
            <w:vAlign w:val="bottom"/>
            <w:tcBorders>
              <w:bottom w:val="single" w:sz="8" w:color="auto"/>
            </w:tcBorders>
            <w:shd w:val="clear" w:color="auto" w:fill="D6F3E8"/>
          </w:tcPr>
          <w:p>
            <w:pPr>
              <w:spacing w:after="0"/>
              <w:rPr>
                <w:sz w:val="18"/>
                <w:szCs w:val="18"/>
                <w:color w:val="auto"/>
              </w:rPr>
            </w:pPr>
          </w:p>
        </w:tc>
        <w:tc>
          <w:tcPr>
            <w:tcW w:w="5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(23,092)</w:t>
            </w:r>
          </w:p>
        </w:tc>
        <w:tc>
          <w:tcPr>
            <w:tcW w:w="9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Cash dividends paid</w:t>
            </w:r>
          </w:p>
        </w:tc>
        <w:tc>
          <w:tcPr>
            <w:tcW w:w="9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(2,666)</w:t>
            </w:r>
          </w:p>
        </w:tc>
        <w:tc>
          <w:tcPr>
            <w:tcW w:w="9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top w:val="single" w:sz="8" w:color="auto"/>
              <w:bottom w:val="single" w:sz="8" w:color="auto"/>
            </w:tcBorders>
            <w:shd w:val="clear" w:color="auto" w:fill="D6F3E8"/>
          </w:tcPr>
          <w:p>
            <w:pPr>
              <w:spacing w:after="0"/>
              <w:rPr>
                <w:sz w:val="18"/>
                <w:szCs w:val="18"/>
                <w:color w:val="auto"/>
              </w:rPr>
            </w:pPr>
          </w:p>
        </w:tc>
        <w:tc>
          <w:tcPr>
            <w:tcW w:w="5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8"/>
              </w:rPr>
              <w:t>(2,666)</w:t>
            </w:r>
          </w:p>
        </w:tc>
        <w:tc>
          <w:tcPr>
            <w:tcW w:w="340" w:type="dxa"/>
            <w:vAlign w:val="bottom"/>
            <w:tcBorders>
              <w:bottom w:val="single" w:sz="8" w:color="D6F3E8"/>
            </w:tcBorders>
            <w:shd w:val="clear" w:color="auto" w:fill="D6F3E8"/>
          </w:tcPr>
          <w:p>
            <w:pPr>
              <w:spacing w:after="0"/>
              <w:rPr>
                <w:sz w:val="18"/>
                <w:szCs w:val="18"/>
                <w:color w:val="auto"/>
              </w:rPr>
            </w:pPr>
          </w:p>
        </w:tc>
        <w:tc>
          <w:tcPr>
            <w:tcW w:w="960" w:type="dxa"/>
            <w:vAlign w:val="bottom"/>
            <w:tcBorders>
              <w:top w:val="single" w:sz="8" w:color="auto"/>
              <w:bottom w:val="single" w:sz="8" w:color="auto"/>
            </w:tcBorders>
            <w:shd w:val="clear" w:color="auto" w:fill="D6F3E8"/>
          </w:tcPr>
          <w:p>
            <w:pPr>
              <w:spacing w:after="0"/>
              <w:rPr>
                <w:sz w:val="18"/>
                <w:szCs w:val="18"/>
                <w:color w:val="auto"/>
              </w:rPr>
            </w:pPr>
          </w:p>
        </w:tc>
        <w:tc>
          <w:tcPr>
            <w:tcW w:w="5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1"/>
              </w:rPr>
              <w:t>(2,459)</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79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90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(14,034)</w:t>
            </w:r>
          </w:p>
        </w:tc>
        <w:tc>
          <w:tcPr>
            <w:tcW w:w="96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CASH AND CASH EQUIVALENTS, BEGINNING OF PERIOD</w:t>
            </w:r>
          </w:p>
        </w:tc>
        <w:tc>
          <w:tcPr>
            <w:tcW w:w="900" w:type="dxa"/>
            <w:vAlign w:val="bottom"/>
            <w:tcBorders>
              <w:bottom w:val="single" w:sz="8" w:color="auto"/>
            </w:tcBorders>
            <w:shd w:val="clear" w:color="auto" w:fill="D6F3E8"/>
          </w:tcPr>
          <w:p>
            <w:pPr>
              <w:spacing w:after="0"/>
              <w:rPr>
                <w:sz w:val="18"/>
                <w:szCs w:val="18"/>
                <w:color w:val="auto"/>
              </w:rPr>
            </w:pPr>
          </w:p>
        </w:tc>
        <w:tc>
          <w:tcPr>
            <w:tcW w:w="5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29,536</w:t>
            </w:r>
          </w:p>
        </w:tc>
        <w:tc>
          <w:tcPr>
            <w:tcW w:w="340" w:type="dxa"/>
            <w:vAlign w:val="bottom"/>
            <w:tcBorders>
              <w:bottom w:val="single" w:sz="8" w:color="D6F3E8"/>
            </w:tcBorders>
            <w:shd w:val="clear" w:color="auto" w:fill="D6F3E8"/>
          </w:tcPr>
          <w:p>
            <w:pPr>
              <w:spacing w:after="0"/>
              <w:rPr>
                <w:sz w:val="18"/>
                <w:szCs w:val="18"/>
                <w:color w:val="auto"/>
              </w:rPr>
            </w:pPr>
          </w:p>
        </w:tc>
        <w:tc>
          <w:tcPr>
            <w:tcW w:w="960" w:type="dxa"/>
            <w:vAlign w:val="bottom"/>
            <w:tcBorders>
              <w:bottom w:val="single" w:sz="8" w:color="auto"/>
            </w:tcBorders>
            <w:shd w:val="clear" w:color="auto" w:fill="D6F3E8"/>
          </w:tcPr>
          <w:p>
            <w:pPr>
              <w:spacing w:after="0"/>
              <w:rPr>
                <w:sz w:val="18"/>
                <w:szCs w:val="18"/>
                <w:color w:val="auto"/>
              </w:rPr>
            </w:pPr>
          </w:p>
        </w:tc>
        <w:tc>
          <w:tcPr>
            <w:tcW w:w="5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4"/>
              </w:rPr>
              <w:t>21,509</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9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90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15,502</w:t>
            </w:r>
          </w:p>
        </w:tc>
        <w:tc>
          <w:tcPr>
            <w:tcW w:w="340" w:type="dxa"/>
            <w:vAlign w:val="bottom"/>
          </w:tcPr>
          <w:p>
            <w:pPr>
              <w:spacing w:after="0"/>
              <w:rPr>
                <w:sz w:val="24"/>
                <w:szCs w:val="24"/>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20,719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7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SUPPLEMENTAL DISCLOSURES OF CASH FLOW INFORMATION:</w:t>
            </w:r>
          </w:p>
        </w:tc>
        <w:tc>
          <w:tcPr>
            <w:tcW w:w="90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90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340" w:type="dxa"/>
            <w:vAlign w:val="bottom"/>
          </w:tcPr>
          <w:p>
            <w:pPr>
              <w:spacing w:after="0"/>
              <w:rPr>
                <w:sz w:val="24"/>
                <w:szCs w:val="24"/>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Noncash investing activities-</w:t>
            </w:r>
          </w:p>
        </w:tc>
        <w:tc>
          <w:tcPr>
            <w:tcW w:w="90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Capital expenditures in accounts payable</w:t>
            </w:r>
          </w:p>
        </w:tc>
        <w:tc>
          <w:tcPr>
            <w:tcW w:w="90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40" w:type="dxa"/>
            <w:vAlign w:val="bottom"/>
          </w:tcPr>
          <w:p>
            <w:pPr>
              <w:spacing w:after="0"/>
              <w:rPr>
                <w:sz w:val="18"/>
                <w:szCs w:val="18"/>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 UNAUDITED</w:t>
      </w:r>
    </w:p>
    <w:p>
      <w:pPr>
        <w:spacing w:after="0" w:line="232" w:lineRule="exact"/>
        <w:rPr>
          <w:sz w:val="20"/>
          <w:szCs w:val="20"/>
          <w:color w:val="auto"/>
        </w:rPr>
      </w:pPr>
    </w:p>
    <w:p>
      <w:pPr>
        <w:ind w:left="580" w:right="20" w:hanging="572"/>
        <w:spacing w:after="0" w:line="291"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our Annual Report on Form 10-K for the fiscal year ended March 29, 2009, previously filed with the Securities and Exchange Commission (SEC). In the opinion of management, the accompanying unaudited condensed financial statements contain all adjustments necessary to present fairly our financial position and the results of our operations and cash flows for the periods presented. All adjustments made to the interim financial statements were of a normal recurring nature.</w:t>
      </w:r>
    </w:p>
    <w:p>
      <w:pPr>
        <w:spacing w:after="0" w:line="106" w:lineRule="exact"/>
        <w:rPr>
          <w:rFonts w:ascii="Arial" w:cs="Arial" w:eastAsia="Arial" w:hAnsi="Arial"/>
          <w:sz w:val="16"/>
          <w:szCs w:val="16"/>
          <w:color w:val="auto"/>
        </w:rPr>
      </w:pPr>
    </w:p>
    <w:p>
      <w:pPr>
        <w:ind w:left="580" w:right="100"/>
        <w:spacing w:after="0" w:line="268" w:lineRule="auto"/>
        <w:rPr>
          <w:rFonts w:ascii="Arial" w:cs="Arial" w:eastAsia="Arial" w:hAnsi="Arial"/>
          <w:sz w:val="16"/>
          <w:szCs w:val="16"/>
          <w:color w:val="auto"/>
        </w:rPr>
      </w:pPr>
      <w:r>
        <w:rPr>
          <w:rFonts w:ascii="Arial" w:cs="Arial" w:eastAsia="Arial" w:hAnsi="Arial"/>
          <w:sz w:val="18"/>
          <w:szCs w:val="18"/>
          <w:color w:val="auto"/>
        </w:rPr>
        <w:t>The accounting policies we follow are set forth in Note 1 to our financial statements in our Annual Report on Form 10-K for the fiscal year ended March 29, 2009 filed with the SEC, on June 5, 2009.</w:t>
      </w:r>
    </w:p>
    <w:p>
      <w:pPr>
        <w:spacing w:after="0" w:line="118" w:lineRule="exact"/>
        <w:rPr>
          <w:rFonts w:ascii="Arial" w:cs="Arial" w:eastAsia="Arial" w:hAnsi="Arial"/>
          <w:sz w:val="16"/>
          <w:szCs w:val="16"/>
          <w:color w:val="auto"/>
        </w:rPr>
      </w:pPr>
    </w:p>
    <w:p>
      <w:pPr>
        <w:ind w:left="580" w:hanging="57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results of operations for the period ended June 30, 2009 are not necessarily indicative of the results that may be expected for the full year.</w:t>
      </w:r>
    </w:p>
    <w:p>
      <w:pPr>
        <w:spacing w:after="0" w:line="180" w:lineRule="exact"/>
        <w:rPr>
          <w:rFonts w:ascii="Arial" w:cs="Arial" w:eastAsia="Arial" w:hAnsi="Arial"/>
          <w:sz w:val="16"/>
          <w:szCs w:val="16"/>
          <w:color w:val="auto"/>
        </w:rPr>
      </w:pPr>
    </w:p>
    <w:p>
      <w:pPr>
        <w:ind w:left="580" w:right="120" w:hanging="572"/>
        <w:spacing w:after="0" w:line="290"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June 2008, the Financial Accounting Standards Board (FASB) issued Staff Position (FSP) EITF No. 03-6-1, “Determining Whether Instruments Granted in Share-Based Payment Transactions are Participating Securities.” This FSP requires unvested share-based payment awards that contain non-forfeitable rights to dividends or dividend equivalents to be treated as participating securities as defined in Emerging Issues Task Force (EITF) Issue No. 03-6, “Participating Securities and the Two-Class Method under FASB Statement No. 128,” and, therefore, included in the earnings allocation in computing earnings per share under the two-class method described in FASB Statement No. 128, “Earnings per Share.” Our restricted stock awards granted to our directors are considered participating securities, as they receive non-forfeitable dividends at the same rate as common stock. We adopted this FSP on March 30, 2009; the implementation of the FSP had no effect on previously reported basic or diluted earnings per share amounts.</w:t>
      </w:r>
    </w:p>
    <w:p>
      <w:pPr>
        <w:spacing w:after="0" w:line="104" w:lineRule="exact"/>
        <w:rPr>
          <w:rFonts w:ascii="Arial" w:cs="Arial" w:eastAsia="Arial" w:hAnsi="Arial"/>
          <w:sz w:val="16"/>
          <w:szCs w:val="16"/>
          <w:color w:val="auto"/>
        </w:rPr>
      </w:pPr>
    </w:p>
    <w:p>
      <w:pPr>
        <w:ind w:left="580" w:right="60"/>
        <w:spacing w:after="0" w:line="294" w:lineRule="auto"/>
        <w:rPr>
          <w:rFonts w:ascii="Arial" w:cs="Arial" w:eastAsia="Arial" w:hAnsi="Arial"/>
          <w:sz w:val="16"/>
          <w:szCs w:val="16"/>
          <w:color w:val="auto"/>
        </w:rPr>
      </w:pPr>
      <w:r>
        <w:rPr>
          <w:rFonts w:ascii="Arial" w:cs="Arial" w:eastAsia="Arial" w:hAnsi="Arial"/>
          <w:sz w:val="16"/>
          <w:szCs w:val="16"/>
          <w:color w:val="auto"/>
        </w:rPr>
        <w:t>In June 2009, the FASB issued Statement of Financial Accounting Standard (SFAS) No. 167, “Amendments to FASB Interpretation No. 46(R).” SFAS 167 amends the consolidation guidance applicable to variable interest entities and the definition of a variable interest entity, and requires enhanced disclosures to provide more information about an enterprise’s involvement in a variable interest entity. This statement also requires ongoing assessments of whether an enterprise is the primary beneficiary of a variable interest entity. SFAS 167 is effective for fiscal years beginning after November 15, 2009. We do not expect there to be a significant impact on our financial statements upon adoption of SFAS 167.</w:t>
      </w:r>
    </w:p>
    <w:p>
      <w:pPr>
        <w:spacing w:after="0" w:line="102" w:lineRule="exact"/>
        <w:rPr>
          <w:rFonts w:ascii="Arial" w:cs="Arial" w:eastAsia="Arial" w:hAnsi="Arial"/>
          <w:sz w:val="16"/>
          <w:szCs w:val="16"/>
          <w:color w:val="auto"/>
        </w:rPr>
      </w:pPr>
    </w:p>
    <w:p>
      <w:pPr>
        <w:ind w:left="580" w:right="40"/>
        <w:spacing w:after="0" w:line="294" w:lineRule="auto"/>
        <w:rPr>
          <w:rFonts w:ascii="Arial" w:cs="Arial" w:eastAsia="Arial" w:hAnsi="Arial"/>
          <w:sz w:val="16"/>
          <w:szCs w:val="16"/>
          <w:color w:val="auto"/>
        </w:rPr>
      </w:pPr>
      <w:r>
        <w:rPr>
          <w:rFonts w:ascii="Arial" w:cs="Arial" w:eastAsia="Arial" w:hAnsi="Arial"/>
          <w:sz w:val="16"/>
          <w:szCs w:val="16"/>
          <w:color w:val="auto"/>
        </w:rPr>
        <w:t>In June 2009, the FASB issued SFAS No. 168, “The FASB Accounting Standards Codification and the Hierarchy of Generally Accepted Accounting Principles, a replacement of FASB Statement No. 162.” SFAS 168 establishes the FASB Accounting Standards Codification as the source of authoritative accounting principles recognized by the FASB to be applied by nongovernmental entities in the preparation of financial statements in conformity with GAAP. SFAS 168 is effective for interim and annual periods ending after September 15, 2009. SFAS 168 does not change GAAP and is not expected to have a significant impact on our financial statement disclosures.</w:t>
      </w:r>
    </w:p>
    <w:p>
      <w:pPr>
        <w:spacing w:after="0" w:line="102" w:lineRule="exact"/>
        <w:rPr>
          <w:rFonts w:ascii="Arial" w:cs="Arial" w:eastAsia="Arial" w:hAnsi="Arial"/>
          <w:sz w:val="16"/>
          <w:szCs w:val="16"/>
          <w:color w:val="auto"/>
        </w:rPr>
      </w:pPr>
    </w:p>
    <w:p>
      <w:pPr>
        <w:jc w:val="both"/>
        <w:ind w:left="580" w:hanging="572"/>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June 30, 2009</w:t>
            </w:r>
          </w:p>
        </w:tc>
        <w:tc>
          <w:tcPr>
            <w:tcW w:w="15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June 30, 2008</w:t>
            </w:r>
          </w:p>
        </w:tc>
      </w:tr>
      <w:tr>
        <w:trPr>
          <w:trHeight w:val="210"/>
        </w:trPr>
        <w:tc>
          <w:tcPr>
            <w:tcW w:w="744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basic</w:t>
            </w:r>
          </w:p>
        </w:tc>
        <w:tc>
          <w:tcPr>
            <w:tcW w:w="1820" w:type="dxa"/>
            <w:vAlign w:val="bottom"/>
            <w:shd w:val="clear" w:color="auto" w:fill="D6F3E8"/>
          </w:tcPr>
          <w:p>
            <w:pPr>
              <w:jc w:val="right"/>
              <w:ind w:right="257"/>
              <w:spacing w:after="0"/>
              <w:rPr>
                <w:sz w:val="20"/>
                <w:szCs w:val="20"/>
                <w:color w:val="auto"/>
              </w:rPr>
            </w:pPr>
            <w:r>
              <w:rPr>
                <w:rFonts w:ascii="Arial" w:cs="Arial" w:eastAsia="Arial" w:hAnsi="Arial"/>
                <w:sz w:val="18"/>
                <w:szCs w:val="18"/>
                <w:color w:val="auto"/>
              </w:rPr>
              <w:t>10,246,458</w:t>
            </w:r>
          </w:p>
        </w:tc>
        <w:tc>
          <w:tcPr>
            <w:tcW w:w="1580" w:type="dxa"/>
            <w:vAlign w:val="bottom"/>
            <w:shd w:val="clear" w:color="auto" w:fill="D6F3E8"/>
          </w:tcPr>
          <w:p>
            <w:pPr>
              <w:jc w:val="right"/>
              <w:ind w:right="17"/>
              <w:spacing w:after="0"/>
              <w:rPr>
                <w:sz w:val="20"/>
                <w:szCs w:val="20"/>
                <w:color w:val="auto"/>
              </w:rPr>
            </w:pPr>
            <w:r>
              <w:rPr>
                <w:rFonts w:ascii="Arial" w:cs="Arial" w:eastAsia="Arial" w:hAnsi="Arial"/>
                <w:sz w:val="18"/>
                <w:szCs w:val="18"/>
                <w:color w:val="auto"/>
              </w:rPr>
              <w:t>10,239,458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18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18,899</w:t>
            </w: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11,653</w:t>
            </w:r>
          </w:p>
        </w:tc>
      </w:tr>
      <w:tr>
        <w:trPr>
          <w:trHeight w:val="250"/>
        </w:trPr>
        <w:tc>
          <w:tcPr>
            <w:tcW w:w="74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820" w:type="dxa"/>
            <w:vAlign w:val="bottom"/>
            <w:tcBorders>
              <w:bottom w:val="single" w:sz="8" w:color="auto"/>
            </w:tcBorders>
            <w:shd w:val="clear" w:color="auto" w:fill="D6F3E8"/>
          </w:tcPr>
          <w:p>
            <w:pPr>
              <w:jc w:val="right"/>
              <w:ind w:right="257"/>
              <w:spacing w:after="0"/>
              <w:rPr>
                <w:sz w:val="20"/>
                <w:szCs w:val="20"/>
                <w:color w:val="auto"/>
              </w:rPr>
            </w:pPr>
            <w:r>
              <w:rPr>
                <w:rFonts w:ascii="Arial" w:cs="Arial" w:eastAsia="Arial" w:hAnsi="Arial"/>
                <w:sz w:val="18"/>
                <w:szCs w:val="18"/>
                <w:color w:val="auto"/>
              </w:rPr>
              <w:t>10,265,357</w:t>
            </w:r>
          </w:p>
        </w:tc>
        <w:tc>
          <w:tcPr>
            <w:tcW w:w="1580" w:type="dxa"/>
            <w:vAlign w:val="bottom"/>
            <w:tcBorders>
              <w:bottom w:val="single" w:sz="8" w:color="auto"/>
            </w:tcBorders>
            <w:shd w:val="clear" w:color="auto" w:fill="D6F3E8"/>
          </w:tcPr>
          <w:p>
            <w:pPr>
              <w:jc w:val="right"/>
              <w:ind w:right="17"/>
              <w:spacing w:after="0"/>
              <w:rPr>
                <w:sz w:val="20"/>
                <w:szCs w:val="20"/>
                <w:color w:val="auto"/>
              </w:rPr>
            </w:pPr>
            <w:r>
              <w:rPr>
                <w:rFonts w:ascii="Arial" w:cs="Arial" w:eastAsia="Arial" w:hAnsi="Arial"/>
                <w:sz w:val="18"/>
                <w:szCs w:val="18"/>
                <w:color w:val="auto"/>
              </w:rPr>
              <w:t>10,251,111</w:t>
            </w:r>
          </w:p>
        </w:tc>
      </w:tr>
    </w:tbl>
    <w:p>
      <w:pPr>
        <w:spacing w:after="0" w:line="248" w:lineRule="exact"/>
        <w:rPr>
          <w:sz w:val="20"/>
          <w:szCs w:val="20"/>
          <w:color w:val="auto"/>
        </w:rPr>
      </w:pPr>
    </w:p>
    <w:p>
      <w:pPr>
        <w:ind w:left="580" w:right="140"/>
        <w:spacing w:after="0" w:line="268" w:lineRule="auto"/>
        <w:rPr>
          <w:sz w:val="20"/>
          <w:szCs w:val="20"/>
          <w:color w:val="auto"/>
        </w:rPr>
      </w:pPr>
      <w:r>
        <w:rPr>
          <w:rFonts w:ascii="Arial" w:cs="Arial" w:eastAsia="Arial" w:hAnsi="Arial"/>
          <w:sz w:val="18"/>
          <w:szCs w:val="18"/>
          <w:color w:val="auto"/>
        </w:rPr>
        <w:t>June 30, 2009 excludes 70,665 stock options and June 30, 2008 excludes 61,332 stock options from the calculation of weighted average common shares for diluted EPS because their effects were antidilutive.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580" w:right="40" w:hanging="572"/>
        <w:spacing w:after="0" w:line="302" w:lineRule="auto"/>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February 2009, we entered into two agreements whereby we agreed to sell our inventory and enter into a marketing relationship regarding the business of our Pharmaceutical segment, which provided pharmaceutical chemicals to retail pharmacies and small-scale pharmaceutical manufacturers. On May 22, 2009 the majority of the inventory was sold for cash. Including that date, we have sold inventory of approximately $1,700,000 which approximated its carrying value. The remaining inventory as of June 30, 2009, with a carrying value of approximately $94,000, is expected to be sold during fiscal</w:t>
      </w:r>
    </w:p>
    <w:p>
      <w:pPr>
        <w:spacing w:after="0" w:line="2" w:lineRule="exact"/>
        <w:rPr>
          <w:rFonts w:ascii="Arial" w:cs="Arial" w:eastAsia="Arial" w:hAnsi="Arial"/>
          <w:sz w:val="15"/>
          <w:szCs w:val="15"/>
          <w:color w:val="auto"/>
        </w:rPr>
      </w:pPr>
    </w:p>
    <w:p>
      <w:pPr>
        <w:ind w:left="580" w:right="120"/>
        <w:spacing w:after="0" w:line="292" w:lineRule="auto"/>
        <w:rPr>
          <w:rFonts w:ascii="Arial" w:cs="Arial" w:eastAsia="Arial" w:hAnsi="Arial"/>
          <w:sz w:val="15"/>
          <w:szCs w:val="15"/>
          <w:color w:val="auto"/>
        </w:rPr>
      </w:pPr>
      <w:r>
        <w:rPr>
          <w:rFonts w:ascii="Arial" w:cs="Arial" w:eastAsia="Arial" w:hAnsi="Arial"/>
          <w:sz w:val="16"/>
          <w:szCs w:val="16"/>
          <w:color w:val="auto"/>
        </w:rPr>
        <w:t>2010. The agreements provide for annual payments based on a percentage of gross profit on future sales up to a maximum of approximately $3,600,000. We have no significant obligations to fulfill under the agreements. Amounts received in the future in excess of approximately $1,800,000, the carrying value of our customer list and other assets, will be recorded as a gain on sale of discontinued operations in future periods. The results of the Pharmaceutical segment have been reported as discontinued operations for all periods presented. The Pharmaceutical segment inventories as of June 30, 2009 and March 29, 2009 have been classified as held for sale.</w:t>
      </w:r>
    </w:p>
    <w:p>
      <w:pPr>
        <w:spacing w:after="0" w:line="103" w:lineRule="exact"/>
        <w:rPr>
          <w:rFonts w:ascii="Arial" w:cs="Arial" w:eastAsia="Arial" w:hAnsi="Arial"/>
          <w:sz w:val="15"/>
          <w:szCs w:val="15"/>
          <w:color w:val="auto"/>
        </w:rPr>
      </w:pPr>
    </w:p>
    <w:p>
      <w:pPr>
        <w:ind w:left="580" w:hanging="572"/>
        <w:spacing w:after="0" w:line="285"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adopted SFAS 157, “Fair Value Measurements,” at the beginning of the first quarter of fiscal 2009 for financial assets and liabilities and the beginning of fiscal 2010 for nonfinancial assets and liabilities that are recognized or disclosed on a nonrecurring basis, and the adoption had no impact on our results of operations and financial condition. This statement defines fair value, establishes a consistent framework for measuring fair value, and expands disclosures on fair value measurements. This Statement applies to other accounting pronouncements that require or permit fair value measurements, the FASB having previously concluded in those accounting pronouncements that fair value is the relevant measurement attribute. SFAS 157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assumptions used to measure assets and liabilities at fair value. A financial asset or liability’s classification within the hierarchy is determined based on the lowest level of input that is significant to the fair value measurement. As of June 30, 2009, our financial assets that are measured at fair value on a recurring basis are Certificates of Deposits (CD’s). These CD’s have maturities ranging from three months to two years and are valued using Level 2 inputs. The CD’s are classified as investments in current assets and noncurrent assets on the Condensed Balance Sheets. As of June 30, 2009, the CD’s in current assets have a fair value of $10,087,000 with a gross unrealized loss of $39,000, and in noncurrent assets, the CD’s have a fair value of $9,791,000 with a gross unrealized loss of $85,000. We also have cash and cash equivalents, which include money market accounts. These money market accounts are valued using Level 1 inputs. The carrying value of the cash and cash equivalents accounts approximates fair value, as maturities are three months or less. We did not have any financial liability instruments subject to recurring fair value measurements as of June 30, 2009.</w:t>
      </w:r>
    </w:p>
    <w:p>
      <w:pPr>
        <w:spacing w:after="0" w:line="107" w:lineRule="exact"/>
        <w:rPr>
          <w:rFonts w:ascii="Arial" w:cs="Arial" w:eastAsia="Arial" w:hAnsi="Arial"/>
          <w:sz w:val="16"/>
          <w:szCs w:val="16"/>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Inventories at June 30, 2009 and March 29, 2009 consisted of the following:</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4"/>
              </w:rPr>
              <w:t>June 30, 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4"/>
              </w:rPr>
              <w:t>March 29,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20" w:type="dxa"/>
            <w:vAlign w:val="bottom"/>
          </w:tcPr>
          <w:p>
            <w:pPr>
              <w:spacing w:after="0"/>
              <w:rPr>
                <w:sz w:val="12"/>
                <w:szCs w:val="12"/>
                <w:color w:val="auto"/>
              </w:rPr>
            </w:pPr>
          </w:p>
        </w:tc>
        <w:tc>
          <w:tcPr>
            <w:tcW w:w="27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D6F3E8"/>
          </w:tcPr>
          <w:p>
            <w:pPr>
              <w:spacing w:after="0"/>
              <w:rPr>
                <w:sz w:val="20"/>
                <w:szCs w:val="20"/>
                <w:color w:val="auto"/>
              </w:rPr>
            </w:pPr>
            <w:r>
              <w:rPr>
                <w:rFonts w:ascii="Arial" w:cs="Arial" w:eastAsia="Arial" w:hAnsi="Arial"/>
                <w:sz w:val="18"/>
                <w:szCs w:val="18"/>
                <w:color w:val="auto"/>
              </w:rPr>
              <w:t>Finished goods (FIFO basis)</w:t>
            </w:r>
          </w:p>
        </w:tc>
        <w:tc>
          <w:tcPr>
            <w:tcW w:w="27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27,450,000</w:t>
            </w:r>
          </w:p>
        </w:tc>
        <w:tc>
          <w:tcPr>
            <w:tcW w:w="240" w:type="dxa"/>
            <w:vAlign w:val="bottom"/>
            <w:shd w:val="clear" w:color="auto" w:fill="D6F3E8"/>
          </w:tcPr>
          <w:p>
            <w:pPr>
              <w:spacing w:after="0"/>
              <w:rPr>
                <w:sz w:val="18"/>
                <w:szCs w:val="18"/>
                <w:color w:val="auto"/>
              </w:rPr>
            </w:pPr>
          </w:p>
        </w:tc>
        <w:tc>
          <w:tcPr>
            <w:tcW w:w="3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34,479,000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540" w:type="dxa"/>
            <w:vAlign w:val="bottom"/>
            <w:gridSpan w:val="2"/>
          </w:tcPr>
          <w:p>
            <w:pPr>
              <w:spacing w:after="0"/>
              <w:rPr>
                <w:sz w:val="20"/>
                <w:szCs w:val="20"/>
                <w:color w:val="auto"/>
              </w:rPr>
            </w:pPr>
            <w:r>
              <w:rPr>
                <w:rFonts w:ascii="Arial" w:cs="Arial" w:eastAsia="Arial" w:hAnsi="Arial"/>
                <w:sz w:val="18"/>
                <w:szCs w:val="18"/>
                <w:color w:val="auto"/>
              </w:rPr>
              <w:t>LIFO reserve</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(11,703,000)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(14,528,000)</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5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520" w:type="dxa"/>
            <w:vAlign w:val="bottom"/>
            <w:shd w:val="clear" w:color="auto" w:fill="D6F3E8"/>
          </w:tcPr>
          <w:p>
            <w:pPr>
              <w:spacing w:after="0"/>
              <w:rPr>
                <w:sz w:val="20"/>
                <w:szCs w:val="20"/>
                <w:color w:val="auto"/>
              </w:rPr>
            </w:pPr>
            <w:r>
              <w:rPr>
                <w:rFonts w:ascii="Arial" w:cs="Arial" w:eastAsia="Arial" w:hAnsi="Arial"/>
                <w:sz w:val="18"/>
                <w:szCs w:val="18"/>
                <w:color w:val="auto"/>
              </w:rPr>
              <w:t>Net inventory</w:t>
            </w:r>
          </w:p>
        </w:tc>
        <w:tc>
          <w:tcPr>
            <w:tcW w:w="27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15,747,000</w:t>
            </w:r>
          </w:p>
        </w:tc>
        <w:tc>
          <w:tcPr>
            <w:tcW w:w="240" w:type="dxa"/>
            <w:vAlign w:val="bottom"/>
            <w:shd w:val="clear" w:color="auto" w:fill="D6F3E8"/>
          </w:tcPr>
          <w:p>
            <w:pPr>
              <w:spacing w:after="0"/>
              <w:rPr>
                <w:sz w:val="20"/>
                <w:szCs w:val="20"/>
                <w:color w:val="auto"/>
              </w:rPr>
            </w:pPr>
          </w:p>
        </w:tc>
        <w:tc>
          <w:tcPr>
            <w:tcW w:w="3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19,951,000</w:t>
            </w: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D6F3E8"/>
            </w:tcBorders>
            <w:shd w:val="clear" w:color="auto" w:fill="D6F3E8"/>
          </w:tcPr>
          <w:p>
            <w:pPr>
              <w:spacing w:after="0" w:line="20" w:lineRule="exact"/>
              <w:rPr>
                <w:sz w:val="1"/>
                <w:szCs w:val="1"/>
                <w:color w:val="auto"/>
              </w:rPr>
            </w:pPr>
          </w:p>
        </w:tc>
        <w:tc>
          <w:tcPr>
            <w:tcW w:w="2560" w:type="dxa"/>
            <w:vAlign w:val="bottom"/>
            <w:tcBorders>
              <w:top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100"/>
        <w:spacing w:after="0" w:line="298" w:lineRule="auto"/>
        <w:rPr>
          <w:sz w:val="20"/>
          <w:szCs w:val="20"/>
          <w:color w:val="auto"/>
        </w:rPr>
      </w:pPr>
      <w:r>
        <w:rPr>
          <w:rFonts w:ascii="Arial" w:cs="Arial" w:eastAsia="Arial" w:hAnsi="Arial"/>
          <w:sz w:val="16"/>
          <w:szCs w:val="16"/>
          <w:color w:val="auto"/>
        </w:rPr>
        <w:t>The FIFO value of inventories accounted for under the LIFO method were $27,349,000 at June 30, 2009 and $34,323,000 at March 29, 2009. The remainder of the inventory was valued and accounted for under the FIFO method. We decreased the LIFO reserve by $2,825,000 in the three months ended June 30, 2009 and increased the LIFO reserve by $1,663,000 in the three months ended June 30, 2008 as a result of the changes in inventory costs and inventory product mix. The valuation of LIFO inventory for interim periods is based on our estimates of year-end inventory levels and costs.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580" w:right="60" w:hanging="572"/>
        <w:spacing w:after="0" w:line="259"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Intangible assets consist primarily of customer lists, trade secrets and non-compete agreements classified as finite life and trademarks and trade names classified as indefinite life, related to previous business acquisitions. A summary of our intangible assets as of June 30, 2009 and March 29, 2009 were as follows:</w:t>
      </w:r>
    </w:p>
    <w:p>
      <w:pPr>
        <w:spacing w:after="0" w:line="230"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June 30, 2009</w:t>
      </w:r>
    </w:p>
    <w:tbl>
      <w:tblPr>
        <w:tblLayout w:type="fixed"/>
        <w:tblInd w:w="5280" w:type="dxa"/>
        <w:tblCellMar>
          <w:top w:w="0" w:type="dxa"/>
          <w:left w:w="0" w:type="dxa"/>
          <w:bottom w:w="0" w:type="dxa"/>
          <w:right w:w="0" w:type="dxa"/>
        </w:tblCellMar>
      </w:tblPr>
      <w:tr>
        <w:trPr>
          <w:trHeight w:val="129"/>
        </w:trPr>
        <w:tc>
          <w:tcPr>
            <w:tcW w:w="1500" w:type="dxa"/>
            <w:vAlign w:val="bottom"/>
            <w:tcBorders>
              <w:top w:val="single" w:sz="8" w:color="auto"/>
            </w:tcBorders>
          </w:tcPr>
          <w:p>
            <w:pPr>
              <w:jc w:val="center"/>
              <w:ind w:right="92"/>
              <w:spacing w:after="0" w:line="129" w:lineRule="exact"/>
              <w:rPr>
                <w:sz w:val="20"/>
                <w:szCs w:val="20"/>
                <w:color w:val="auto"/>
              </w:rPr>
            </w:pPr>
            <w:r>
              <w:rPr>
                <w:rFonts w:ascii="Arial" w:cs="Arial" w:eastAsia="Arial" w:hAnsi="Arial"/>
                <w:sz w:val="14"/>
                <w:szCs w:val="14"/>
                <w:b w:val="1"/>
                <w:bCs w:val="1"/>
                <w:color w:val="auto"/>
                <w:w w:val="83"/>
              </w:rPr>
              <w:t>Gross</w:t>
            </w:r>
          </w:p>
        </w:tc>
        <w:tc>
          <w:tcPr>
            <w:tcW w:w="19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r>
      <w:tr>
        <w:trPr>
          <w:trHeight w:val="149"/>
        </w:trPr>
        <w:tc>
          <w:tcPr>
            <w:tcW w:w="15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Carrying</w:t>
            </w:r>
          </w:p>
        </w:tc>
        <w:tc>
          <w:tcPr>
            <w:tcW w:w="19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Accumulated</w:t>
            </w:r>
          </w:p>
        </w:tc>
        <w:tc>
          <w:tcPr>
            <w:tcW w:w="1440" w:type="dxa"/>
            <w:vAlign w:val="bottom"/>
          </w:tcPr>
          <w:p>
            <w:pPr>
              <w:spacing w:after="0"/>
              <w:rPr>
                <w:sz w:val="12"/>
                <w:szCs w:val="12"/>
                <w:color w:val="auto"/>
              </w:rPr>
            </w:pPr>
          </w:p>
        </w:tc>
      </w:tr>
      <w:tr>
        <w:trPr>
          <w:trHeight w:val="174"/>
        </w:trPr>
        <w:tc>
          <w:tcPr>
            <w:tcW w:w="1500" w:type="dxa"/>
            <w:vAlign w:val="bottom"/>
          </w:tcPr>
          <w:p>
            <w:pPr>
              <w:jc w:val="center"/>
              <w:ind w:right="92"/>
              <w:spacing w:after="0"/>
              <w:rPr>
                <w:sz w:val="20"/>
                <w:szCs w:val="20"/>
                <w:color w:val="auto"/>
              </w:rPr>
            </w:pPr>
            <w:r>
              <w:rPr>
                <w:rFonts w:ascii="Arial" w:cs="Arial" w:eastAsia="Arial" w:hAnsi="Arial"/>
                <w:sz w:val="14"/>
                <w:szCs w:val="14"/>
                <w:b w:val="1"/>
                <w:bCs w:val="1"/>
                <w:color w:val="auto"/>
                <w:w w:val="86"/>
              </w:rPr>
              <w:t>Amount</w:t>
            </w:r>
          </w:p>
        </w:tc>
        <w:tc>
          <w:tcPr>
            <w:tcW w:w="1980" w:type="dxa"/>
            <w:vAlign w:val="bottom"/>
          </w:tcPr>
          <w:p>
            <w:pPr>
              <w:ind w:left="560"/>
              <w:spacing w:after="0"/>
              <w:rPr>
                <w:sz w:val="20"/>
                <w:szCs w:val="20"/>
                <w:color w:val="auto"/>
              </w:rPr>
            </w:pPr>
            <w:r>
              <w:rPr>
                <w:rFonts w:ascii="Arial" w:cs="Arial" w:eastAsia="Arial" w:hAnsi="Arial"/>
                <w:sz w:val="14"/>
                <w:szCs w:val="14"/>
                <w:b w:val="1"/>
                <w:bCs w:val="1"/>
                <w:color w:val="auto"/>
              </w:rPr>
              <w:t>Amortization</w:t>
            </w:r>
          </w:p>
        </w:tc>
        <w:tc>
          <w:tcPr>
            <w:tcW w:w="1440" w:type="dxa"/>
            <w:vAlign w:val="bottom"/>
          </w:tcPr>
          <w:p>
            <w:pPr>
              <w:ind w:left="640"/>
              <w:spacing w:after="0"/>
              <w:rPr>
                <w:sz w:val="20"/>
                <w:szCs w:val="20"/>
                <w:color w:val="auto"/>
              </w:rPr>
            </w:pPr>
            <w:r>
              <w:rPr>
                <w:rFonts w:ascii="Arial" w:cs="Arial" w:eastAsia="Arial" w:hAnsi="Arial"/>
                <w:sz w:val="14"/>
                <w:szCs w:val="14"/>
                <w:b w:val="1"/>
                <w:bCs w:val="1"/>
                <w:color w:val="auto"/>
              </w:rPr>
              <w:t>Net</w:t>
            </w:r>
          </w:p>
        </w:tc>
      </w:tr>
    </w:tbl>
    <w:p>
      <w:pPr>
        <w:spacing w:after="0" w:line="127" w:lineRule="exact"/>
        <w:rPr>
          <w:sz w:val="20"/>
          <w:szCs w:val="20"/>
          <w:color w:val="auto"/>
        </w:rPr>
      </w:pPr>
    </w:p>
    <w:p>
      <w:pPr>
        <w:sectPr>
          <w:pgSz w:w="11900" w:h="16838" w:orient="portrait"/>
          <w:cols w:equalWidth="0" w:num="1">
            <w:col w:w="11420"/>
          </w:cols>
          <w:pgMar w:left="240" w:top="131" w:right="239" w:bottom="1440" w:gutter="0" w:footer="0" w:header="0"/>
        </w:sectPr>
      </w:pPr>
    </w:p>
    <w:p>
      <w:pPr>
        <w:ind w:left="1140"/>
        <w:spacing w:after="0"/>
        <w:rPr>
          <w:sz w:val="20"/>
          <w:szCs w:val="20"/>
          <w:color w:val="auto"/>
        </w:rPr>
      </w:pPr>
      <w:r>
        <w:rPr>
          <w:rFonts w:ascii="Arial" w:cs="Arial" w:eastAsia="Arial" w:hAnsi="Arial"/>
          <w:sz w:val="18"/>
          <w:szCs w:val="18"/>
          <w:color w:val="auto"/>
        </w:rPr>
        <w:t>Finite-life intangible assets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Indefinite-life intangible assets</w:t>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intangibles,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gridSpan w:val="2"/>
          </w:tcPr>
          <w:p>
            <w:pPr>
              <w:jc w:val="right"/>
              <w:ind w:right="111"/>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2"/>
              <w:spacing w:after="0"/>
              <w:rPr>
                <w:sz w:val="20"/>
                <w:szCs w:val="20"/>
                <w:color w:val="auto"/>
              </w:rPr>
            </w:pPr>
            <w:r>
              <w:rPr>
                <w:rFonts w:ascii="Arial" w:cs="Arial" w:eastAsia="Arial" w:hAnsi="Arial"/>
                <w:sz w:val="18"/>
                <w:szCs w:val="18"/>
                <w:color w:val="auto"/>
              </w:rPr>
              <w:t>6,565,000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2"/>
              <w:spacing w:after="0"/>
              <w:rPr>
                <w:sz w:val="20"/>
                <w:szCs w:val="20"/>
                <w:color w:val="auto"/>
              </w:rPr>
            </w:pPr>
            <w:r>
              <w:rPr>
                <w:rFonts w:ascii="Arial" w:cs="Arial" w:eastAsia="Arial" w:hAnsi="Arial"/>
                <w:sz w:val="18"/>
                <w:szCs w:val="18"/>
                <w:color w:val="auto"/>
              </w:rPr>
              <w:t>(2,686,000)</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3,879,000</w:t>
            </w: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color w:val="auto"/>
              </w:rPr>
              <w:t>1,227,000</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1,227,000</w:t>
            </w:r>
          </w:p>
        </w:tc>
      </w:tr>
      <w:tr>
        <w:trPr>
          <w:trHeight w:val="211"/>
        </w:trPr>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color w:val="auto"/>
              </w:rPr>
              <w:t>7,792,000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(2,686,000)</w:t>
            </w:r>
          </w:p>
        </w:tc>
        <w:tc>
          <w:tcPr>
            <w:tcW w:w="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5,106,000</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w w:val="96"/>
              </w:rPr>
              <w:t>March 29, 2009</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362"/>
              <w:spacing w:after="0" w:line="129" w:lineRule="exact"/>
              <w:rPr>
                <w:sz w:val="20"/>
                <w:szCs w:val="20"/>
                <w:color w:val="auto"/>
              </w:rPr>
            </w:pPr>
            <w:r>
              <w:rPr>
                <w:rFonts w:ascii="Arial" w:cs="Arial" w:eastAsia="Arial" w:hAnsi="Arial"/>
                <w:sz w:val="14"/>
                <w:szCs w:val="14"/>
                <w:b w:val="1"/>
                <w:bCs w:val="1"/>
                <w:color w:val="auto"/>
                <w:w w:val="83"/>
              </w:rPr>
              <w:t>Gross</w:t>
            </w: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3"/>
              </w:rPr>
              <w:t>Carrying</w:t>
            </w:r>
          </w:p>
        </w:tc>
        <w:tc>
          <w:tcPr>
            <w:tcW w:w="380" w:type="dxa"/>
            <w:vAlign w:val="bottom"/>
          </w:tcPr>
          <w:p>
            <w:pPr>
              <w:spacing w:after="0"/>
              <w:rPr>
                <w:sz w:val="12"/>
                <w:szCs w:val="12"/>
                <w:color w:val="auto"/>
              </w:rPr>
            </w:pPr>
          </w:p>
        </w:tc>
        <w:tc>
          <w:tcPr>
            <w:tcW w:w="1440" w:type="dxa"/>
            <w:vAlign w:val="bottom"/>
          </w:tcPr>
          <w:p>
            <w:pPr>
              <w:jc w:val="right"/>
              <w:ind w:right="462"/>
              <w:spacing w:after="0" w:line="149" w:lineRule="exact"/>
              <w:rPr>
                <w:sz w:val="20"/>
                <w:szCs w:val="20"/>
                <w:color w:val="auto"/>
              </w:rPr>
            </w:pPr>
            <w:r>
              <w:rPr>
                <w:rFonts w:ascii="Arial" w:cs="Arial" w:eastAsia="Arial" w:hAnsi="Arial"/>
                <w:sz w:val="14"/>
                <w:szCs w:val="14"/>
                <w:b w:val="1"/>
                <w:bCs w:val="1"/>
                <w:color w:val="auto"/>
              </w:rPr>
              <w:t>Accumulated</w:t>
            </w: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362"/>
              <w:spacing w:after="0"/>
              <w:rPr>
                <w:sz w:val="20"/>
                <w:szCs w:val="20"/>
                <w:color w:val="auto"/>
              </w:rPr>
            </w:pPr>
            <w:r>
              <w:rPr>
                <w:rFonts w:ascii="Arial" w:cs="Arial" w:eastAsia="Arial" w:hAnsi="Arial"/>
                <w:sz w:val="14"/>
                <w:szCs w:val="14"/>
                <w:b w:val="1"/>
                <w:bCs w:val="1"/>
                <w:color w:val="auto"/>
                <w:w w:val="86"/>
              </w:rPr>
              <w:t>Amount</w:t>
            </w:r>
          </w:p>
        </w:tc>
        <w:tc>
          <w:tcPr>
            <w:tcW w:w="380" w:type="dxa"/>
            <w:vAlign w:val="bottom"/>
          </w:tcPr>
          <w:p>
            <w:pPr>
              <w:spacing w:after="0"/>
              <w:rPr>
                <w:sz w:val="15"/>
                <w:szCs w:val="15"/>
                <w:color w:val="auto"/>
              </w:rPr>
            </w:pPr>
          </w:p>
        </w:tc>
        <w:tc>
          <w:tcPr>
            <w:tcW w:w="1440" w:type="dxa"/>
            <w:vAlign w:val="bottom"/>
          </w:tcPr>
          <w:p>
            <w:pPr>
              <w:jc w:val="right"/>
              <w:ind w:right="462"/>
              <w:spacing w:after="0"/>
              <w:rPr>
                <w:sz w:val="20"/>
                <w:szCs w:val="20"/>
                <w:color w:val="auto"/>
              </w:rPr>
            </w:pPr>
            <w:r>
              <w:rPr>
                <w:rFonts w:ascii="Arial" w:cs="Arial" w:eastAsia="Arial" w:hAnsi="Arial"/>
                <w:sz w:val="14"/>
                <w:szCs w:val="14"/>
                <w:b w:val="1"/>
                <w:bCs w:val="1"/>
                <w:color w:val="auto"/>
              </w:rPr>
              <w:t>Amortization</w:t>
            </w:r>
          </w:p>
        </w:tc>
        <w:tc>
          <w:tcPr>
            <w:tcW w:w="520" w:type="dxa"/>
            <w:vAlign w:val="bottom"/>
          </w:tcPr>
          <w:p>
            <w:pPr>
              <w:spacing w:after="0"/>
              <w:rPr>
                <w:sz w:val="15"/>
                <w:szCs w:val="15"/>
                <w:color w:val="auto"/>
              </w:rPr>
            </w:pPr>
          </w:p>
        </w:tc>
        <w:tc>
          <w:tcPr>
            <w:tcW w:w="1040" w:type="dxa"/>
            <w:vAlign w:val="bottom"/>
          </w:tcPr>
          <w:p>
            <w:pPr>
              <w:jc w:val="right"/>
              <w:ind w:right="517"/>
              <w:spacing w:after="0"/>
              <w:rPr>
                <w:sz w:val="20"/>
                <w:szCs w:val="20"/>
                <w:color w:val="auto"/>
              </w:rPr>
            </w:pPr>
            <w:r>
              <w:rPr>
                <w:rFonts w:ascii="Arial" w:cs="Arial" w:eastAsia="Arial" w:hAnsi="Arial"/>
                <w:sz w:val="14"/>
                <w:szCs w:val="14"/>
                <w:b w:val="1"/>
                <w:bCs w:val="1"/>
                <w:color w:val="auto"/>
              </w:rPr>
              <w:t>Net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-934085</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-650875</wp:posOffset>
            </wp:positionV>
            <wp:extent cx="579755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4560" w:space="720"/>
            <w:col w:w="6140"/>
          </w:cols>
          <w:pgMar w:left="240" w:top="131" w:right="23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Finite-life intangible assets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Indefinite-life intangible assets</w:t>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intangibles,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gridSpan w:val="2"/>
          </w:tcPr>
          <w:p>
            <w:pPr>
              <w:jc w:val="right"/>
              <w:ind w:right="231"/>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6,565,000</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(2,556,000)</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4,009,000</w:t>
            </w:r>
          </w:p>
        </w:tc>
      </w:tr>
      <w:tr>
        <w:trPr>
          <w:trHeight w:val="223"/>
        </w:trPr>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1,227,000</w:t>
            </w: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1,227,000</w:t>
            </w:r>
          </w:p>
        </w:tc>
      </w:tr>
      <w:tr>
        <w:trPr>
          <w:trHeight w:val="211"/>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7,792,000</w:t>
            </w: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(2,556,000)</w:t>
            </w: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5,236,000</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-445135</wp:posOffset>
            </wp:positionV>
            <wp:extent cx="57975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-162560</wp:posOffset>
            </wp:positionV>
            <wp:extent cx="579755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140"/>
          </w:cols>
          <w:pgMar w:left="240" w:top="131" w:right="239" w:bottom="1440" w:gutter="0" w:footer="0" w:header="0"/>
          <w:type w:val="continuous"/>
        </w:sectPr>
      </w:pPr>
    </w:p>
    <w:p>
      <w:pPr>
        <w:spacing w:after="0" w:line="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Goodwill in the amount of $1,204,000 is included in Goodwill and Intangible Assets at June 30, 2009 and March 29, 2009.</w:t>
      </w:r>
    </w:p>
    <w:p>
      <w:pPr>
        <w:spacing w:after="0" w:line="158" w:lineRule="exact"/>
        <w:rPr>
          <w:sz w:val="20"/>
          <w:szCs w:val="20"/>
          <w:color w:val="auto"/>
        </w:rPr>
      </w:pPr>
    </w:p>
    <w:p>
      <w:pPr>
        <w:ind w:left="580" w:right="80" w:hanging="572"/>
        <w:spacing w:after="0" w:line="25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follow SFAS No. 109, “Accounting for Income Taxes.” In the preparation of our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30" w:lineRule="exact"/>
        <w:rPr>
          <w:rFonts w:ascii="Arial" w:cs="Arial" w:eastAsia="Arial" w:hAnsi="Arial"/>
          <w:sz w:val="18"/>
          <w:szCs w:val="18"/>
          <w:color w:val="auto"/>
        </w:rPr>
      </w:pPr>
    </w:p>
    <w:p>
      <w:pPr>
        <w:ind w:left="580" w:right="40"/>
        <w:spacing w:after="0" w:line="259" w:lineRule="auto"/>
        <w:rPr>
          <w:rFonts w:ascii="Arial" w:cs="Arial" w:eastAsia="Arial" w:hAnsi="Arial"/>
          <w:sz w:val="18"/>
          <w:szCs w:val="18"/>
          <w:color w:val="auto"/>
        </w:rPr>
      </w:pPr>
      <w:r>
        <w:rPr>
          <w:rFonts w:ascii="Arial" w:cs="Arial" w:eastAsia="Arial" w:hAnsi="Arial"/>
          <w:sz w:val="18"/>
          <w:szCs w:val="18"/>
          <w:color w:val="auto"/>
        </w:rPr>
        <w:t>In accordance with FASB Interpretation (FIN) No. 48, “Accounting for Uncertainty in Income Taxes,” we recognize the effect of income tax positions only if those positions are more likely than not of being sustained. Changes in recognition or measurement are reflected in the period in which the change in judgment occurs.</w:t>
      </w:r>
    </w:p>
    <w:p>
      <w:pPr>
        <w:spacing w:after="0" w:line="126" w:lineRule="exact"/>
        <w:rPr>
          <w:rFonts w:ascii="Arial" w:cs="Arial" w:eastAsia="Arial" w:hAnsi="Arial"/>
          <w:sz w:val="18"/>
          <w:szCs w:val="18"/>
          <w:color w:val="auto"/>
        </w:rPr>
      </w:pPr>
    </w:p>
    <w:p>
      <w:pPr>
        <w:ind w:left="580" w:right="640"/>
        <w:spacing w:after="0" w:line="332" w:lineRule="auto"/>
        <w:rPr>
          <w:rFonts w:ascii="Arial" w:cs="Arial" w:eastAsia="Arial" w:hAnsi="Arial"/>
          <w:sz w:val="18"/>
          <w:szCs w:val="18"/>
          <w:color w:val="auto"/>
        </w:rPr>
      </w:pPr>
      <w:r>
        <w:rPr>
          <w:rFonts w:ascii="Arial" w:cs="Arial" w:eastAsia="Arial" w:hAnsi="Arial"/>
          <w:sz w:val="16"/>
          <w:szCs w:val="16"/>
          <w:color w:val="auto"/>
        </w:rPr>
        <w:t>We are subject to U.S. federal income tax as well as income tax of multiple state jurisdictions. The tax years beginning with 2005 remain open to examination by the Internal Revenue Service, and with few exceptions, state and local income tax jurisdictions.</w:t>
      </w:r>
    </w:p>
    <w:p>
      <w:pPr>
        <w:spacing w:after="0" w:line="71"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Components of accumulated other comprehensive loss, net of tax, were as follows: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June 30, 2009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March 29, 2009</w:t>
            </w:r>
          </w:p>
        </w:tc>
        <w:tc>
          <w:tcPr>
            <w:tcW w:w="10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2320" w:type="dxa"/>
            <w:vAlign w:val="bottom"/>
            <w:gridSpan w:val="2"/>
          </w:tcPr>
          <w:p>
            <w:pPr>
              <w:spacing w:after="0"/>
              <w:rPr>
                <w:sz w:val="12"/>
                <w:szCs w:val="12"/>
                <w:color w:val="auto"/>
              </w:rPr>
            </w:pPr>
          </w:p>
        </w:tc>
        <w:tc>
          <w:tcPr>
            <w:tcW w:w="1460" w:type="dxa"/>
            <w:vAlign w:val="bottom"/>
            <w:gridSpan w:val="2"/>
          </w:tcPr>
          <w:p>
            <w:pPr>
              <w:spacing w:after="0"/>
              <w:rPr>
                <w:sz w:val="12"/>
                <w:szCs w:val="12"/>
                <w:color w:val="auto"/>
              </w:rPr>
            </w:pPr>
          </w:p>
        </w:tc>
        <w:tc>
          <w:tcPr>
            <w:tcW w:w="320" w:type="dxa"/>
            <w:vAlign w:val="bottom"/>
            <w:gridSpan w:val="2"/>
          </w:tcPr>
          <w:p>
            <w:pPr>
              <w:spacing w:after="0"/>
              <w:rPr>
                <w:sz w:val="12"/>
                <w:szCs w:val="12"/>
                <w:color w:val="auto"/>
              </w:rPr>
            </w:pPr>
          </w:p>
        </w:tc>
        <w:tc>
          <w:tcPr>
            <w:tcW w:w="1400" w:type="dxa"/>
            <w:vAlign w:val="bottom"/>
            <w:gridSpan w:val="2"/>
          </w:tcPr>
          <w:p>
            <w:pPr>
              <w:spacing w:after="0"/>
              <w:rPr>
                <w:sz w:val="12"/>
                <w:szCs w:val="12"/>
                <w:color w:val="auto"/>
              </w:rPr>
            </w:pPr>
          </w:p>
        </w:tc>
      </w:tr>
      <w:tr>
        <w:trPr>
          <w:trHeight w:val="216"/>
        </w:trPr>
        <w:tc>
          <w:tcPr>
            <w:tcW w:w="5340" w:type="dxa"/>
            <w:vAlign w:val="bottom"/>
            <w:shd w:val="clear" w:color="auto" w:fill="D6F3E8"/>
          </w:tcPr>
          <w:p>
            <w:pPr>
              <w:spacing w:after="0"/>
              <w:rPr>
                <w:sz w:val="20"/>
                <w:szCs w:val="20"/>
                <w:color w:val="auto"/>
              </w:rPr>
            </w:pPr>
            <w:r>
              <w:rPr>
                <w:rFonts w:ascii="Arial" w:cs="Arial" w:eastAsia="Arial" w:hAnsi="Arial"/>
                <w:sz w:val="18"/>
                <w:szCs w:val="18"/>
                <w:color w:val="auto"/>
              </w:rPr>
              <w:t>Available-for-sale investments unrealized loss</w:t>
            </w:r>
          </w:p>
        </w:tc>
        <w:tc>
          <w:tcPr>
            <w:tcW w:w="232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6F3E8"/>
          </w:tcPr>
          <w:p>
            <w:pPr>
              <w:ind w:left="720"/>
              <w:spacing w:after="0"/>
              <w:rPr>
                <w:sz w:val="20"/>
                <w:szCs w:val="20"/>
                <w:color w:val="auto"/>
              </w:rPr>
            </w:pPr>
            <w:r>
              <w:rPr>
                <w:rFonts w:ascii="Arial" w:cs="Arial" w:eastAsia="Arial" w:hAnsi="Arial"/>
                <w:sz w:val="18"/>
                <w:szCs w:val="18"/>
                <w:color w:val="auto"/>
              </w:rPr>
              <w:t>(75,000)</w:t>
            </w:r>
          </w:p>
        </w:tc>
        <w:tc>
          <w:tcPr>
            <w:tcW w:w="320" w:type="dxa"/>
            <w:vAlign w:val="bottom"/>
            <w:gridSpan w:val="2"/>
            <w:shd w:val="clear" w:color="auto" w:fill="D6F3E8"/>
          </w:tcPr>
          <w:p>
            <w:pPr>
              <w:jc w:val="right"/>
              <w:ind w:right="23"/>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Post-retirement plan liability adjustments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50"/>
        </w:trPr>
        <w:tc>
          <w:tcPr>
            <w:tcW w:w="53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Accumulated other comprehensive loss</w:t>
            </w:r>
          </w:p>
        </w:tc>
        <w:tc>
          <w:tcPr>
            <w:tcW w:w="2100" w:type="dxa"/>
            <w:vAlign w:val="bottom"/>
            <w:tcBorders>
              <w:bottom w:val="single" w:sz="8" w:color="D6F3E8"/>
            </w:tcBorders>
            <w:shd w:val="clear" w:color="auto" w:fill="D6F3E8"/>
          </w:tcPr>
          <w:p>
            <w:pPr>
              <w:spacing w:after="0"/>
              <w:rPr>
                <w:sz w:val="21"/>
                <w:szCs w:val="21"/>
                <w:color w:val="auto"/>
              </w:rPr>
            </w:pPr>
          </w:p>
        </w:tc>
        <w:tc>
          <w:tcPr>
            <w:tcW w:w="220" w:type="dxa"/>
            <w:vAlign w:val="bottom"/>
            <w:tcBorders>
              <w:top w:val="single" w:sz="8" w:color="auto"/>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D6F3E8"/>
          </w:tcPr>
          <w:p>
            <w:pPr>
              <w:ind w:left="720"/>
              <w:spacing w:after="0"/>
              <w:rPr>
                <w:sz w:val="20"/>
                <w:szCs w:val="20"/>
                <w:color w:val="auto"/>
              </w:rPr>
            </w:pPr>
            <w:r>
              <w:rPr>
                <w:rFonts w:ascii="Arial" w:cs="Arial" w:eastAsia="Arial" w:hAnsi="Arial"/>
                <w:sz w:val="18"/>
                <w:szCs w:val="18"/>
                <w:color w:val="auto"/>
                <w:w w:val="77"/>
              </w:rPr>
              <w:t>(85,000)</w:t>
            </w:r>
          </w:p>
        </w:tc>
        <w:tc>
          <w:tcPr>
            <w:tcW w:w="20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top w:val="single" w:sz="8" w:color="auto"/>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D6F3E8"/>
            </w:tcBorders>
            <w:shd w:val="clear" w:color="auto" w:fill="D6F3E8"/>
          </w:tcPr>
          <w:p>
            <w:pPr>
              <w:spacing w:after="0"/>
              <w:rPr>
                <w:sz w:val="21"/>
                <w:szCs w:val="21"/>
                <w:color w:val="auto"/>
              </w:rPr>
            </w:pPr>
          </w:p>
        </w:tc>
      </w:tr>
    </w:tbl>
    <w:p>
      <w:pPr>
        <w:spacing w:after="0" w:line="248" w:lineRule="exact"/>
        <w:rPr>
          <w:sz w:val="20"/>
          <w:szCs w:val="20"/>
          <w:color w:val="auto"/>
        </w:rPr>
      </w:pPr>
    </w:p>
    <w:p>
      <w:pPr>
        <w:ind w:left="580" w:right="640" w:hanging="572"/>
        <w:spacing w:after="0" w:line="26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party from time to time in various legal proceedings arising in the ordinary course of our business. None of the pending proceedings are expected to have a material effect on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580" w:right="80" w:hanging="572"/>
        <w:spacing w:after="0" w:line="25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approved a long-term incentive equity compensation arrangement for our executive officers during the first quarter of fiscal 2009. This long-term incentive arrangement provides for the grant of nonqualified stock options that vest at the end of a three-year period and expire no later than 10 years after the grant date. During fiscal 2010 and 2009, we issued 70,665 and 61,332 stock options, respectively, to our executive officers under this arrangement. We used the Black-Scholes valuation model to estimate the following fair value of the options at grant date based on the following assumptions:</w:t>
      </w:r>
    </w:p>
    <w:p>
      <w:pPr>
        <w:spacing w:after="0" w:line="233"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500" w:type="dxa"/>
            <w:vAlign w:val="bottom"/>
          </w:tcPr>
          <w:p>
            <w:pPr>
              <w:jc w:val="right"/>
              <w:ind w:right="356"/>
              <w:spacing w:after="0"/>
              <w:rPr>
                <w:sz w:val="20"/>
                <w:szCs w:val="20"/>
                <w:color w:val="auto"/>
              </w:rPr>
            </w:pPr>
            <w:r>
              <w:rPr>
                <w:rFonts w:ascii="Arial" w:cs="Arial" w:eastAsia="Arial" w:hAnsi="Arial"/>
                <w:sz w:val="14"/>
                <w:szCs w:val="14"/>
                <w:b w:val="1"/>
                <w:bCs w:val="1"/>
                <w:color w:val="auto"/>
              </w:rPr>
              <w:t>June 10, 2009 issuance:</w:t>
            </w:r>
          </w:p>
        </w:tc>
        <w:tc>
          <w:tcPr>
            <w:tcW w:w="2140" w:type="dxa"/>
            <w:vAlign w:val="bottom"/>
          </w:tcPr>
          <w:p>
            <w:pPr>
              <w:jc w:val="right"/>
              <w:ind w:right="296"/>
              <w:spacing w:after="0"/>
              <w:rPr>
                <w:sz w:val="20"/>
                <w:szCs w:val="20"/>
                <w:color w:val="auto"/>
              </w:rPr>
            </w:pPr>
            <w:r>
              <w:rPr>
                <w:rFonts w:ascii="Arial" w:cs="Arial" w:eastAsia="Arial" w:hAnsi="Arial"/>
                <w:sz w:val="14"/>
                <w:szCs w:val="14"/>
                <w:b w:val="1"/>
                <w:bCs w:val="1"/>
                <w:color w:val="auto"/>
              </w:rPr>
              <w:t>May 13, 2008 issuance:</w:t>
            </w:r>
          </w:p>
        </w:tc>
      </w:tr>
      <w:tr>
        <w:trPr>
          <w:trHeight w:val="136"/>
        </w:trPr>
        <w:tc>
          <w:tcPr>
            <w:tcW w:w="24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140" w:type="dxa"/>
            <w:vAlign w:val="bottom"/>
          </w:tcPr>
          <w:p>
            <w:pPr>
              <w:spacing w:after="0"/>
              <w:rPr>
                <w:sz w:val="11"/>
                <w:szCs w:val="11"/>
                <w:color w:val="auto"/>
              </w:rPr>
            </w:pPr>
          </w:p>
        </w:tc>
      </w:tr>
      <w:tr>
        <w:trPr>
          <w:trHeight w:val="216"/>
        </w:trPr>
        <w:tc>
          <w:tcPr>
            <w:tcW w:w="2420" w:type="dxa"/>
            <w:vAlign w:val="bottom"/>
            <w:shd w:val="clear" w:color="auto" w:fill="D6F3E8"/>
          </w:tcPr>
          <w:p>
            <w:pPr>
              <w:spacing w:after="0"/>
              <w:rPr>
                <w:sz w:val="20"/>
                <w:szCs w:val="20"/>
                <w:color w:val="auto"/>
              </w:rPr>
            </w:pPr>
            <w:r>
              <w:rPr>
                <w:rFonts w:ascii="Arial" w:cs="Arial" w:eastAsia="Arial" w:hAnsi="Arial"/>
                <w:sz w:val="18"/>
                <w:szCs w:val="18"/>
                <w:color w:val="auto"/>
              </w:rPr>
              <w:t>Dividend Yield:</w:t>
            </w:r>
          </w:p>
        </w:tc>
        <w:tc>
          <w:tcPr>
            <w:tcW w:w="2500" w:type="dxa"/>
            <w:vAlign w:val="bottom"/>
            <w:shd w:val="clear" w:color="auto" w:fill="D6F3E8"/>
          </w:tcPr>
          <w:p>
            <w:pPr>
              <w:jc w:val="right"/>
              <w:ind w:right="856"/>
              <w:spacing w:after="0"/>
              <w:rPr>
                <w:sz w:val="20"/>
                <w:szCs w:val="20"/>
                <w:color w:val="auto"/>
              </w:rPr>
            </w:pPr>
            <w:r>
              <w:rPr>
                <w:rFonts w:ascii="Arial" w:cs="Arial" w:eastAsia="Arial" w:hAnsi="Arial"/>
                <w:sz w:val="18"/>
                <w:szCs w:val="18"/>
                <w:color w:val="auto"/>
              </w:rPr>
              <w:t>2.5%</w:t>
            </w:r>
          </w:p>
        </w:tc>
        <w:tc>
          <w:tcPr>
            <w:tcW w:w="2140" w:type="dxa"/>
            <w:vAlign w:val="bottom"/>
            <w:shd w:val="clear" w:color="auto" w:fill="D6F3E8"/>
          </w:tcPr>
          <w:p>
            <w:pPr>
              <w:jc w:val="right"/>
              <w:ind w:right="656"/>
              <w:spacing w:after="0"/>
              <w:rPr>
                <w:sz w:val="20"/>
                <w:szCs w:val="20"/>
                <w:color w:val="auto"/>
              </w:rPr>
            </w:pPr>
            <w:r>
              <w:rPr>
                <w:rFonts w:ascii="Arial" w:cs="Arial" w:eastAsia="Arial" w:hAnsi="Arial"/>
                <w:sz w:val="18"/>
                <w:szCs w:val="18"/>
                <w:color w:val="auto"/>
              </w:rPr>
              <w:t>3.2%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Volatility:</w:t>
            </w:r>
          </w:p>
        </w:tc>
        <w:tc>
          <w:tcPr>
            <w:tcW w:w="2500" w:type="dxa"/>
            <w:vAlign w:val="bottom"/>
          </w:tcPr>
          <w:p>
            <w:pPr>
              <w:jc w:val="right"/>
              <w:ind w:right="856"/>
              <w:spacing w:after="0"/>
              <w:rPr>
                <w:sz w:val="20"/>
                <w:szCs w:val="20"/>
                <w:color w:val="auto"/>
              </w:rPr>
            </w:pPr>
            <w:r>
              <w:rPr>
                <w:rFonts w:ascii="Arial" w:cs="Arial" w:eastAsia="Arial" w:hAnsi="Arial"/>
                <w:sz w:val="18"/>
                <w:szCs w:val="18"/>
                <w:color w:val="auto"/>
              </w:rPr>
              <w:t>31.4%</w:t>
            </w:r>
          </w:p>
        </w:tc>
        <w:tc>
          <w:tcPr>
            <w:tcW w:w="2140" w:type="dxa"/>
            <w:vAlign w:val="bottom"/>
          </w:tcPr>
          <w:p>
            <w:pPr>
              <w:jc w:val="right"/>
              <w:ind w:right="656"/>
              <w:spacing w:after="0"/>
              <w:rPr>
                <w:sz w:val="20"/>
                <w:szCs w:val="20"/>
                <w:color w:val="auto"/>
              </w:rPr>
            </w:pPr>
            <w:r>
              <w:rPr>
                <w:rFonts w:ascii="Arial" w:cs="Arial" w:eastAsia="Arial" w:hAnsi="Arial"/>
                <w:sz w:val="18"/>
                <w:szCs w:val="18"/>
                <w:color w:val="auto"/>
              </w:rPr>
              <w:t>28.0%</w:t>
            </w:r>
          </w:p>
        </w:tc>
      </w:tr>
      <w:tr>
        <w:trPr>
          <w:trHeight w:val="216"/>
        </w:trPr>
        <w:tc>
          <w:tcPr>
            <w:tcW w:w="2420" w:type="dxa"/>
            <w:vAlign w:val="bottom"/>
            <w:shd w:val="clear" w:color="auto" w:fill="D6F3E8"/>
          </w:tcPr>
          <w:p>
            <w:pPr>
              <w:spacing w:after="0"/>
              <w:rPr>
                <w:sz w:val="20"/>
                <w:szCs w:val="20"/>
                <w:color w:val="auto"/>
              </w:rPr>
            </w:pPr>
            <w:r>
              <w:rPr>
                <w:rFonts w:ascii="Arial" w:cs="Arial" w:eastAsia="Arial" w:hAnsi="Arial"/>
                <w:sz w:val="18"/>
                <w:szCs w:val="18"/>
                <w:color w:val="auto"/>
              </w:rPr>
              <w:t>Risk-Free Interest Rate:</w:t>
            </w:r>
          </w:p>
        </w:tc>
        <w:tc>
          <w:tcPr>
            <w:tcW w:w="2500" w:type="dxa"/>
            <w:vAlign w:val="bottom"/>
            <w:shd w:val="clear" w:color="auto" w:fill="D6F3E8"/>
          </w:tcPr>
          <w:p>
            <w:pPr>
              <w:jc w:val="right"/>
              <w:ind w:right="856"/>
              <w:spacing w:after="0"/>
              <w:rPr>
                <w:sz w:val="20"/>
                <w:szCs w:val="20"/>
                <w:color w:val="auto"/>
              </w:rPr>
            </w:pPr>
            <w:r>
              <w:rPr>
                <w:rFonts w:ascii="Arial" w:cs="Arial" w:eastAsia="Arial" w:hAnsi="Arial"/>
                <w:sz w:val="18"/>
                <w:szCs w:val="18"/>
                <w:color w:val="auto"/>
              </w:rPr>
              <w:t>2.1%</w:t>
            </w:r>
          </w:p>
        </w:tc>
        <w:tc>
          <w:tcPr>
            <w:tcW w:w="2140" w:type="dxa"/>
            <w:vAlign w:val="bottom"/>
            <w:shd w:val="clear" w:color="auto" w:fill="D6F3E8"/>
          </w:tcPr>
          <w:p>
            <w:pPr>
              <w:jc w:val="right"/>
              <w:ind w:right="656"/>
              <w:spacing w:after="0"/>
              <w:rPr>
                <w:sz w:val="20"/>
                <w:szCs w:val="20"/>
                <w:color w:val="auto"/>
              </w:rPr>
            </w:pPr>
            <w:r>
              <w:rPr>
                <w:rFonts w:ascii="Arial" w:cs="Arial" w:eastAsia="Arial" w:hAnsi="Arial"/>
                <w:sz w:val="18"/>
                <w:szCs w:val="18"/>
                <w:color w:val="auto"/>
              </w:rPr>
              <w:t>3.0%</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500" w:type="dxa"/>
            <w:vAlign w:val="bottom"/>
          </w:tcPr>
          <w:p>
            <w:pPr>
              <w:jc w:val="right"/>
              <w:ind w:right="1116"/>
              <w:spacing w:after="0"/>
              <w:rPr>
                <w:sz w:val="20"/>
                <w:szCs w:val="20"/>
                <w:color w:val="auto"/>
              </w:rPr>
            </w:pPr>
            <w:r>
              <w:rPr>
                <w:rFonts w:ascii="Arial" w:cs="Arial" w:eastAsia="Arial" w:hAnsi="Arial"/>
                <w:sz w:val="18"/>
                <w:szCs w:val="18"/>
                <w:color w:val="auto"/>
              </w:rPr>
              <w:t>4</w:t>
            </w:r>
          </w:p>
        </w:tc>
        <w:tc>
          <w:tcPr>
            <w:tcW w:w="2140" w:type="dxa"/>
            <w:vAlign w:val="bottom"/>
          </w:tcPr>
          <w:p>
            <w:pPr>
              <w:jc w:val="right"/>
              <w:ind w:right="936"/>
              <w:spacing w:after="0"/>
              <w:rPr>
                <w:sz w:val="20"/>
                <w:szCs w:val="20"/>
                <w:color w:val="auto"/>
              </w:rPr>
            </w:pPr>
            <w:r>
              <w:rPr>
                <w:rFonts w:ascii="Arial" w:cs="Arial" w:eastAsia="Arial" w:hAnsi="Arial"/>
                <w:sz w:val="18"/>
                <w:szCs w:val="18"/>
                <w:color w:val="auto"/>
              </w:rPr>
              <w:t>4</w:t>
            </w:r>
          </w:p>
        </w:tc>
      </w:tr>
      <w:tr>
        <w:trPr>
          <w:trHeight w:val="216"/>
        </w:trPr>
        <w:tc>
          <w:tcPr>
            <w:tcW w:w="2420" w:type="dxa"/>
            <w:vAlign w:val="bottom"/>
            <w:shd w:val="clear" w:color="auto" w:fill="D6F3E8"/>
          </w:tcPr>
          <w:p>
            <w:pPr>
              <w:spacing w:after="0"/>
              <w:rPr>
                <w:sz w:val="20"/>
                <w:szCs w:val="20"/>
                <w:color w:val="auto"/>
              </w:rPr>
            </w:pPr>
            <w:r>
              <w:rPr>
                <w:rFonts w:ascii="Arial" w:cs="Arial" w:eastAsia="Arial" w:hAnsi="Arial"/>
                <w:sz w:val="18"/>
                <w:szCs w:val="18"/>
                <w:color w:val="auto"/>
              </w:rPr>
              <w:t>Grant Date Fair Value:</w:t>
            </w:r>
          </w:p>
        </w:tc>
        <w:tc>
          <w:tcPr>
            <w:tcW w:w="2500" w:type="dxa"/>
            <w:vAlign w:val="bottom"/>
            <w:shd w:val="clear" w:color="auto" w:fill="D6F3E8"/>
          </w:tcPr>
          <w:p>
            <w:pPr>
              <w:jc w:val="right"/>
              <w:ind w:right="1016"/>
              <w:spacing w:after="0"/>
              <w:rPr>
                <w:sz w:val="20"/>
                <w:szCs w:val="20"/>
                <w:color w:val="auto"/>
              </w:rPr>
            </w:pPr>
            <w:r>
              <w:rPr>
                <w:rFonts w:ascii="Arial" w:cs="Arial" w:eastAsia="Arial" w:hAnsi="Arial"/>
                <w:sz w:val="18"/>
                <w:szCs w:val="18"/>
                <w:color w:val="auto"/>
              </w:rPr>
              <w:t>$  4.33</w:t>
            </w:r>
          </w:p>
        </w:tc>
        <w:tc>
          <w:tcPr>
            <w:tcW w:w="2140" w:type="dxa"/>
            <w:vAlign w:val="bottom"/>
            <w:shd w:val="clear" w:color="auto" w:fill="D6F3E8"/>
          </w:tcPr>
          <w:p>
            <w:pPr>
              <w:jc w:val="right"/>
              <w:ind w:right="836"/>
              <w:spacing w:after="0"/>
              <w:rPr>
                <w:sz w:val="20"/>
                <w:szCs w:val="20"/>
                <w:color w:val="auto"/>
              </w:rPr>
            </w:pPr>
            <w:r>
              <w:rPr>
                <w:rFonts w:ascii="Arial" w:cs="Arial" w:eastAsia="Arial" w:hAnsi="Arial"/>
                <w:sz w:val="18"/>
                <w:szCs w:val="18"/>
                <w:color w:val="auto"/>
              </w:rPr>
              <w:t>$  2.95</w:t>
            </w:r>
          </w:p>
        </w:tc>
      </w:tr>
    </w:tbl>
    <w:p>
      <w:pPr>
        <w:spacing w:after="0" w:line="248" w:lineRule="exact"/>
        <w:rPr>
          <w:sz w:val="20"/>
          <w:szCs w:val="20"/>
          <w:color w:val="auto"/>
        </w:rPr>
      </w:pPr>
    </w:p>
    <w:p>
      <w:pPr>
        <w:ind w:left="580" w:right="100"/>
        <w:spacing w:after="0" w:line="256" w:lineRule="auto"/>
        <w:rPr>
          <w:sz w:val="20"/>
          <w:szCs w:val="20"/>
          <w:color w:val="auto"/>
        </w:rPr>
      </w:pPr>
      <w:r>
        <w:rPr>
          <w:rFonts w:ascii="Arial" w:cs="Arial" w:eastAsia="Arial" w:hAnsi="Arial"/>
          <w:sz w:val="18"/>
          <w:szCs w:val="18"/>
          <w:color w:val="auto"/>
        </w:rPr>
        <w:t>Volatility was calculated using the past four years of historical stock prices of our common stock. The expected life is estimated based on expected future trends and the terms and vesting periods of the options granted. The risk-free interest rate is an interpolation of the relevant U.S. Treasury Bond Rate as of the grant date. With respect to these awards, we recorded compensation expense of approximately $21,000 and $8,000, respectively for the three months ended June 30, 2009 and June 30, 2008.</w:t>
      </w:r>
    </w:p>
    <w:p>
      <w:pPr>
        <w:spacing w:after="0" w:line="130" w:lineRule="exact"/>
        <w:rPr>
          <w:sz w:val="20"/>
          <w:szCs w:val="20"/>
          <w:color w:val="auto"/>
        </w:rPr>
      </w:pPr>
    </w:p>
    <w:p>
      <w:pPr>
        <w:ind w:left="580" w:right="60"/>
        <w:spacing w:after="0" w:line="290" w:lineRule="auto"/>
        <w:rPr>
          <w:sz w:val="20"/>
          <w:szCs w:val="20"/>
          <w:color w:val="auto"/>
        </w:rPr>
      </w:pPr>
      <w:r>
        <w:rPr>
          <w:rFonts w:ascii="Arial" w:cs="Arial" w:eastAsia="Arial" w:hAnsi="Arial"/>
          <w:sz w:val="16"/>
          <w:szCs w:val="16"/>
          <w:color w:val="auto"/>
        </w:rPr>
        <w:t>Our Board of Directors approved a performance-based equity compensation arrangement for our executive officers during the first quarter of fiscal 2009. The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after our final financial information becomes available after the applicable fiscal year and will be between 0 shares and 26,500 shares in the aggregate. The restricted shares issued will fully vest two years after the last day of the fiscal year on which the performance is based. In accordance with SFAS No. 123R “Share-Based Payment,” we are recording the compensation expense for the outstanding performance share units and then-converted restricted stock over the life of the awards.</w:t>
      </w:r>
    </w:p>
    <w:p>
      <w:pPr>
        <w:spacing w:after="0" w:line="105" w:lineRule="exact"/>
        <w:rPr>
          <w:sz w:val="20"/>
          <w:szCs w:val="20"/>
          <w:color w:val="auto"/>
        </w:rPr>
      </w:pPr>
    </w:p>
    <w:p>
      <w:pPr>
        <w:ind w:left="580" w:right="60"/>
        <w:spacing w:after="0" w:line="290" w:lineRule="auto"/>
        <w:rPr>
          <w:sz w:val="20"/>
          <w:szCs w:val="20"/>
          <w:color w:val="auto"/>
        </w:rPr>
      </w:pPr>
      <w:r>
        <w:rPr>
          <w:rFonts w:ascii="Arial" w:cs="Arial" w:eastAsia="Arial" w:hAnsi="Arial"/>
          <w:sz w:val="16"/>
          <w:szCs w:val="16"/>
          <w:color w:val="auto"/>
        </w:rPr>
        <w:t>On June 10, 2009 and May 13, 2008, performance-based restricted stock units were awarded to our executive officers under this arrangement. The performance-based restricted stock units granted on May 13, 2008 resulted in the issuance of 23,000 shares of restricted stock to our executive officers on June 10, 2009. We recorded compensation expense of approximately $107,000 and $29,000, respectively, for the three months ended June 30, 2009 and June 30, 2008 related to the shares issued for fiscal 2009 and the potential issuance of shares for fiscal 2010. 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compensation expense is recorded over the remaining vesting period using the award date closing price, which was $19.90 per share on June 10, 2009.</w:t>
      </w:r>
    </w:p>
    <w:p>
      <w:pPr>
        <w:spacing w:after="0" w:line="105"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color w:val="auto"/>
        </w:rPr>
        <w:t>As part of their retainer, the non-employee Board of Directors receives restricted stock for their Board services. The restricted stock awards are expensed over the requisite vesting period, which begins on the date of issuance and ends on the date of the next Annual Meeting of Shareholders, based on the market value on the date of grant. The following represents the grants for the Board’s fiscal 2009 and 2008 services and the compensation expense for the three months ending June 30, 2009 and June 30,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Grant Date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42"/>
              <w:spacing w:after="0"/>
              <w:rPr>
                <w:sz w:val="20"/>
                <w:szCs w:val="20"/>
                <w:color w:val="auto"/>
              </w:rPr>
            </w:pPr>
            <w:r>
              <w:rPr>
                <w:rFonts w:ascii="Arial" w:cs="Arial" w:eastAsia="Arial" w:hAnsi="Arial"/>
                <w:sz w:val="14"/>
                <w:szCs w:val="14"/>
                <w:b w:val="1"/>
                <w:bCs w:val="1"/>
                <w:color w:val="auto"/>
                <w:w w:val="85"/>
              </w:rPr>
              <w:t>June 30, 2009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 2008</w:t>
            </w:r>
          </w:p>
        </w:tc>
        <w:tc>
          <w:tcPr>
            <w:tcW w:w="1180" w:type="dxa"/>
            <w:vAlign w:val="bottom"/>
          </w:tcPr>
          <w:p>
            <w:pPr>
              <w:spacing w:after="0"/>
              <w:rPr>
                <w:sz w:val="14"/>
                <w:szCs w:val="14"/>
                <w:color w:val="auto"/>
              </w:rPr>
            </w:pPr>
          </w:p>
        </w:tc>
      </w:tr>
      <w:tr>
        <w:trPr>
          <w:trHeight w:val="149"/>
        </w:trPr>
        <w:tc>
          <w:tcPr>
            <w:tcW w:w="6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9"/>
              </w:rPr>
              <w:t>Fair 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80" w:type="dxa"/>
            <w:vAlign w:val="bottom"/>
          </w:tcPr>
          <w:p>
            <w:pPr>
              <w:spacing w:after="0"/>
              <w:rPr>
                <w:sz w:val="12"/>
                <w:szCs w:val="12"/>
                <w:color w:val="auto"/>
              </w:rPr>
            </w:pPr>
          </w:p>
        </w:tc>
      </w:tr>
      <w:tr>
        <w:trPr>
          <w:trHeight w:val="161"/>
        </w:trPr>
        <w:tc>
          <w:tcPr>
            <w:tcW w:w="640" w:type="dxa"/>
            <w:vAlign w:val="bottom"/>
          </w:tcPr>
          <w:p>
            <w:pPr>
              <w:spacing w:after="0"/>
              <w:rPr>
                <w:sz w:val="14"/>
                <w:szCs w:val="14"/>
                <w:color w:val="auto"/>
              </w:rPr>
            </w:pPr>
          </w:p>
        </w:tc>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Grant Date</w:t>
            </w:r>
          </w:p>
        </w:tc>
        <w:tc>
          <w:tcPr>
            <w:tcW w:w="300" w:type="dxa"/>
            <w:vAlign w:val="bottom"/>
          </w:tcPr>
          <w:p>
            <w:pPr>
              <w:spacing w:after="0"/>
              <w:rPr>
                <w:sz w:val="14"/>
                <w:szCs w:val="14"/>
                <w:color w:val="auto"/>
              </w:rPr>
            </w:pPr>
          </w:p>
        </w:tc>
        <w:tc>
          <w:tcPr>
            <w:tcW w:w="14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Awarded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5"/>
              </w:rPr>
              <w:t>Per Share</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Expense</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Expense</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2"/>
        </w:trPr>
        <w:tc>
          <w:tcPr>
            <w:tcW w:w="6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7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18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r>
      <w:tr>
        <w:trPr>
          <w:trHeight w:val="216"/>
        </w:trPr>
        <w:tc>
          <w:tcPr>
            <w:tcW w:w="640" w:type="dxa"/>
            <w:vAlign w:val="bottom"/>
          </w:tcPr>
          <w:p>
            <w:pPr>
              <w:spacing w:after="0"/>
              <w:rPr>
                <w:sz w:val="18"/>
                <w:szCs w:val="18"/>
                <w:color w:val="auto"/>
              </w:rPr>
            </w:pPr>
          </w:p>
        </w:tc>
        <w:tc>
          <w:tcPr>
            <w:tcW w:w="3340" w:type="dxa"/>
            <w:vAlign w:val="bottom"/>
            <w:shd w:val="clear" w:color="auto" w:fill="D6F3E8"/>
          </w:tcPr>
          <w:p>
            <w:pPr>
              <w:spacing w:after="0"/>
              <w:rPr>
                <w:sz w:val="20"/>
                <w:szCs w:val="20"/>
                <w:color w:val="auto"/>
              </w:rPr>
            </w:pPr>
            <w:r>
              <w:rPr>
                <w:rFonts w:ascii="Arial" w:cs="Arial" w:eastAsia="Arial" w:hAnsi="Arial"/>
                <w:sz w:val="18"/>
                <w:szCs w:val="18"/>
                <w:color w:val="auto"/>
              </w:rPr>
              <w:t>September 18, 2007</w:t>
            </w:r>
          </w:p>
        </w:tc>
        <w:tc>
          <w:tcPr>
            <w:tcW w:w="1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D6F3E8"/>
          </w:tcPr>
          <w:p>
            <w:pPr>
              <w:spacing w:after="0"/>
              <w:rPr>
                <w:sz w:val="18"/>
                <w:szCs w:val="18"/>
                <w:color w:val="auto"/>
              </w:rPr>
            </w:pPr>
          </w:p>
        </w:tc>
        <w:tc>
          <w:tcPr>
            <w:tcW w:w="2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14.48</w:t>
            </w:r>
          </w:p>
        </w:tc>
        <w:tc>
          <w:tcPr>
            <w:tcW w:w="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28,000</w:t>
            </w:r>
          </w:p>
        </w:tc>
        <w:tc>
          <w:tcPr>
            <w:tcW w:w="118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August 7, 2008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r>
      <w:tr>
        <w:trPr>
          <w:trHeight w:val="250"/>
        </w:trPr>
        <w:tc>
          <w:tcPr>
            <w:tcW w:w="640" w:type="dxa"/>
            <w:vAlign w:val="bottom"/>
          </w:tcPr>
          <w:p>
            <w:pPr>
              <w:spacing w:after="0"/>
              <w:rPr>
                <w:sz w:val="21"/>
                <w:szCs w:val="21"/>
                <w:color w:val="auto"/>
              </w:rPr>
            </w:pPr>
          </w:p>
        </w:tc>
        <w:tc>
          <w:tcPr>
            <w:tcW w:w="3340" w:type="dxa"/>
            <w:vAlign w:val="bottom"/>
            <w:tcBorders>
              <w:bottom w:val="single" w:sz="8" w:color="D6F3E8"/>
            </w:tcBorders>
            <w:shd w:val="clear" w:color="auto" w:fill="D6F3E8"/>
          </w:tcPr>
          <w:p>
            <w:pPr>
              <w:ind w:left="160"/>
              <w:spacing w:after="0"/>
              <w:rPr>
                <w:sz w:val="20"/>
                <w:szCs w:val="20"/>
                <w:color w:val="auto"/>
              </w:rPr>
            </w:pPr>
            <w:r>
              <w:rPr>
                <w:rFonts w:ascii="Arial" w:cs="Arial" w:eastAsia="Arial" w:hAnsi="Arial"/>
                <w:sz w:val="18"/>
                <w:szCs w:val="18"/>
                <w:color w:val="auto"/>
              </w:rPr>
              <w:t>Total expense</w:t>
            </w:r>
          </w:p>
        </w:tc>
        <w:tc>
          <w:tcPr>
            <w:tcW w:w="300" w:type="dxa"/>
            <w:vAlign w:val="bottom"/>
            <w:tcBorders>
              <w:bottom w:val="single" w:sz="8" w:color="D6F3E8"/>
            </w:tcBorders>
            <w:shd w:val="clear" w:color="auto" w:fill="D6F3E8"/>
          </w:tcPr>
          <w:p>
            <w:pPr>
              <w:spacing w:after="0"/>
              <w:rPr>
                <w:sz w:val="21"/>
                <w:szCs w:val="21"/>
                <w:color w:val="auto"/>
              </w:rPr>
            </w:pPr>
          </w:p>
        </w:tc>
        <w:tc>
          <w:tcPr>
            <w:tcW w:w="140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bottom w:val="single" w:sz="8" w:color="D6F3E8"/>
            </w:tcBorders>
            <w:shd w:val="clear" w:color="auto" w:fill="D6F3E8"/>
          </w:tcPr>
          <w:p>
            <w:pPr>
              <w:spacing w:after="0"/>
              <w:rPr>
                <w:sz w:val="21"/>
                <w:szCs w:val="21"/>
                <w:color w:val="auto"/>
              </w:rPr>
            </w:pPr>
          </w:p>
        </w:tc>
        <w:tc>
          <w:tcPr>
            <w:tcW w:w="1000" w:type="dxa"/>
            <w:vAlign w:val="bottom"/>
            <w:tcBorders>
              <w:bottom w:val="single" w:sz="8" w:color="D6F3E8"/>
            </w:tcBorders>
            <w:shd w:val="clear" w:color="auto" w:fill="D6F3E8"/>
          </w:tcPr>
          <w:p>
            <w:pPr>
              <w:spacing w:after="0"/>
              <w:rPr>
                <w:sz w:val="21"/>
                <w:szCs w:val="21"/>
                <w:color w:val="auto"/>
              </w:rPr>
            </w:pPr>
          </w:p>
        </w:tc>
        <w:tc>
          <w:tcPr>
            <w:tcW w:w="32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tcBorders>
              <w:bottom w:val="single" w:sz="8" w:color="D6F3E8"/>
            </w:tcBorders>
            <w:shd w:val="clear" w:color="auto" w:fill="D6F3E8"/>
          </w:tcPr>
          <w:p>
            <w:pPr>
              <w:spacing w:after="0"/>
              <w:rPr>
                <w:sz w:val="21"/>
                <w:szCs w:val="21"/>
                <w:color w:val="auto"/>
              </w:rPr>
            </w:pPr>
          </w:p>
        </w:tc>
        <w:tc>
          <w:tcPr>
            <w:tcW w:w="1180" w:type="dxa"/>
            <w:vAlign w:val="bottom"/>
          </w:tcPr>
          <w:p>
            <w:pPr>
              <w:spacing w:after="0"/>
              <w:rPr>
                <w:sz w:val="21"/>
                <w:szCs w:val="21"/>
                <w:color w:val="auto"/>
              </w:rPr>
            </w:pPr>
          </w:p>
        </w:tc>
      </w:tr>
      <w:tr>
        <w:trPr>
          <w:trHeight w:val="411"/>
        </w:trPr>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2"/>
        </w:trPr>
        <w:tc>
          <w:tcPr>
            <w:tcW w:w="640" w:type="dxa"/>
            <w:vAlign w:val="bottom"/>
            <w:tcBorders>
              <w:bottom w:val="single" w:sz="8" w:color="808080"/>
            </w:tcBorders>
          </w:tcPr>
          <w:p>
            <w:pPr>
              <w:spacing w:after="0"/>
              <w:rPr>
                <w:sz w:val="21"/>
                <w:szCs w:val="21"/>
                <w:color w:val="auto"/>
              </w:rPr>
            </w:pPr>
          </w:p>
        </w:tc>
        <w:tc>
          <w:tcPr>
            <w:tcW w:w="334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0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06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1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580" w:right="60" w:hanging="572"/>
        <w:spacing w:after="0" w:line="289"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Our revenues from no single customer amount to 10 percent or more of our revenue. Sales are primarily within the United States and all assets are located within the United States.</w:t>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Water</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Pr>
          <w:p>
            <w:pPr>
              <w:spacing w:after="0"/>
              <w:rPr>
                <w:sz w:val="14"/>
                <w:szCs w:val="14"/>
                <w:color w:val="auto"/>
              </w:rPr>
            </w:pPr>
          </w:p>
        </w:tc>
        <w:tc>
          <w:tcPr>
            <w:tcW w:w="1200" w:type="dxa"/>
            <w:vAlign w:val="bottom"/>
          </w:tcPr>
          <w:p>
            <w:pPr>
              <w:jc w:val="right"/>
              <w:ind w:right="375"/>
              <w:spacing w:after="0"/>
              <w:rPr>
                <w:sz w:val="20"/>
                <w:szCs w:val="20"/>
                <w:color w:val="auto"/>
              </w:rPr>
            </w:pPr>
            <w:r>
              <w:rPr>
                <w:rFonts w:ascii="Arial" w:cs="Arial" w:eastAsia="Arial" w:hAnsi="Arial"/>
                <w:sz w:val="14"/>
                <w:szCs w:val="14"/>
                <w:b w:val="1"/>
                <w:bCs w:val="1"/>
                <w:color w:val="auto"/>
              </w:rPr>
              <w:t>Industrial</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Treatment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D6F3E8"/>
          </w:tcPr>
          <w:p>
            <w:pPr>
              <w:spacing w:after="0"/>
              <w:rPr>
                <w:sz w:val="20"/>
                <w:szCs w:val="20"/>
                <w:color w:val="auto"/>
              </w:rPr>
            </w:pPr>
            <w:r>
              <w:rPr>
                <w:rFonts w:ascii="Arial" w:cs="Arial" w:eastAsia="Arial" w:hAnsi="Arial"/>
                <w:sz w:val="18"/>
                <w:szCs w:val="18"/>
                <w:color w:val="auto"/>
              </w:rPr>
              <w:t>Three Months Ended June 30, 2009:</w:t>
            </w:r>
          </w:p>
        </w:tc>
        <w:tc>
          <w:tcPr>
            <w:tcW w:w="28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6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49,720,000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23,866,000</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73,586,000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D6F3E8"/>
          </w:tcPr>
          <w:p>
            <w:pPr>
              <w:ind w:left="46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8,441,000</w:t>
            </w:r>
          </w:p>
        </w:tc>
        <w:tc>
          <w:tcPr>
            <w:tcW w:w="4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7,415,000</w:t>
            </w:r>
          </w:p>
        </w:tc>
        <w:tc>
          <w:tcPr>
            <w:tcW w:w="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15,856,000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4,515,000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4,986,000</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9,501,000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D6F3E8"/>
          </w:tcPr>
          <w:p>
            <w:pPr>
              <w:spacing w:after="0"/>
              <w:rPr>
                <w:sz w:val="20"/>
                <w:szCs w:val="20"/>
                <w:color w:val="auto"/>
              </w:rPr>
            </w:pPr>
            <w:r>
              <w:rPr>
                <w:rFonts w:ascii="Arial" w:cs="Arial" w:eastAsia="Arial" w:hAnsi="Arial"/>
                <w:sz w:val="18"/>
                <w:szCs w:val="18"/>
                <w:color w:val="auto"/>
              </w:rPr>
              <w:t>Three Months Ended June 30, 2008:</w:t>
            </w:r>
          </w:p>
        </w:tc>
        <w:tc>
          <w:tcPr>
            <w:tcW w:w="28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6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41,208,000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21,346,000</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62,554,000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D6F3E8"/>
          </w:tcPr>
          <w:p>
            <w:pPr>
              <w:ind w:left="46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7,125,000</w:t>
            </w:r>
          </w:p>
        </w:tc>
        <w:tc>
          <w:tcPr>
            <w:tcW w:w="4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6,316,000</w:t>
            </w:r>
          </w:p>
        </w:tc>
        <w:tc>
          <w:tcPr>
            <w:tcW w:w="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13,441,000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3,521,000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3,887,000</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7,408,000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1380" w:right="700" w:hanging="1377"/>
        <w:spacing w:after="0" w:line="251" w:lineRule="auto"/>
        <w:tabs>
          <w:tab w:leader="none" w:pos="136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22"/>
          <w:szCs w:val="22"/>
          <w:color w:val="auto"/>
        </w:rPr>
        <w:t>MANAGEMENT’S DISCUSSION AND ANALYSIS OF FINANCIAL CONDITION AND RESULTS OF OPERATIONS</w:t>
      </w:r>
    </w:p>
    <w:p>
      <w:pPr>
        <w:spacing w:after="0" w:line="18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following is a discussion and analysis of our financial condition and results of operations for the three months ended June 30, 2009 as compared to June 30, 2008. This discussion should be read in conjunction with the Condensed Financial Statements and Notes to Condensed Financial Statements included in this Form 10-Q and Item 8 of our Annual Report on Form 10-K as filed with the SEC on June 5,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We expect this specialty chemical portion of our business to continue to grow.</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continued to invest in growing our business. In fiscal 2009, we invested in two new facilities, which we expect will expand our ability to service our customers and facilitate growth within our Industrial Group. Our new facility in Centralia, Illinois began operations in July 2009 and primarily serves our food-grade products business. Additionally, our new facility in Minneapolis, Minnesota, built to handle bulk chemicals sold to pharmaceutical manufacturers, is currently operational. The total capital expenditures on these two facilities were approximately $7,500,000 in fiscal 2009 and $2,200,000 in the first three months of fiscal 2010, with approximately $400,000 of additional capital spending on these facilities expected in the second quarter of fiscal 2010. We opened one branch for our Water Treatment Group in the first quarter of fiscal 2010 and expect to continue to invest in new branches to expand our geographic coverage. The cost of these new branches is not expected to be material.</w:t>
      </w:r>
    </w:p>
    <w:p>
      <w:pPr>
        <w:spacing w:after="0" w:line="172"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In February 2009, we entered into two agreements whereby we agreed to sell our inventory and enter into a marketing relationship regarding the business of our Pharmaceutical Segment, which provided pharmaceutical chemicals to retail pharmacies and small-scale pharmaceutical manufacturers. The transaction closed in May 2009 and we have no significant obligations to fulfill under the agreements. The results of the Pharmaceutical Segment have been reported as discontinued operations in our Condensed Financial Statements and Notes to Condensed Financial Statements for all periods presented in this Report on Form 10-Q.</w:t>
      </w:r>
    </w:p>
    <w:p>
      <w:pPr>
        <w:spacing w:after="0" w:line="1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first quarter of fiscal 2009, the prices of the majority of our primary raw materials began to increase rapidly and substantially and we continued to experience those pricing trends through the third quarter of fiscal 2009. We saw prices level off in the fourth quarter of fiscal 2009 and prices have declined significantly in the first quarter of 2010 as a result of the slower economy and lower demand for many of the commodity chemicals we sell, although market prices for many of the commodity chemicals were still higher in the first quarter of 2010 than they were one year ago. However, in this period of rapidly declining prices, we were negatively impacted by selling higher cost inventory on hand at lower market prices in the first quarter of fiscal 2010. This is the opposite of what was occurring in fiscal 2009 where our inventory costs were lower than the market prices. Using the last in, first out (LIFO) method of valuing inventory partially offsets the impact of the rapidly changing prices as the LIFO reserve decreased, due to declining costs, which increased our reported gross profit by $2,825,000 in the first quarter of fiscal 2010. In last year’s first quarter, the LIFO reserve increased, due to rising costs, which decreased the reported gross profit for that quarter by $1,663,000. As previously disclosed we expect our fiscal 2010 business and the gross profit realized to return to levels more in line with our historic results prior to fiscal 2009.</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While market forces in fiscal 2009 generated higher gross profit dollars and gross profit margins as a percentage of sales than we had experienced in the past, we seek to maintain relatively constant gross profit dollars on each of our products as the cost of our commodity chemical raw materials increase or decrease. Our product costs are subject to fluctuations, which are expected to continue in future periods. With this volatility in cost and the resulting fluctuations in selling prices, we believe that gross profit dollars is the best measure of our profitability from the sale of our products. If we maintain relatively stable profit dollars on each of our products, our reported gross margin percentage will decrease when the cost of the product increases and will increase when the cost of the product decreases. We use the LIFO method of valuing inventory, which causes the most recent product costs to be recognized in our income statement. The LIFO inventory valuation method and the resulting cost of sales are consistent with our business practices of pricing to current commodity chemical raw material prices.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0"/>
              </w:rPr>
              <w:t>Three months ended 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1"/>
              </w:rPr>
              <w:t>Three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30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400" w:type="dxa"/>
            <w:vAlign w:val="bottom"/>
            <w:gridSpan w:val="2"/>
            <w:shd w:val="clear" w:color="auto" w:fill="D6F3E8"/>
          </w:tcPr>
          <w:p>
            <w:pPr>
              <w:jc w:val="right"/>
              <w:ind w:right="43"/>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73,586</w:t>
            </w:r>
          </w:p>
        </w:tc>
        <w:tc>
          <w:tcPr>
            <w:tcW w:w="36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D6F3E8"/>
          </w:tcPr>
          <w:p>
            <w:pPr>
              <w:jc w:val="right"/>
              <w:ind w:right="43"/>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62,554</w:t>
            </w:r>
          </w:p>
        </w:tc>
        <w:tc>
          <w:tcPr>
            <w:tcW w:w="38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(57,730)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(49,113)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15,856</w:t>
            </w:r>
          </w:p>
        </w:tc>
        <w:tc>
          <w:tcPr>
            <w:tcW w:w="360" w:type="dxa"/>
            <w:vAlign w:val="bottom"/>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13,441</w:t>
            </w:r>
          </w:p>
        </w:tc>
        <w:tc>
          <w:tcPr>
            <w:tcW w:w="380" w:type="dxa"/>
            <w:vAlign w:val="bottom"/>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(6,355)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(6,033)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2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9,501</w:t>
            </w:r>
          </w:p>
        </w:tc>
        <w:tc>
          <w:tcPr>
            <w:tcW w:w="360" w:type="dxa"/>
            <w:vAlign w:val="bottom"/>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7,408</w:t>
            </w:r>
          </w:p>
        </w:tc>
        <w:tc>
          <w:tcPr>
            <w:tcW w:w="380" w:type="dxa"/>
            <w:vAlign w:val="bottom"/>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Investment income</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shd w:val="clear" w:color="auto" w:fill="D6F3E8"/>
          </w:tcPr>
          <w:p>
            <w:pPr>
              <w:spacing w:after="0" w:line="201" w:lineRule="exact"/>
              <w:rPr>
                <w:sz w:val="20"/>
                <w:szCs w:val="20"/>
                <w:color w:val="auto"/>
              </w:rPr>
            </w:pPr>
            <w:r>
              <w:rPr>
                <w:rFonts w:ascii="Arial" w:cs="Arial" w:eastAsia="Arial" w:hAnsi="Arial"/>
                <w:sz w:val="18"/>
                <w:szCs w:val="18"/>
                <w:color w:val="auto"/>
                <w:w w:val="93"/>
              </w:rPr>
              <w:t>Income from continuing operations before income</w:t>
            </w:r>
          </w:p>
        </w:tc>
        <w:tc>
          <w:tcPr>
            <w:tcW w:w="20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800" w:type="dxa"/>
            <w:vAlign w:val="bottom"/>
            <w:shd w:val="clear" w:color="auto" w:fill="D6F3E8"/>
          </w:tcPr>
          <w:p>
            <w:pPr>
              <w:spacing w:after="0"/>
              <w:rPr>
                <w:sz w:val="17"/>
                <w:szCs w:val="17"/>
                <w:color w:val="auto"/>
              </w:rPr>
            </w:pPr>
          </w:p>
        </w:tc>
        <w:tc>
          <w:tcPr>
            <w:tcW w:w="360" w:type="dxa"/>
            <w:vAlign w:val="bottom"/>
            <w:shd w:val="clear" w:color="auto" w:fill="D6F3E8"/>
          </w:tcPr>
          <w:p>
            <w:pPr>
              <w:spacing w:after="0"/>
              <w:rPr>
                <w:sz w:val="17"/>
                <w:szCs w:val="17"/>
                <w:color w:val="auto"/>
              </w:rPr>
            </w:pPr>
          </w:p>
        </w:tc>
        <w:tc>
          <w:tcPr>
            <w:tcW w:w="980" w:type="dxa"/>
            <w:vAlign w:val="bottom"/>
            <w:shd w:val="clear" w:color="auto" w:fill="D6F3E8"/>
          </w:tcPr>
          <w:p>
            <w:pPr>
              <w:spacing w:after="0"/>
              <w:rPr>
                <w:sz w:val="17"/>
                <w:szCs w:val="17"/>
                <w:color w:val="auto"/>
              </w:rPr>
            </w:pPr>
          </w:p>
        </w:tc>
        <w:tc>
          <w:tcPr>
            <w:tcW w:w="2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800" w:type="dxa"/>
            <w:vAlign w:val="bottom"/>
            <w:shd w:val="clear" w:color="auto" w:fill="D6F3E8"/>
          </w:tcPr>
          <w:p>
            <w:pPr>
              <w:spacing w:after="0"/>
              <w:rPr>
                <w:sz w:val="17"/>
                <w:szCs w:val="17"/>
                <w:color w:val="auto"/>
              </w:rPr>
            </w:pPr>
          </w:p>
        </w:tc>
        <w:tc>
          <w:tcPr>
            <w:tcW w:w="380" w:type="dxa"/>
            <w:vAlign w:val="bottom"/>
            <w:shd w:val="clear" w:color="auto" w:fill="D6F3E8"/>
          </w:tcPr>
          <w:p>
            <w:pPr>
              <w:spacing w:after="0"/>
              <w:rPr>
                <w:sz w:val="17"/>
                <w:szCs w:val="17"/>
                <w:color w:val="auto"/>
              </w:rPr>
            </w:pPr>
          </w:p>
        </w:tc>
        <w:tc>
          <w:tcPr>
            <w:tcW w:w="98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9,510</w:t>
            </w:r>
          </w:p>
        </w:tc>
        <w:tc>
          <w:tcPr>
            <w:tcW w:w="360" w:type="dxa"/>
            <w:vAlign w:val="bottom"/>
            <w:shd w:val="clear" w:color="auto" w:fill="D6F3E8"/>
          </w:tcPr>
          <w:p>
            <w:pPr>
              <w:spacing w:after="0"/>
              <w:rPr>
                <w:sz w:val="19"/>
                <w:szCs w:val="19"/>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7,549</w:t>
            </w:r>
          </w:p>
        </w:tc>
        <w:tc>
          <w:tcPr>
            <w:tcW w:w="380" w:type="dxa"/>
            <w:vAlign w:val="bottom"/>
            <w:shd w:val="clear" w:color="auto" w:fill="D6F3E8"/>
          </w:tcPr>
          <w:p>
            <w:pPr>
              <w:spacing w:after="0"/>
              <w:rPr>
                <w:sz w:val="19"/>
                <w:szCs w:val="19"/>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(3,566)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(2,808)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D6F3E8"/>
          </w:tcPr>
          <w:p>
            <w:pPr>
              <w:spacing w:after="0"/>
              <w:rPr>
                <w:sz w:val="20"/>
                <w:szCs w:val="20"/>
                <w:color w:val="auto"/>
              </w:rPr>
            </w:pPr>
            <w:r>
              <w:rPr>
                <w:rFonts w:ascii="Arial" w:cs="Arial" w:eastAsia="Arial" w:hAnsi="Arial"/>
                <w:sz w:val="18"/>
                <w:szCs w:val="18"/>
                <w:color w:val="auto"/>
              </w:rPr>
              <w:t>Incoming from continuing operations</w:t>
            </w:r>
          </w:p>
        </w:tc>
        <w:tc>
          <w:tcPr>
            <w:tcW w:w="20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5,944</w:t>
            </w:r>
          </w:p>
        </w:tc>
        <w:tc>
          <w:tcPr>
            <w:tcW w:w="360" w:type="dxa"/>
            <w:vAlign w:val="bottom"/>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4,741</w:t>
            </w:r>
          </w:p>
        </w:tc>
        <w:tc>
          <w:tcPr>
            <w:tcW w:w="380" w:type="dxa"/>
            <w:vAlign w:val="bottom"/>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7"/>
              </w:rPr>
              <w:t>Income from discontinued operations, net of tax</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6F3E8"/>
          </w:tcPr>
          <w:p>
            <w:pPr>
              <w:spacing w:after="0"/>
              <w:rPr>
                <w:sz w:val="19"/>
                <w:szCs w:val="19"/>
                <w:color w:val="auto"/>
              </w:rPr>
            </w:pP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6,053</w:t>
            </w:r>
          </w:p>
        </w:tc>
        <w:tc>
          <w:tcPr>
            <w:tcW w:w="360" w:type="dxa"/>
            <w:vAlign w:val="bottom"/>
            <w:shd w:val="clear" w:color="auto" w:fill="D6F3E8"/>
          </w:tcPr>
          <w:p>
            <w:pPr>
              <w:spacing w:after="0"/>
              <w:rPr>
                <w:sz w:val="19"/>
                <w:szCs w:val="19"/>
                <w:color w:val="auto"/>
              </w:rPr>
            </w:pPr>
          </w:p>
        </w:tc>
        <w:tc>
          <w:tcPr>
            <w:tcW w:w="12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6F3E8"/>
          </w:tcPr>
          <w:p>
            <w:pPr>
              <w:spacing w:after="0"/>
              <w:rPr>
                <w:sz w:val="19"/>
                <w:szCs w:val="19"/>
                <w:color w:val="auto"/>
              </w:rPr>
            </w:pP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4,876</w:t>
            </w:r>
          </w:p>
        </w:tc>
        <w:tc>
          <w:tcPr>
            <w:tcW w:w="380" w:type="dxa"/>
            <w:vAlign w:val="bottom"/>
            <w:shd w:val="clear" w:color="auto" w:fill="D6F3E8"/>
          </w:tcPr>
          <w:p>
            <w:pPr>
              <w:spacing w:after="0"/>
              <w:rPr>
                <w:sz w:val="19"/>
                <w:szCs w:val="19"/>
                <w:color w:val="auto"/>
              </w:rPr>
            </w:pPr>
          </w:p>
        </w:tc>
        <w:tc>
          <w:tcPr>
            <w:tcW w:w="11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D6F3E8"/>
            </w:tcBorders>
            <w:shd w:val="clear" w:color="auto" w:fill="D6F3E8"/>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D6F3E8"/>
            </w:tcBorders>
            <w:shd w:val="clear" w:color="auto" w:fill="D6F3E8"/>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D6F3E8"/>
            </w:tcBorders>
            <w:shd w:val="clear" w:color="auto" w:fill="D6F3E8"/>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Sales increased $11,032,000, or 17.6%, to $73,586,000 in the three months ended June 30, 2009 as compared to $62,554,000 in the same period a year ago. Sales of bulk chemicals, including caustic soda, were approximately 25% of sales during the three months ended June 30, 2009 and 33% of sales during the three months ended June 30, 2008. The decrease in sales of bulk chemicals as a percentage of total sales was due to a combination of price and volume decreases resulting from lower commodity chemical prices and weaker demand related to the economic slowdown. The decline in bulk chemical sales, which was partially driven by lower caustic soda volumes sold, was offset by higher sales within the Water Treatment segment and of our specialty blended and manufactured products within the Industrial segment.</w:t>
      </w:r>
    </w:p>
    <w:p>
      <w:pPr>
        <w:spacing w:after="0" w:line="198"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increased $8,512,000, or 20.7%, to $49,720,000 for the three months ended June 30, 2009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the prior year. The sales increase was primarily attributable to higher selling prices related to higher commodity chemical material costs along existing product lines compared to a year ago and to a lesser extent volume increases in higher-value manufactured and specialty chemical products.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$2,520,000, or 11.8%, to $23,866,000 for the three months ended June 30, 2009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of the prior year. The sales increase was primarily due to increases in selling prices related to higher material costs as well as an increase in sales of specialty chemical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Gross profit was $15,856,000, or 21.5% of sales, for the three months ended June 30, 2009, as compared to $13,441,000, or 21.5% of sales, for the three months ended June 30, 2008. Due to decreases in certain raw material costs, the LIFO method of valuing inventory positively impacted gross profit by $2,825,000 for the three months ended June 30, 2009, whereas LIFO negatively impacted gross profit by $1,663,000 for the three months ended June 30, 2008 due to increases in raw material costs.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$8,441,000, or 17.0% of sales, for the three months ended June 30, 2009, as compared to</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$7,125,000, or 17.3% of sales, for the three months ended June 30, 2008. The LIFO method of valuing inventory positively impacted gross profit in this segment by $2,154,000 in fiscal 2010 and negatively impacted gross profit by $1,332,000 in fiscal 2009. Excluding the LIFO impact, gross profit decreased by $2,170,000 and the gross profit margin as a percent of sales decreased to 12.6%. These decreases were attributable to the sale of inventory purchased earlier at a higher cost with decreasing chemical commodity prices. The decreases were partially offset by higher volumes sold of value-added manufactured and specialty chemical products.</w:t>
      </w:r>
    </w:p>
    <w:p>
      <w:pPr>
        <w:spacing w:after="0" w:line="1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$7,415,000, or 31.1% of sales, for the three months ended June 30, 2009,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$6,316,000, or 29.6% of sales, for the three months ended June 30, 2008. The LIFO method of valuing inventory positively impacted gross profit in this segment by $671,000 in fiscal 2010 and negatively impacted gross profit in fiscal 2009 by $331,000. Excluding the LIFO impact, gross profit increased slightly and gross profit margin as a percent of sales decreased to 28.3%. The increase in gross profit was primarily driven by increased demand for specialty chemicals and favorable weather conditions this quarter compared to the first quarter of fiscal 2009. The decrease in gross margin as a percent of sales was due to the sale of higher cost inventory.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general and administrative (SG&amp;A) expenses were $6,355,000, or 8.6% of sales, for the three months ended June 30, 2009 as compared to $6,033,000, or 9.6% of sales, for the three months ended June 30, 2008. The increase was primarily a result of additional sales staff to support our Industrial and Water Treatment segments.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Operating income was $9,501,000 for the three months ended June 30, 2009, an increase of $2,093,000 from the same period of the prior year. The Industrial segment accounted for $994,000 of the increase, while the Water Treatment segment accounted for $1,099,000. The increase was driven by the positive impact of the LIFO method of valuing inventory and higher volumes of value-added manufactured and specialty chemical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 income was $9,000 for the three months ended June 30, 2009 compared to $141,000 for the same period in fiscal 2009. The decrease was due to lower yields on investments as excess cash had been invested in low-yielding cash equivalents until late June when $20,000,000 was invested in certificates of deposit with an average maturity of one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effective income tax rate was 37.5% for the three months ended June 30, 2009, compared to 37.2% for the three months ended June 30, 2008.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Cash provided by operations for the three months ended June 30, 2009 was $11,724,000 compared to $2,345,000 for the three months ended June 30, 2008. The increase in cash provided by operating activities was due primarily to fluctuations in working capital balances, including the timing of inventory purchases and the related vendor payments and a decrease in trade receivables associated with the timing of customer payments and the increase in net income. Due to the nature of our operations, which includes purchases of large quantities of bulk chemicals, timing of purchases can result in significant changes in working capital investment and the resulting operating cash flow. Historically, our cash requirements increase during the period from April through September as caustic soda inventory levels increase as the majority of barges are received during this period. Additionally, due to the seasonality of the water treatment business, our accounts receivable balance generally increases during the same period.</w:t>
      </w:r>
    </w:p>
    <w:p>
      <w:pPr>
        <w:spacing w:after="0" w:line="172"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Cash and investments available-for-sale of $35,380,000 at June 30, 2009 increased by $5,844,000 as compared with the $29,536,000 available as of March 29, 2009, primarily due to the increase in cash generated from operations that was partially offset by capital expenditures and dividend payments. In February 2009, we sold our remaining investments classified as available-for-sale and the $29,536,000 balance at March 29, 2009 consisted entirely of cash and cash equivalents. In June 2009, we invested $20,000,000 in certificates of deposit which are classified as available for sale at June 30, 2009. Certificates of deposit with maturities dates of one year or longer are classified as non-current assets. The certificates of deposit were purchased from 84 different financial institutions in increments less than the FDIC insurance limits and have an average maturity of approximately one year. Cash equivalents include cash funds and money market accounts.</w:t>
      </w:r>
    </w:p>
    <w:p>
      <w:pPr>
        <w:spacing w:after="0" w:line="15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investment objectives in order of importance are the preservation of principal, maintenance of liquidity and rate of return. We monitor the maturities of our investments to ensure that funding is available for anticipated cash needs. At June 30, 2009, our available-for-sale investments consisted of certificates of deposit with a market value of $19,878,000. These fixed income securities, like all fixed income instruments, are subject to interest rate risk and will decline in value if market interest rates increase. However, while the value of the investment may fluctuate in any given period, we intend to hold the fixed income investments until recovery. Consequently, we would not expect to recognize an adverse impact on net income or cash flows during the holding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were $3,135,000 for the three months ended June 30, 2009 compared to $1,274,000 in the same period in the prior fiscal year. The</w:t>
      </w:r>
    </w:p>
    <w:p>
      <w:pPr>
        <w:spacing w:after="0" w:line="3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$1,861,000 increase over the three months ended June 30, 2008 is primarily a result of approximately $2,200,000 of capital expenditures on the new facilities projects that commenced during fiscal 2009. We plan to spend approximately $400,000 to complete these facilities during the second quarter of fiscal 2010. Additional significant capital expenditures during the first quarter of fiscal 2010 consisted of new routes sales trucks and vehicles, facilities improvement projects, including machinery and equipment, and returnable containers. Recurring capital expenditures for the remainder of this fiscal year are expected to be comparable with the spend rate for the prior year, and they will primarily relate to storage, facilities improvement projects, returnable containers, and new route sales trucks and vehicles. We expect our cash flows from operations will continue to be sufficient to fund our capital expenditures in fiscal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Our significant accounting policies are set forth in Note 1 to our financial statements in our Annual Report on Form 10-K for the fiscal year ended March 29, 2009. The accounting policies used in preparing our interim fiscal 2010 financial statements are the same as those described in our Annual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effect future financial results is included in our Annual Report on Form 10-K for the fiscal year ended March 29, 2009.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June 30, 2009, our investment portfolio included $19,878,000 of certificates of deposit classified as fixed income securities and cash and cash equivalents of $15,502,000.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an impairment occurs that is other than temporary.</w:t>
      </w:r>
    </w:p>
    <w:p>
      <w:pPr>
        <w:spacing w:after="0" w:line="19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the increases in the future.</w:t>
      </w:r>
    </w:p>
    <w:p>
      <w:pPr>
        <w:spacing w:after="0" w:line="19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2010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PART II. OTHER INFORMATION</w:t>
      </w:r>
    </w:p>
    <w:p>
      <w:pPr>
        <w:spacing w:after="0" w:line="22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March 29, 2009.</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60" w:type="dxa"/>
            <w:vAlign w:val="bottom"/>
            <w:gridSpan w:val="2"/>
          </w:tcPr>
          <w:p>
            <w:pPr>
              <w:jc w:val="right"/>
              <w:ind w:right="12"/>
              <w:spacing w:after="0"/>
              <w:rPr>
                <w:sz w:val="20"/>
                <w:szCs w:val="20"/>
                <w:color w:val="auto"/>
              </w:rPr>
            </w:pPr>
            <w:r>
              <w:rPr>
                <w:rFonts w:ascii="Arial" w:cs="Arial" w:eastAsia="Arial" w:hAnsi="Arial"/>
                <w:sz w:val="22"/>
                <w:szCs w:val="22"/>
                <w:color w:val="auto"/>
                <w:w w:val="96"/>
              </w:rPr>
              <w:t>ITEM 6.</w:t>
            </w:r>
          </w:p>
        </w:tc>
        <w:tc>
          <w:tcPr>
            <w:tcW w:w="320" w:type="dxa"/>
            <w:vAlign w:val="bottom"/>
          </w:tcPr>
          <w:p>
            <w:pPr>
              <w:spacing w:after="0"/>
              <w:rPr>
                <w:sz w:val="23"/>
                <w:szCs w:val="23"/>
                <w:color w:val="auto"/>
              </w:rPr>
            </w:pPr>
          </w:p>
        </w:tc>
        <w:tc>
          <w:tcPr>
            <w:tcW w:w="7140" w:type="dxa"/>
            <w:vAlign w:val="bottom"/>
            <w:gridSpan w:val="2"/>
          </w:tcPr>
          <w:p>
            <w:pPr>
              <w:ind w:left="200"/>
              <w:spacing w:after="0"/>
              <w:rPr>
                <w:sz w:val="20"/>
                <w:szCs w:val="20"/>
                <w:color w:val="auto"/>
              </w:rPr>
            </w:pPr>
            <w:r>
              <w:rPr>
                <w:rFonts w:ascii="Arial" w:cs="Arial" w:eastAsia="Arial" w:hAnsi="Arial"/>
                <w:sz w:val="22"/>
                <w:szCs w:val="22"/>
                <w:color w:val="auto"/>
              </w:rPr>
              <w:t>EXHIBITS</w:t>
            </w:r>
          </w:p>
        </w:tc>
        <w:tc>
          <w:tcPr>
            <w:tcW w:w="34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420"/>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0" w:type="dxa"/>
            <w:vAlign w:val="bottom"/>
          </w:tcPr>
          <w:p>
            <w:pPr>
              <w:ind w:left="3120"/>
              <w:spacing w:after="0"/>
              <w:rPr>
                <w:sz w:val="20"/>
                <w:szCs w:val="20"/>
                <w:color w:val="auto"/>
              </w:rPr>
            </w:pPr>
            <w:r>
              <w:rPr>
                <w:rFonts w:ascii="Arial" w:cs="Arial" w:eastAsia="Arial" w:hAnsi="Arial"/>
                <w:sz w:val="18"/>
                <w:szCs w:val="18"/>
                <w:color w:val="auto"/>
              </w:rPr>
              <w:t>Exhibit Index</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80"/>
        </w:trPr>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0" w:type="dxa"/>
            <w:vAlign w:val="bottom"/>
          </w:tcPr>
          <w:p>
            <w:pPr>
              <w:ind w:left="230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0"/>
              </w:rPr>
              <w:t>Method of Filing</w:t>
            </w:r>
          </w:p>
        </w:tc>
      </w:tr>
      <w:tr>
        <w:trPr>
          <w:trHeight w:val="216"/>
        </w:trPr>
        <w:tc>
          <w:tcPr>
            <w:tcW w:w="4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7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Amended and Second Restated Articles of Incorporation as amended through February 27, 2001. (1)</w:t>
            </w:r>
          </w:p>
        </w:tc>
        <w:tc>
          <w:tcPr>
            <w:tcW w:w="340" w:type="dxa"/>
            <w:vAlign w:val="bottom"/>
          </w:tcPr>
          <w:p>
            <w:pPr>
              <w:spacing w:after="0"/>
              <w:rPr>
                <w:sz w:val="18"/>
                <w:szCs w:val="18"/>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Incorporated by Reference</w:t>
            </w:r>
          </w:p>
        </w:tc>
      </w:tr>
      <w:tr>
        <w:trPr>
          <w:trHeight w:val="356"/>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w w:val="99"/>
              </w:rPr>
              <w:t>Second Amended and Superseding By-Laws as amended through February 15, 1995. (2)</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Incorporated by Reference</w:t>
            </w:r>
          </w:p>
        </w:tc>
      </w:tr>
      <w:tr>
        <w:trPr>
          <w:trHeight w:val="365"/>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w w:val="87"/>
              </w:rPr>
              <w:t>Section 1350</w:t>
            </w:r>
          </w:p>
        </w:tc>
        <w:tc>
          <w:tcPr>
            <w:tcW w:w="6200" w:type="dxa"/>
            <w:vAlign w:val="bottom"/>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w w:val="87"/>
              </w:rPr>
              <w:t>Section 1350</w:t>
            </w:r>
          </w:p>
        </w:tc>
        <w:tc>
          <w:tcPr>
            <w:tcW w:w="6200" w:type="dxa"/>
            <w:vAlign w:val="bottom"/>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bl>
    <w:p>
      <w:pPr>
        <w:spacing w:after="0" w:line="250"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Annual Report on Form 10-K for the year ended September 30, 2001.</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462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10795</wp:posOffset>
            </wp:positionV>
            <wp:extent cx="41078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Kathleen P. Pepski</w:t>
      </w:r>
    </w:p>
    <w:p>
      <w:pPr>
        <w:spacing w:after="0" w:line="15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Vice President, Chief Financial Officer, and Treasurer</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Exhibit Index</w:t>
      </w:r>
    </w:p>
    <w:p>
      <w:pPr>
        <w:spacing w:after="0" w:line="24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Exhibit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0" w:type="dxa"/>
            <w:vAlign w:val="bottom"/>
          </w:tcPr>
          <w:p>
            <w:pPr>
              <w:ind w:left="230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0"/>
              </w:rPr>
              <w:t>Method of Filing</w:t>
            </w:r>
          </w:p>
        </w:tc>
      </w:tr>
      <w:tr>
        <w:trPr>
          <w:trHeight w:val="216"/>
        </w:trPr>
        <w:tc>
          <w:tcPr>
            <w:tcW w:w="2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7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Amended and Second Restated Articles of Incorporation as amended through February 27, 2001. (1)</w:t>
            </w:r>
          </w:p>
        </w:tc>
        <w:tc>
          <w:tcPr>
            <w:tcW w:w="340" w:type="dxa"/>
            <w:vAlign w:val="bottom"/>
          </w:tcPr>
          <w:p>
            <w:pPr>
              <w:spacing w:after="0"/>
              <w:rPr>
                <w:sz w:val="18"/>
                <w:szCs w:val="18"/>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Incorporated by Reference</w:t>
            </w:r>
          </w:p>
        </w:tc>
      </w:tr>
      <w:tr>
        <w:trPr>
          <w:trHeight w:val="356"/>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w w:val="99"/>
              </w:rPr>
              <w:t>Second Amended and Superseding By-Laws as amended through February 15, 1995. (2)</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Incorporated by Reference</w:t>
            </w:r>
          </w:p>
        </w:tc>
      </w:tr>
      <w:tr>
        <w:trPr>
          <w:trHeight w:val="365"/>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w w:val="87"/>
              </w:rPr>
              <w:t>Section 1350</w:t>
            </w:r>
          </w:p>
        </w:tc>
        <w:tc>
          <w:tcPr>
            <w:tcW w:w="6200" w:type="dxa"/>
            <w:vAlign w:val="bottom"/>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w w:val="87"/>
              </w:rPr>
              <w:t>Section 1350</w:t>
            </w:r>
          </w:p>
        </w:tc>
        <w:tc>
          <w:tcPr>
            <w:tcW w:w="6200" w:type="dxa"/>
            <w:vAlign w:val="bottom"/>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bl>
    <w:p>
      <w:pPr>
        <w:spacing w:after="0" w:line="250"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certify that:</w:t>
      </w:r>
    </w:p>
    <w:p>
      <w:pPr>
        <w:spacing w:after="0" w:line="158"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hanging="564"/>
        <w:spacing w:after="0" w:line="332" w:lineRule="auto"/>
        <w:tabs>
          <w:tab w:leader="none" w:pos="17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2009</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6985</wp:posOffset>
            </wp:positionV>
            <wp:extent cx="11576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158"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hanging="564"/>
        <w:spacing w:after="0" w:line="332" w:lineRule="auto"/>
        <w:tabs>
          <w:tab w:leader="none" w:pos="17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2009</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6985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2009, as filed with the Securities and Exchange Commission on the date hereof (the Report), I, John R. Hawkins, Chief Executive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664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2009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3119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5"/>
    </w:lvl>
  </w:abstractNum>
  <w:abstractNum w:abstractNumId="2">
    <w:nsid w:val="7545E146"/>
    <w:multiLevelType w:val="hybridMultilevel"/>
    <w:lvl w:ilvl="0">
      <w:lvlJc w:val="left"/>
      <w:lvlText w:val="%1."/>
      <w:numFmt w:val="decimal"/>
      <w:start w:val="8"/>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decimal"/>
      <w:start w:val="12"/>
    </w:lvl>
  </w:abstractNum>
  <w:abstractNum w:abstractNumId="6">
    <w:nsid w:val="4DB127F8"/>
    <w:multiLevelType w:val="hybridMultilevel"/>
    <w:lvl w:ilvl="0">
      <w:lvlJc w:val="left"/>
      <w:lvlText w:val="%1."/>
      <w:numFmt w:val="decimal"/>
      <w:start w:val="13"/>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2019-12-10T00:34:54Z</dcterms:created>
  <dcterms:modified xsi:type="dcterms:W3CDTF">2019-12-10T00:34:54Z</dcterms:modified>
</cp:coreProperties>
</file>