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54"/>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29"/>
                <w:szCs w:val="29"/>
                <w:b w:val="1"/>
                <w:bCs w:val="1"/>
                <w:color w:val="auto"/>
                <w:w w:val="96"/>
              </w:rPr>
              <w:t>UNITED STATES</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320" w:type="dxa"/>
            <w:vAlign w:val="bottom"/>
            <w:gridSpan w:val="3"/>
          </w:tcPr>
          <w:p>
            <w:pPr>
              <w:jc w:val="center"/>
              <w:ind w:right="2860"/>
              <w:spacing w:after="0" w:line="350" w:lineRule="exact"/>
              <w:rPr>
                <w:sz w:val="20"/>
                <w:szCs w:val="20"/>
                <w:color w:val="auto"/>
              </w:rPr>
            </w:pPr>
            <w:r>
              <w:rPr>
                <w:rFonts w:ascii="Calibri" w:cs="Calibri" w:eastAsia="Calibri" w:hAnsi="Calibri"/>
                <w:sz w:val="29"/>
                <w:szCs w:val="29"/>
                <w:b w:val="1"/>
                <w:bCs w:val="1"/>
                <w:color w:val="auto"/>
                <w:w w:val="98"/>
              </w:rPr>
              <w:t>SECURITIES AND EXCHANGE COMMISSION</w:t>
            </w:r>
          </w:p>
        </w:tc>
      </w:tr>
      <w:tr>
        <w:trPr>
          <w:trHeight w:val="217"/>
        </w:trPr>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0" w:type="dxa"/>
            <w:vAlign w:val="bottom"/>
          </w:tcPr>
          <w:p>
            <w:pPr>
              <w:jc w:val="center"/>
              <w:ind w:left="552"/>
              <w:spacing w:after="0" w:line="217" w:lineRule="exact"/>
              <w:rPr>
                <w:sz w:val="20"/>
                <w:szCs w:val="20"/>
                <w:color w:val="auto"/>
              </w:rPr>
            </w:pPr>
            <w:r>
              <w:rPr>
                <w:rFonts w:ascii="Calibri" w:cs="Calibri" w:eastAsia="Calibri" w:hAnsi="Calibri"/>
                <w:sz w:val="18"/>
                <w:szCs w:val="18"/>
                <w:b w:val="1"/>
                <w:bCs w:val="1"/>
                <w:color w:val="auto"/>
                <w:w w:val="96"/>
              </w:rPr>
              <w:t>WASHINGTON, D.C. 20549</w:t>
            </w:r>
          </w:p>
        </w:tc>
        <w:tc>
          <w:tcPr>
            <w:tcW w:w="6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50"/>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r>
        <w:trPr>
          <w:trHeight w:val="331"/>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Borders>
              <w:bottom w:val="single" w:sz="8" w:color="auto"/>
            </w:tcBorders>
          </w:tcPr>
          <w:p>
            <w:pPr>
              <w:jc w:val="center"/>
              <w:ind w:left="552"/>
              <w:spacing w:after="0" w:line="331" w:lineRule="exact"/>
              <w:rPr>
                <w:sz w:val="20"/>
                <w:szCs w:val="20"/>
                <w:color w:val="auto"/>
              </w:rPr>
            </w:pPr>
            <w:r>
              <w:rPr>
                <w:rFonts w:ascii="Calibri" w:cs="Calibri" w:eastAsia="Calibri" w:hAnsi="Calibri"/>
                <w:sz w:val="29"/>
                <w:szCs w:val="29"/>
                <w:b w:val="1"/>
                <w:bCs w:val="1"/>
                <w:color w:val="auto"/>
                <w:w w:val="99"/>
              </w:rPr>
              <w:t>FORM 10-Q</w:t>
            </w:r>
          </w:p>
        </w:tc>
        <w:tc>
          <w:tcPr>
            <w:tcW w:w="6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7"/>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QUARTERLY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8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18"/>
                <w:szCs w:val="18"/>
                <w:b w:val="1"/>
                <w:bCs w:val="1"/>
                <w:color w:val="auto"/>
                <w:w w:val="97"/>
              </w:rPr>
              <w:t>For the quarterly period ended September 29, 2024</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83"/>
        </w:trPr>
        <w:tc>
          <w:tcPr>
            <w:tcW w:w="1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spacing w:after="0"/>
              <w:rPr>
                <w:sz w:val="24"/>
                <w:szCs w:val="24"/>
                <w:color w:val="auto"/>
              </w:rPr>
            </w:pPr>
          </w:p>
        </w:tc>
        <w:tc>
          <w:tcPr>
            <w:tcW w:w="8320" w:type="dxa"/>
            <w:vAlign w:val="bottom"/>
            <w:gridSpan w:val="3"/>
          </w:tcPr>
          <w:p>
            <w:pPr>
              <w:jc w:val="center"/>
              <w:ind w:right="1960"/>
              <w:spacing w:after="0"/>
              <w:rPr>
                <w:sz w:val="20"/>
                <w:szCs w:val="20"/>
                <w:color w:val="auto"/>
              </w:rPr>
            </w:pPr>
            <w:r>
              <w:rPr>
                <w:rFonts w:ascii="Calibri" w:cs="Calibri" w:eastAsia="Calibri" w:hAnsi="Calibri"/>
                <w:sz w:val="20"/>
                <w:szCs w:val="20"/>
                <w:b w:val="1"/>
                <w:bCs w:val="1"/>
                <w:color w:val="auto"/>
              </w:rPr>
              <w:t>TRANSITION REPORT PURSUANT TO SECTION 13 OR 15(d) OF THE</w:t>
            </w:r>
          </w:p>
        </w:tc>
      </w:tr>
      <w:tr>
        <w:trPr>
          <w:trHeight w:val="234"/>
        </w:trPr>
        <w:tc>
          <w:tcPr>
            <w:tcW w:w="1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800" w:type="dxa"/>
            <w:vAlign w:val="bottom"/>
          </w:tcPr>
          <w:p>
            <w:pPr>
              <w:jc w:val="center"/>
              <w:ind w:left="1472"/>
              <w:spacing w:after="0" w:line="234" w:lineRule="exact"/>
              <w:rPr>
                <w:sz w:val="20"/>
                <w:szCs w:val="20"/>
                <w:color w:val="auto"/>
              </w:rPr>
            </w:pPr>
            <w:r>
              <w:rPr>
                <w:rFonts w:ascii="Calibri" w:cs="Calibri" w:eastAsia="Calibri" w:hAnsi="Calibri"/>
                <w:sz w:val="20"/>
                <w:szCs w:val="20"/>
                <w:b w:val="1"/>
                <w:bCs w:val="1"/>
                <w:color w:val="auto"/>
              </w:rPr>
              <w:t>SECURITIES EXCHANGE ACT OF 1934</w:t>
            </w:r>
          </w:p>
        </w:tc>
        <w:tc>
          <w:tcPr>
            <w:tcW w:w="6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2"/>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8"/>
                <w:szCs w:val="18"/>
                <w:b w:val="1"/>
                <w:bCs w:val="1"/>
                <w:color w:val="auto"/>
                <w:w w:val="99"/>
              </w:rPr>
              <w:t>Commission fle number 0-7647</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00"/>
        </w:trPr>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0" w:type="dxa"/>
            <w:vAlign w:val="bottom"/>
          </w:tcPr>
          <w:p>
            <w:pPr>
              <w:jc w:val="center"/>
              <w:ind w:left="552"/>
              <w:spacing w:after="0"/>
              <w:rPr>
                <w:sz w:val="20"/>
                <w:szCs w:val="20"/>
                <w:color w:val="auto"/>
              </w:rPr>
            </w:pPr>
            <w:r>
              <w:rPr>
                <w:rFonts w:ascii="Calibri" w:cs="Calibri" w:eastAsia="Calibri" w:hAnsi="Calibri"/>
                <w:sz w:val="32"/>
                <w:szCs w:val="32"/>
                <w:b w:val="1"/>
                <w:bCs w:val="1"/>
                <w:color w:val="auto"/>
              </w:rPr>
              <w:t>HAWKINS, INC.</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3"/>
        </w:trPr>
        <w:tc>
          <w:tcPr>
            <w:tcW w:w="1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800" w:type="dxa"/>
            <w:vAlign w:val="bottom"/>
          </w:tcPr>
          <w:p>
            <w:pPr>
              <w:jc w:val="center"/>
              <w:ind w:left="512"/>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66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47"/>
        </w:trPr>
        <w:tc>
          <w:tcPr>
            <w:tcW w:w="120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gridSpan w:val="2"/>
          </w:tcPr>
          <w:p>
            <w:pPr>
              <w:spacing w:after="0"/>
              <w:rPr>
                <w:sz w:val="4"/>
                <w:szCs w:val="4"/>
                <w:color w:val="auto"/>
              </w:rPr>
            </w:pPr>
          </w:p>
        </w:tc>
        <w:tc>
          <w:tcPr>
            <w:tcW w:w="3520" w:type="dxa"/>
            <w:vAlign w:val="bottom"/>
            <w:tcBorders>
              <w:bottom w:val="single" w:sz="8" w:color="auto"/>
            </w:tcBorders>
            <w:gridSpan w:val="2"/>
          </w:tcPr>
          <w:p>
            <w:pPr>
              <w:spacing w:after="0"/>
              <w:rPr>
                <w:sz w:val="4"/>
                <w:szCs w:val="4"/>
                <w:color w:val="auto"/>
              </w:rPr>
            </w:pPr>
          </w:p>
        </w:tc>
      </w:tr>
      <w:tr>
        <w:trPr>
          <w:trHeight w:val="321"/>
        </w:trPr>
        <w:tc>
          <w:tcPr>
            <w:tcW w:w="1200" w:type="dxa"/>
            <w:vAlign w:val="bottom"/>
          </w:tcPr>
          <w:p>
            <w:pPr>
              <w:spacing w:after="0"/>
              <w:rPr>
                <w:sz w:val="24"/>
                <w:szCs w:val="2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8"/>
                <w:szCs w:val="18"/>
                <w:b w:val="1"/>
                <w:bCs w:val="1"/>
                <w:color w:val="auto"/>
                <w:w w:val="96"/>
              </w:rPr>
              <w:t>Minnesota</w:t>
            </w:r>
          </w:p>
        </w:tc>
        <w:tc>
          <w:tcPr>
            <w:tcW w:w="3520" w:type="dxa"/>
            <w:vAlign w:val="bottom"/>
            <w:gridSpan w:val="2"/>
          </w:tcPr>
          <w:p>
            <w:pPr>
              <w:jc w:val="center"/>
              <w:ind w:right="1800"/>
              <w:spacing w:after="0"/>
              <w:rPr>
                <w:sz w:val="20"/>
                <w:szCs w:val="20"/>
                <w:color w:val="auto"/>
              </w:rPr>
            </w:pPr>
            <w:r>
              <w:rPr>
                <w:rFonts w:ascii="Calibri" w:cs="Calibri" w:eastAsia="Calibri" w:hAnsi="Calibri"/>
                <w:sz w:val="18"/>
                <w:szCs w:val="18"/>
                <w:b w:val="1"/>
                <w:bCs w:val="1"/>
                <w:color w:val="auto"/>
                <w:w w:val="95"/>
              </w:rPr>
              <w:t>41-0771293</w:t>
            </w:r>
          </w:p>
        </w:tc>
      </w:tr>
      <w:tr>
        <w:trPr>
          <w:trHeight w:val="23"/>
        </w:trPr>
        <w:tc>
          <w:tcPr>
            <w:tcW w:w="120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gridSpan w:val="2"/>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r>
      <w:tr>
        <w:trPr>
          <w:trHeight w:val="115"/>
        </w:trPr>
        <w:tc>
          <w:tcPr>
            <w:tcW w:w="1200" w:type="dxa"/>
            <w:vAlign w:val="bottom"/>
          </w:tcPr>
          <w:p>
            <w:pPr>
              <w:spacing w:after="0"/>
              <w:rPr>
                <w:sz w:val="10"/>
                <w:szCs w:val="10"/>
                <w:color w:val="auto"/>
              </w:rPr>
            </w:pPr>
          </w:p>
        </w:tc>
        <w:tc>
          <w:tcPr>
            <w:tcW w:w="6480" w:type="dxa"/>
            <w:vAlign w:val="bottom"/>
            <w:gridSpan w:val="2"/>
          </w:tcPr>
          <w:p>
            <w:pPr>
              <w:jc w:val="center"/>
              <w:ind w:right="3232"/>
              <w:spacing w:after="0" w:line="115" w:lineRule="exact"/>
              <w:rPr>
                <w:sz w:val="20"/>
                <w:szCs w:val="20"/>
                <w:color w:val="auto"/>
              </w:rPr>
            </w:pPr>
            <w:r>
              <w:rPr>
                <w:rFonts w:ascii="Calibri" w:cs="Calibri" w:eastAsia="Calibri" w:hAnsi="Calibri"/>
                <w:sz w:val="12"/>
                <w:szCs w:val="12"/>
                <w:b w:val="1"/>
                <w:bCs w:val="1"/>
                <w:color w:val="auto"/>
              </w:rPr>
              <w:t>(State or other jurisdicton of</w:t>
            </w:r>
          </w:p>
        </w:tc>
        <w:tc>
          <w:tcPr>
            <w:tcW w:w="3520" w:type="dxa"/>
            <w:vAlign w:val="bottom"/>
            <w:gridSpan w:val="2"/>
          </w:tcPr>
          <w:p>
            <w:pPr>
              <w:jc w:val="center"/>
              <w:ind w:right="1800"/>
              <w:spacing w:after="0" w:line="115" w:lineRule="exact"/>
              <w:rPr>
                <w:sz w:val="20"/>
                <w:szCs w:val="20"/>
                <w:color w:val="auto"/>
              </w:rPr>
            </w:pPr>
            <w:r>
              <w:rPr>
                <w:rFonts w:ascii="Calibri" w:cs="Calibri" w:eastAsia="Calibri" w:hAnsi="Calibri"/>
                <w:sz w:val="12"/>
                <w:szCs w:val="12"/>
                <w:b w:val="1"/>
                <w:bCs w:val="1"/>
                <w:color w:val="auto"/>
              </w:rPr>
              <w:t>(I.R.S. Employer</w:t>
            </w:r>
          </w:p>
        </w:tc>
      </w:tr>
      <w:tr>
        <w:trPr>
          <w:trHeight w:val="170"/>
        </w:trPr>
        <w:tc>
          <w:tcPr>
            <w:tcW w:w="1200" w:type="dxa"/>
            <w:vAlign w:val="bottom"/>
          </w:tcPr>
          <w:p>
            <w:pPr>
              <w:spacing w:after="0"/>
              <w:rPr>
                <w:sz w:val="14"/>
                <w:szCs w:val="14"/>
                <w:color w:val="auto"/>
              </w:rPr>
            </w:pPr>
          </w:p>
        </w:tc>
        <w:tc>
          <w:tcPr>
            <w:tcW w:w="6480" w:type="dxa"/>
            <w:vAlign w:val="bottom"/>
            <w:gridSpan w:val="2"/>
          </w:tcPr>
          <w:p>
            <w:pPr>
              <w:jc w:val="center"/>
              <w:ind w:right="3232"/>
              <w:spacing w:after="0"/>
              <w:rPr>
                <w:sz w:val="20"/>
                <w:szCs w:val="20"/>
                <w:color w:val="auto"/>
              </w:rPr>
            </w:pPr>
            <w:r>
              <w:rPr>
                <w:rFonts w:ascii="Calibri" w:cs="Calibri" w:eastAsia="Calibri" w:hAnsi="Calibri"/>
                <w:sz w:val="14"/>
                <w:szCs w:val="14"/>
                <w:b w:val="1"/>
                <w:bCs w:val="1"/>
                <w:color w:val="auto"/>
              </w:rPr>
              <w:t>incorporaton or organizaton)</w:t>
            </w:r>
          </w:p>
        </w:tc>
        <w:tc>
          <w:tcPr>
            <w:tcW w:w="3520" w:type="dxa"/>
            <w:vAlign w:val="bottom"/>
            <w:gridSpan w:val="2"/>
          </w:tcPr>
          <w:p>
            <w:pPr>
              <w:jc w:val="center"/>
              <w:ind w:right="1800"/>
              <w:spacing w:after="0"/>
              <w:rPr>
                <w:sz w:val="20"/>
                <w:szCs w:val="20"/>
                <w:color w:val="auto"/>
              </w:rPr>
            </w:pPr>
            <w:r>
              <w:rPr>
                <w:rFonts w:ascii="Calibri" w:cs="Calibri" w:eastAsia="Calibri" w:hAnsi="Calibri"/>
                <w:sz w:val="14"/>
                <w:szCs w:val="14"/>
                <w:b w:val="1"/>
                <w:bCs w:val="1"/>
                <w:color w:val="auto"/>
              </w:rPr>
              <w:t>Identfcaton No.)</w:t>
            </w:r>
          </w:p>
        </w:tc>
      </w:tr>
      <w:tr>
        <w:trPr>
          <w:trHeight w:val="414"/>
        </w:trPr>
        <w:tc>
          <w:tcPr>
            <w:tcW w:w="1200" w:type="dxa"/>
            <w:vAlign w:val="bottom"/>
          </w:tcPr>
          <w:p>
            <w:pPr>
              <w:spacing w:after="0"/>
              <w:rPr>
                <w:sz w:val="24"/>
                <w:szCs w:val="24"/>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8"/>
                <w:szCs w:val="18"/>
                <w:b w:val="1"/>
                <w:bCs w:val="1"/>
                <w:color w:val="auto"/>
                <w:w w:val="96"/>
              </w:rPr>
              <w:t>2381 Rosegate, Roseville, Minnesota</w:t>
            </w:r>
          </w:p>
        </w:tc>
        <w:tc>
          <w:tcPr>
            <w:tcW w:w="660" w:type="dxa"/>
            <w:vAlign w:val="bottom"/>
          </w:tcPr>
          <w:p>
            <w:pPr>
              <w:jc w:val="right"/>
              <w:spacing w:after="0"/>
              <w:rPr>
                <w:sz w:val="20"/>
                <w:szCs w:val="20"/>
                <w:color w:val="auto"/>
              </w:rPr>
            </w:pPr>
            <w:r>
              <w:rPr>
                <w:rFonts w:ascii="Calibri" w:cs="Calibri" w:eastAsia="Calibri" w:hAnsi="Calibri"/>
                <w:sz w:val="18"/>
                <w:szCs w:val="18"/>
                <w:b w:val="1"/>
                <w:bCs w:val="1"/>
                <w:color w:val="auto"/>
              </w:rPr>
              <w:t>55113</w:t>
            </w:r>
          </w:p>
        </w:tc>
        <w:tc>
          <w:tcPr>
            <w:tcW w:w="2860" w:type="dxa"/>
            <w:vAlign w:val="bottom"/>
          </w:tcPr>
          <w:p>
            <w:pPr>
              <w:spacing w:after="0"/>
              <w:rPr>
                <w:sz w:val="24"/>
                <w:szCs w:val="24"/>
                <w:color w:val="auto"/>
              </w:rPr>
            </w:pPr>
          </w:p>
        </w:tc>
      </w:tr>
      <w:tr>
        <w:trPr>
          <w:trHeight w:val="233"/>
        </w:trPr>
        <w:tc>
          <w:tcPr>
            <w:tcW w:w="1200" w:type="dxa"/>
            <w:vAlign w:val="bottom"/>
          </w:tcPr>
          <w:p>
            <w:pPr>
              <w:spacing w:after="0"/>
              <w:rPr>
                <w:sz w:val="20"/>
                <w:szCs w:val="20"/>
                <w:color w:val="auto"/>
              </w:rPr>
            </w:pPr>
          </w:p>
        </w:tc>
        <w:tc>
          <w:tcPr>
            <w:tcW w:w="6480" w:type="dxa"/>
            <w:vAlign w:val="bottom"/>
            <w:gridSpan w:val="2"/>
          </w:tcPr>
          <w:p>
            <w:pPr>
              <w:jc w:val="center"/>
              <w:ind w:right="1952"/>
              <w:spacing w:after="0"/>
              <w:rPr>
                <w:sz w:val="20"/>
                <w:szCs w:val="20"/>
                <w:color w:val="auto"/>
              </w:rPr>
            </w:pPr>
            <w:r>
              <w:rPr>
                <w:rFonts w:ascii="Calibri" w:cs="Calibri" w:eastAsia="Calibri" w:hAnsi="Calibri"/>
                <w:sz w:val="14"/>
                <w:szCs w:val="14"/>
                <w:b w:val="1"/>
                <w:bCs w:val="1"/>
                <w:color w:val="auto"/>
              </w:rPr>
              <w:t>(Address of principal executve ofces)</w:t>
            </w:r>
          </w:p>
        </w:tc>
        <w:tc>
          <w:tcPr>
            <w:tcW w:w="3520" w:type="dxa"/>
            <w:vAlign w:val="bottom"/>
            <w:gridSpan w:val="2"/>
          </w:tcPr>
          <w:p>
            <w:pPr>
              <w:jc w:val="center"/>
              <w:ind w:right="2740"/>
              <w:spacing w:after="0"/>
              <w:rPr>
                <w:sz w:val="20"/>
                <w:szCs w:val="20"/>
                <w:color w:val="auto"/>
              </w:rPr>
            </w:pPr>
            <w:r>
              <w:rPr>
                <w:rFonts w:ascii="Calibri" w:cs="Calibri" w:eastAsia="Calibri" w:hAnsi="Calibri"/>
                <w:sz w:val="14"/>
                <w:szCs w:val="14"/>
                <w:b w:val="1"/>
                <w:bCs w:val="1"/>
                <w:color w:val="auto"/>
              </w:rPr>
              <w:t>(Zip code)</w:t>
            </w:r>
          </w:p>
        </w:tc>
      </w:tr>
      <w:tr>
        <w:trPr>
          <w:trHeight w:val="442"/>
        </w:trPr>
        <w:tc>
          <w:tcPr>
            <w:tcW w:w="1200" w:type="dxa"/>
            <w:vAlign w:val="bottom"/>
          </w:tcPr>
          <w:p>
            <w:pPr>
              <w:spacing w:after="0"/>
              <w:rPr>
                <w:sz w:val="24"/>
                <w:szCs w:val="24"/>
                <w:color w:val="auto"/>
              </w:rPr>
            </w:pPr>
          </w:p>
        </w:tc>
        <w:tc>
          <w:tcPr>
            <w:tcW w:w="6480" w:type="dxa"/>
            <w:vAlign w:val="bottom"/>
            <w:gridSpan w:val="2"/>
          </w:tcPr>
          <w:p>
            <w:pPr>
              <w:jc w:val="center"/>
              <w:ind w:left="2261"/>
              <w:spacing w:after="0"/>
              <w:rPr>
                <w:sz w:val="20"/>
                <w:szCs w:val="20"/>
                <w:color w:val="auto"/>
              </w:rPr>
            </w:pPr>
            <w:r>
              <w:rPr>
                <w:rFonts w:ascii="Calibri" w:cs="Calibri" w:eastAsia="Calibri" w:hAnsi="Calibri"/>
                <w:sz w:val="18"/>
                <w:szCs w:val="18"/>
                <w:b w:val="1"/>
                <w:bCs w:val="1"/>
                <w:color w:val="auto"/>
                <w:w w:val="98"/>
              </w:rPr>
              <w:t>(612) 331-6910</w:t>
            </w:r>
          </w:p>
        </w:tc>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3"/>
        </w:trPr>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800" w:type="dxa"/>
            <w:vAlign w:val="bottom"/>
          </w:tcPr>
          <w:p>
            <w:pPr>
              <w:jc w:val="center"/>
              <w:ind w:left="532"/>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6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47"/>
        </w:trPr>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60" w:type="dxa"/>
            <w:vAlign w:val="bottom"/>
          </w:tcPr>
          <w:p>
            <w:pPr>
              <w:spacing w:after="0"/>
              <w:rPr>
                <w:sz w:val="4"/>
                <w:szCs w:val="4"/>
                <w:color w:val="auto"/>
              </w:rPr>
            </w:pPr>
          </w:p>
        </w:tc>
      </w:tr>
    </w:tbl>
    <w:p>
      <w:pPr>
        <w:spacing w:after="0" w:line="2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color w:val="auto"/>
        </w:rPr>
        <w:t>Securites registered pursuant to Secton 12(b) of the Act: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ind w:left="1180"/>
              <w:spacing w:after="0"/>
              <w:rPr>
                <w:sz w:val="20"/>
                <w:szCs w:val="20"/>
                <w:color w:val="auto"/>
              </w:rPr>
            </w:pPr>
            <w:r>
              <w:rPr>
                <w:rFonts w:ascii="Calibri" w:cs="Calibri" w:eastAsia="Calibri" w:hAnsi="Calibri"/>
                <w:sz w:val="16"/>
                <w:szCs w:val="16"/>
                <w:b w:val="1"/>
                <w:bCs w:val="1"/>
                <w:color w:val="auto"/>
              </w:rPr>
              <w:t>Title of each class</w:t>
            </w:r>
          </w:p>
        </w:tc>
        <w:tc>
          <w:tcPr>
            <w:tcW w:w="2440" w:type="dxa"/>
            <w:vAlign w:val="bottom"/>
          </w:tcPr>
          <w:p>
            <w:pPr>
              <w:jc w:val="center"/>
              <w:spacing w:after="0"/>
              <w:rPr>
                <w:sz w:val="20"/>
                <w:szCs w:val="20"/>
                <w:color w:val="auto"/>
              </w:rPr>
            </w:pPr>
            <w:r>
              <w:rPr>
                <w:rFonts w:ascii="Calibri" w:cs="Calibri" w:eastAsia="Calibri" w:hAnsi="Calibri"/>
                <w:sz w:val="16"/>
                <w:szCs w:val="16"/>
                <w:b w:val="1"/>
                <w:bCs w:val="1"/>
                <w:color w:val="auto"/>
              </w:rPr>
              <w:t>Trading Symbol(s)</w:t>
            </w:r>
          </w:p>
        </w:tc>
        <w:tc>
          <w:tcPr>
            <w:tcW w:w="4480" w:type="dxa"/>
            <w:vAlign w:val="bottom"/>
          </w:tcPr>
          <w:p>
            <w:pPr>
              <w:jc w:val="center"/>
              <w:ind w:right="159"/>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3300" w:type="dxa"/>
            <w:vAlign w:val="bottom"/>
          </w:tcPr>
          <w:p>
            <w:pPr>
              <w:ind w:left="20"/>
              <w:spacing w:after="0" w:line="187" w:lineRule="exact"/>
              <w:rPr>
                <w:sz w:val="20"/>
                <w:szCs w:val="20"/>
                <w:color w:val="auto"/>
              </w:rPr>
            </w:pPr>
            <w:r>
              <w:rPr>
                <w:rFonts w:ascii="Calibri" w:cs="Calibri" w:eastAsia="Calibri" w:hAnsi="Calibri"/>
                <w:sz w:val="16"/>
                <w:szCs w:val="16"/>
                <w:color w:val="auto"/>
              </w:rPr>
              <w:t>Common Stock, par value $.01 per share</w:t>
            </w:r>
          </w:p>
        </w:tc>
        <w:tc>
          <w:tcPr>
            <w:tcW w:w="2440" w:type="dxa"/>
            <w:vAlign w:val="bottom"/>
          </w:tcPr>
          <w:p>
            <w:pPr>
              <w:jc w:val="center"/>
              <w:spacing w:after="0" w:line="187" w:lineRule="exact"/>
              <w:rPr>
                <w:sz w:val="20"/>
                <w:szCs w:val="20"/>
                <w:color w:val="auto"/>
              </w:rPr>
            </w:pPr>
            <w:r>
              <w:rPr>
                <w:rFonts w:ascii="Calibri" w:cs="Calibri" w:eastAsia="Calibri" w:hAnsi="Calibri"/>
                <w:sz w:val="16"/>
                <w:szCs w:val="16"/>
                <w:color w:val="auto"/>
              </w:rPr>
              <w:t>HWKN</w:t>
            </w:r>
          </w:p>
        </w:tc>
        <w:tc>
          <w:tcPr>
            <w:tcW w:w="4480" w:type="dxa"/>
            <w:vAlign w:val="bottom"/>
          </w:tcPr>
          <w:p>
            <w:pPr>
              <w:jc w:val="center"/>
              <w:ind w:right="159"/>
              <w:spacing w:after="0" w:line="187" w:lineRule="exact"/>
              <w:rPr>
                <w:sz w:val="20"/>
                <w:szCs w:val="20"/>
                <w:color w:val="auto"/>
              </w:rPr>
            </w:pPr>
            <w:r>
              <w:rPr>
                <w:rFonts w:ascii="Calibri" w:cs="Calibri" w:eastAsia="Calibri" w:hAnsi="Calibri"/>
                <w:sz w:val="16"/>
                <w:szCs w:val="16"/>
                <w:color w:val="auto"/>
                <w:w w:val="99"/>
              </w:rPr>
              <w:t>The Nasdaq Stock Market LLC</w:t>
            </w:r>
          </w:p>
        </w:tc>
      </w:tr>
    </w:tbl>
    <w:p>
      <w:pPr>
        <w:spacing w:after="0" w:line="243" w:lineRule="exact"/>
        <w:rPr>
          <w:sz w:val="24"/>
          <w:szCs w:val="24"/>
          <w:color w:val="auto"/>
        </w:rPr>
      </w:pPr>
    </w:p>
    <w:p>
      <w:pPr>
        <w:jc w:val="both"/>
        <w:ind w:right="4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500"/>
        <w:spacing w:after="0" w:line="233" w:lineRule="exact"/>
        <w:rPr>
          <w:sz w:val="20"/>
          <w:szCs w:val="20"/>
          <w:color w:val="auto"/>
        </w:rPr>
      </w:pPr>
      <w:r>
        <w:rPr>
          <w:rFonts w:ascii="Calibri" w:cs="Calibri" w:eastAsia="Calibri" w:hAnsi="Calibri"/>
          <w:sz w:val="18"/>
          <w:szCs w:val="18"/>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8"/>
          <w:szCs w:val="18"/>
          <w:color w:val="auto"/>
        </w:rPr>
        <w:t>☒</w:t>
      </w:r>
      <w:r>
        <w:rPr>
          <w:rFonts w:ascii="Calibri" w:cs="Calibri" w:eastAsia="Calibri" w:hAnsi="Calibri"/>
          <w:sz w:val="18"/>
          <w:szCs w:val="18"/>
          <w:color w:val="auto"/>
        </w:rPr>
        <w:t xml:space="preserve"> No </w:t>
      </w:r>
      <w:r>
        <w:rPr>
          <w:rFonts w:ascii="MS PGothic" w:cs="MS PGothic" w:eastAsia="MS PGothic" w:hAnsi="MS PGothic"/>
          <w:sz w:val="18"/>
          <w:szCs w:val="18"/>
          <w:color w:val="auto"/>
        </w:rPr>
        <w:t>☐</w:t>
      </w:r>
    </w:p>
    <w:p>
      <w:pPr>
        <w:spacing w:after="0" w:line="126" w:lineRule="exact"/>
        <w:rPr>
          <w:sz w:val="24"/>
          <w:szCs w:val="24"/>
          <w:color w:val="auto"/>
        </w:rPr>
      </w:pPr>
    </w:p>
    <w:p>
      <w:pPr>
        <w:ind w:right="100"/>
        <w:spacing w:after="0" w:line="235" w:lineRule="auto"/>
        <w:rPr>
          <w:sz w:val="20"/>
          <w:szCs w:val="20"/>
          <w:color w:val="auto"/>
        </w:rPr>
      </w:pPr>
      <w:r>
        <w:rPr>
          <w:rFonts w:ascii="Calibri" w:cs="Calibri" w:eastAsia="Calibri" w:hAnsi="Calibri"/>
          <w:sz w:val="18"/>
          <w:szCs w:val="18"/>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330"/>
        </w:trPr>
        <w:tc>
          <w:tcPr>
            <w:tcW w:w="1940" w:type="dxa"/>
            <w:vAlign w:val="bottom"/>
          </w:tcPr>
          <w:p>
            <w:pPr>
              <w:spacing w:after="0"/>
              <w:rPr>
                <w:sz w:val="20"/>
                <w:szCs w:val="20"/>
                <w:color w:val="auto"/>
              </w:rPr>
            </w:pPr>
            <w:r>
              <w:rPr>
                <w:rFonts w:ascii="Calibri" w:cs="Calibri" w:eastAsia="Calibri" w:hAnsi="Calibri"/>
                <w:sz w:val="18"/>
                <w:szCs w:val="18"/>
                <w:color w:val="auto"/>
              </w:rPr>
              <w:t>Large 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Accelerated fler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1940" w:type="dxa"/>
            <w:vAlign w:val="bottom"/>
          </w:tcPr>
          <w:p>
            <w:pPr>
              <w:spacing w:after="0"/>
              <w:rPr>
                <w:sz w:val="20"/>
                <w:szCs w:val="20"/>
                <w:color w:val="auto"/>
              </w:rPr>
            </w:pPr>
            <w:r>
              <w:rPr>
                <w:rFonts w:ascii="Calibri" w:cs="Calibri" w:eastAsia="Calibri" w:hAnsi="Calibri"/>
                <w:sz w:val="18"/>
                <w:szCs w:val="18"/>
                <w:color w:val="auto"/>
              </w:rPr>
              <w:t>Non-accelerated fler</w:t>
            </w:r>
          </w:p>
        </w:tc>
        <w:tc>
          <w:tcPr>
            <w:tcW w:w="31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60"/>
              <w:spacing w:after="0"/>
              <w:rPr>
                <w:sz w:val="20"/>
                <w:szCs w:val="20"/>
                <w:color w:val="auto"/>
              </w:rPr>
            </w:pPr>
            <w:r>
              <w:rPr>
                <w:rFonts w:ascii="Calibri" w:cs="Calibri" w:eastAsia="Calibri" w:hAnsi="Calibri"/>
                <w:sz w:val="18"/>
                <w:szCs w:val="18"/>
                <w:color w:val="auto"/>
              </w:rPr>
              <w:t>Smaller reportng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60" w:type="dxa"/>
            <w:vAlign w:val="bottom"/>
          </w:tcPr>
          <w:p>
            <w:pPr>
              <w:ind w:left="2660"/>
              <w:spacing w:after="0"/>
              <w:rPr>
                <w:sz w:val="20"/>
                <w:szCs w:val="20"/>
                <w:color w:val="auto"/>
              </w:rPr>
            </w:pPr>
            <w:r>
              <w:rPr>
                <w:rFonts w:ascii="Calibri" w:cs="Calibri" w:eastAsia="Calibri" w:hAnsi="Calibri"/>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9" w:lineRule="exact"/>
        <w:rPr>
          <w:sz w:val="24"/>
          <w:szCs w:val="24"/>
          <w:color w:val="auto"/>
        </w:rPr>
      </w:pPr>
    </w:p>
    <w:p>
      <w:pPr>
        <w:ind w:right="100"/>
        <w:spacing w:after="0" w:line="240"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197" w:lineRule="auto"/>
        <w:rPr>
          <w:sz w:val="20"/>
          <w:szCs w:val="20"/>
          <w:color w:val="auto"/>
        </w:rPr>
      </w:pPr>
      <w:r>
        <w:rPr>
          <w:rFonts w:ascii="Calibri" w:cs="Calibri" w:eastAsia="Calibri" w:hAnsi="Calibri"/>
          <w:sz w:val="18"/>
          <w:szCs w:val="18"/>
          <w:color w:val="auto"/>
        </w:rPr>
        <w:t>Indicate by check mark whether the registrant is a shell company (as defned in Rule 12b-2 of the Exchange Act).</w:t>
      </w:r>
    </w:p>
    <w:p>
      <w:pPr>
        <w:ind w:left="660"/>
        <w:spacing w:after="0" w:line="220" w:lineRule="exact"/>
        <w:tabs>
          <w:tab w:leader="none" w:pos="1280" w:val="left"/>
        </w:tabs>
        <w:rPr>
          <w:sz w:val="20"/>
          <w:szCs w:val="20"/>
          <w:color w:val="auto"/>
        </w:rPr>
      </w:pPr>
      <w:r>
        <w:rPr>
          <w:rFonts w:ascii="Calibri" w:cs="Calibri" w:eastAsia="Calibri" w:hAnsi="Calibri"/>
          <w:sz w:val="18"/>
          <w:szCs w:val="18"/>
          <w:color w:val="auto"/>
        </w:rPr>
        <w:t xml:space="preserve">Yes </w:t>
      </w:r>
      <w:r>
        <w:rPr>
          <w:rFonts w:ascii="MS PGothic" w:cs="MS PGothic" w:eastAsia="MS PGothic" w:hAnsi="MS PGothic"/>
          <w:sz w:val="18"/>
          <w:szCs w:val="18"/>
          <w:color w:val="auto"/>
        </w:rPr>
        <w:t>☐</w:t>
      </w:r>
      <w:r>
        <w:rPr>
          <w:rFonts w:ascii="Calibri" w:cs="Calibri" w:eastAsia="Calibri" w:hAnsi="Calibri"/>
          <w:sz w:val="18"/>
          <w:szCs w:val="18"/>
          <w:color w:val="auto"/>
        </w:rPr>
        <w:tab/>
        <w:t xml:space="preserve">No </w:t>
      </w:r>
      <w:r>
        <w:rPr>
          <w:rFonts w:ascii="MS PGothic" w:cs="MS PGothic" w:eastAsia="MS PGothic" w:hAnsi="MS PGothic"/>
          <w:sz w:val="18"/>
          <w:szCs w:val="18"/>
          <w:color w:val="auto"/>
        </w:rPr>
        <w:t>☒</w:t>
      </w:r>
    </w:p>
    <w:p>
      <w:pPr>
        <w:spacing w:after="0" w:line="6" w:lineRule="exact"/>
        <w:rPr>
          <w:sz w:val="24"/>
          <w:szCs w:val="24"/>
          <w:color w:val="auto"/>
        </w:rPr>
      </w:pPr>
    </w:p>
    <w:p>
      <w:pPr>
        <w:spacing w:after="0"/>
        <w:rPr>
          <w:sz w:val="20"/>
          <w:szCs w:val="20"/>
          <w:color w:val="auto"/>
        </w:rPr>
      </w:pPr>
      <w:r>
        <w:rPr>
          <w:rFonts w:ascii="Calibri" w:cs="Calibri" w:eastAsia="Calibri" w:hAnsi="Calibri"/>
          <w:sz w:val="18"/>
          <w:szCs w:val="18"/>
          <w:color w:val="auto"/>
        </w:rPr>
        <w:t>Indicate the number of shares outstanding of each of the issuer’s classes of common stock, as of the latest practcable date.</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5120" w:type="dxa"/>
            <w:vAlign w:val="bottom"/>
            <w:gridSpan w:val="2"/>
          </w:tcPr>
          <w:p>
            <w:pPr>
              <w:jc w:val="center"/>
              <w:ind w:right="300"/>
              <w:spacing w:after="0"/>
              <w:rPr>
                <w:sz w:val="20"/>
                <w:szCs w:val="20"/>
                <w:color w:val="auto"/>
              </w:rPr>
            </w:pPr>
            <w:r>
              <w:rPr>
                <w:rFonts w:ascii="Calibri" w:cs="Calibri" w:eastAsia="Calibri" w:hAnsi="Calibri"/>
                <w:sz w:val="14"/>
                <w:szCs w:val="14"/>
                <w:color w:val="auto"/>
                <w:w w:val="98"/>
              </w:rPr>
              <w:t>CLASS</w:t>
            </w:r>
          </w:p>
        </w:tc>
        <w:tc>
          <w:tcPr>
            <w:tcW w:w="6080" w:type="dxa"/>
            <w:vAlign w:val="bottom"/>
            <w:gridSpan w:val="2"/>
          </w:tcPr>
          <w:p>
            <w:pPr>
              <w:jc w:val="center"/>
              <w:ind w:right="1280"/>
              <w:spacing w:after="0"/>
              <w:rPr>
                <w:sz w:val="20"/>
                <w:szCs w:val="20"/>
                <w:color w:val="auto"/>
              </w:rPr>
            </w:pPr>
            <w:r>
              <w:rPr>
                <w:rFonts w:ascii="Calibri" w:cs="Calibri" w:eastAsia="Calibri" w:hAnsi="Calibri"/>
                <w:sz w:val="14"/>
                <w:szCs w:val="14"/>
                <w:color w:val="auto"/>
              </w:rPr>
              <w:t>Shares Outstanding at October 25, 2024</w:t>
            </w:r>
          </w:p>
        </w:tc>
      </w:tr>
      <w:tr>
        <w:trPr>
          <w:trHeight w:val="47"/>
        </w:trPr>
        <w:tc>
          <w:tcPr>
            <w:tcW w:w="4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1260" w:type="dxa"/>
            <w:vAlign w:val="bottom"/>
          </w:tcPr>
          <w:p>
            <w:pPr>
              <w:spacing w:after="0"/>
              <w:rPr>
                <w:sz w:val="4"/>
                <w:szCs w:val="4"/>
                <w:color w:val="auto"/>
              </w:rPr>
            </w:pPr>
          </w:p>
        </w:tc>
      </w:tr>
      <w:tr>
        <w:trPr>
          <w:trHeight w:val="208"/>
        </w:trPr>
        <w:tc>
          <w:tcPr>
            <w:tcW w:w="40" w:type="dxa"/>
            <w:vAlign w:val="bottom"/>
          </w:tcPr>
          <w:p>
            <w:pPr>
              <w:spacing w:after="0"/>
              <w:rPr>
                <w:sz w:val="18"/>
                <w:szCs w:val="18"/>
                <w:color w:val="auto"/>
              </w:rPr>
            </w:pPr>
          </w:p>
        </w:tc>
        <w:tc>
          <w:tcPr>
            <w:tcW w:w="482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$.01 per share</w:t>
            </w:r>
          </w:p>
        </w:tc>
        <w:tc>
          <w:tcPr>
            <w:tcW w:w="300" w:type="dxa"/>
            <w:vAlign w:val="bottom"/>
          </w:tcPr>
          <w:p>
            <w:pPr>
              <w:spacing w:after="0"/>
              <w:rPr>
                <w:sz w:val="18"/>
                <w:szCs w:val="18"/>
                <w:color w:val="auto"/>
              </w:rPr>
            </w:pPr>
          </w:p>
        </w:tc>
        <w:tc>
          <w:tcPr>
            <w:tcW w:w="4820" w:type="dxa"/>
            <w:vAlign w:val="bottom"/>
          </w:tcPr>
          <w:p>
            <w:pPr>
              <w:jc w:val="right"/>
              <w:ind w:right="1939"/>
              <w:spacing w:after="0" w:line="208" w:lineRule="exact"/>
              <w:rPr>
                <w:sz w:val="20"/>
                <w:szCs w:val="20"/>
                <w:color w:val="auto"/>
              </w:rPr>
            </w:pPr>
            <w:r>
              <w:rPr>
                <w:rFonts w:ascii="Calibri" w:cs="Calibri" w:eastAsia="Calibri" w:hAnsi="Calibri"/>
                <w:sz w:val="18"/>
                <w:szCs w:val="18"/>
                <w:color w:val="auto"/>
              </w:rPr>
              <w:t>20,910,745</w:t>
            </w:r>
          </w:p>
        </w:tc>
        <w:tc>
          <w:tcPr>
            <w:tcW w:w="1260" w:type="dxa"/>
            <w:vAlign w:val="bottom"/>
          </w:tcPr>
          <w:p>
            <w:pPr>
              <w:spacing w:after="0"/>
              <w:rPr>
                <w:sz w:val="18"/>
                <w:szCs w:val="18"/>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0"/>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 w:name="page2"/>
    <w:bookmarkEnd w:id="1"/>
    <w:p>
      <w:pPr>
        <w:jc w:val="center"/>
        <w:ind w:right="-879"/>
        <w:spacing w:after="0"/>
        <w:rPr>
          <w:sz w:val="20"/>
          <w:szCs w:val="20"/>
          <w:color w:val="auto"/>
        </w:rPr>
      </w:pPr>
      <w:r>
        <w:rPr>
          <w:rFonts w:ascii="Calibri" w:cs="Calibri" w:eastAsia="Calibri" w:hAnsi="Calibri"/>
          <w:sz w:val="18"/>
          <w:szCs w:val="18"/>
          <w:b w:val="1"/>
          <w:bCs w:val="1"/>
          <w:color w:val="auto"/>
        </w:rPr>
        <w:t>HAWKINS, INC.</w:t>
      </w:r>
    </w:p>
    <w:p>
      <w:pPr>
        <w:jc w:val="center"/>
        <w:ind w:right="-899"/>
        <w:spacing w:after="0" w:line="235" w:lineRule="auto"/>
        <w:rPr>
          <w:sz w:val="20"/>
          <w:szCs w:val="20"/>
          <w:color w:val="auto"/>
        </w:rPr>
      </w:pPr>
      <w:r>
        <w:rPr>
          <w:rFonts w:ascii="Calibri" w:cs="Calibri" w:eastAsia="Calibri" w:hAnsi="Calibri"/>
          <w:sz w:val="18"/>
          <w:szCs w:val="18"/>
          <w:b w:val="1"/>
          <w:bCs w:val="1"/>
          <w:color w:val="auto"/>
        </w:rPr>
        <w:t>INDEX TO FORM 10-Q</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Page</w:t>
            </w:r>
          </w:p>
        </w:tc>
      </w:tr>
      <w:tr>
        <w:trPr>
          <w:trHeight w:val="277"/>
        </w:trPr>
        <w:tc>
          <w:tcPr>
            <w:tcW w:w="1120" w:type="dxa"/>
            <w:vAlign w:val="bottom"/>
          </w:tcPr>
          <w:p>
            <w:pPr>
              <w:spacing w:after="0"/>
              <w:rPr>
                <w:sz w:val="20"/>
                <w:szCs w:val="20"/>
                <w:color w:val="auto"/>
              </w:rPr>
            </w:pPr>
            <w:r>
              <w:rPr>
                <w:rFonts w:ascii="Calibri" w:cs="Calibri" w:eastAsia="Calibri" w:hAnsi="Calibri"/>
                <w:sz w:val="18"/>
                <w:szCs w:val="18"/>
                <w:b w:val="1"/>
                <w:bCs w:val="1"/>
                <w:color w:val="auto"/>
              </w:rPr>
              <w:t>PART I.</w:t>
            </w:r>
          </w:p>
        </w:tc>
        <w:tc>
          <w:tcPr>
            <w:tcW w:w="8220" w:type="dxa"/>
            <w:vAlign w:val="bottom"/>
            <w:gridSpan w:val="22"/>
          </w:tcPr>
          <w:p>
            <w:pPr>
              <w:spacing w:after="0"/>
              <w:rPr>
                <w:sz w:val="20"/>
                <w:szCs w:val="20"/>
                <w:color w:val="auto"/>
              </w:rPr>
            </w:pPr>
            <w:r>
              <w:rPr>
                <w:rFonts w:ascii="Calibri" w:cs="Calibri" w:eastAsia="Calibri" w:hAnsi="Calibri"/>
                <w:sz w:val="18"/>
                <w:szCs w:val="18"/>
                <w:b w:val="1"/>
                <w:bCs w:val="1"/>
                <w:color w:val="0000FF"/>
              </w:rPr>
              <w:t>FINANCIAL INFORMATION</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w:t>
            </w: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Financial Statements (unaudited):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Condensed Consolidated Balance Sheets – September 29, 2024 and March 31, 2024</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1</w:t>
            </w: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Income – Three and Six Months Ended September 29, 2024 and</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2</w:t>
            </w:r>
          </w:p>
        </w:tc>
      </w:tr>
      <w:tr>
        <w:trPr>
          <w:trHeight w:val="156"/>
        </w:trPr>
        <w:tc>
          <w:tcPr>
            <w:tcW w:w="11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56" w:lineRule="exact"/>
              <w:rPr>
                <w:sz w:val="20"/>
                <w:szCs w:val="20"/>
                <w:color w:val="auto"/>
              </w:rPr>
            </w:pPr>
            <w:r>
              <w:rPr>
                <w:rFonts w:ascii="Calibri" w:cs="Calibri" w:eastAsia="Calibri" w:hAnsi="Calibri"/>
                <w:sz w:val="16"/>
                <w:szCs w:val="16"/>
                <w:color w:val="0000FF"/>
              </w:rPr>
              <w:t>October 1, 2023</w:t>
            </w:r>
          </w:p>
        </w:tc>
        <w:tc>
          <w:tcPr>
            <w:tcW w:w="6220" w:type="dxa"/>
            <w:vAlign w:val="bottom"/>
            <w:tcBorders>
              <w:top w:val="single" w:sz="8" w:color="0000FF"/>
            </w:tcBorders>
            <w:gridSpan w:val="16"/>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Comprehensive Income – Three and Six Months Ended September</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3</w:t>
            </w:r>
          </w:p>
        </w:tc>
      </w:tr>
      <w:tr>
        <w:trPr>
          <w:trHeight w:val="156"/>
        </w:trPr>
        <w:tc>
          <w:tcPr>
            <w:tcW w:w="1120" w:type="dxa"/>
            <w:vAlign w:val="bottom"/>
          </w:tcPr>
          <w:p>
            <w:pPr>
              <w:spacing w:after="0"/>
              <w:rPr>
                <w:sz w:val="13"/>
                <w:szCs w:val="13"/>
                <w:color w:val="auto"/>
              </w:rPr>
            </w:pPr>
          </w:p>
        </w:tc>
        <w:tc>
          <w:tcPr>
            <w:tcW w:w="7560" w:type="dxa"/>
            <w:vAlign w:val="bottom"/>
            <w:tcBorders>
              <w:top w:val="single" w:sz="8" w:color="0000FF"/>
            </w:tcBorders>
            <w:gridSpan w:val="21"/>
          </w:tcPr>
          <w:p>
            <w:pPr>
              <w:spacing w:after="0" w:line="156" w:lineRule="exact"/>
              <w:rPr>
                <w:sz w:val="20"/>
                <w:szCs w:val="20"/>
                <w:color w:val="auto"/>
              </w:rPr>
            </w:pPr>
            <w:r>
              <w:rPr>
                <w:rFonts w:ascii="Calibri" w:cs="Calibri" w:eastAsia="Calibri" w:hAnsi="Calibri"/>
                <w:sz w:val="16"/>
                <w:szCs w:val="16"/>
                <w:color w:val="0000FF"/>
              </w:rPr>
              <w:t>29, 2024 and October 1, 2023</w:t>
            </w: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Shareholder’s Equity – Three and Six Months Ended September</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4</w:t>
            </w:r>
          </w:p>
        </w:tc>
      </w:tr>
      <w:tr>
        <w:trPr>
          <w:trHeight w:val="156"/>
        </w:trPr>
        <w:tc>
          <w:tcPr>
            <w:tcW w:w="1120" w:type="dxa"/>
            <w:vAlign w:val="bottom"/>
          </w:tcPr>
          <w:p>
            <w:pPr>
              <w:spacing w:after="0"/>
              <w:rPr>
                <w:sz w:val="13"/>
                <w:szCs w:val="13"/>
                <w:color w:val="auto"/>
              </w:rPr>
            </w:pPr>
          </w:p>
        </w:tc>
        <w:tc>
          <w:tcPr>
            <w:tcW w:w="7340" w:type="dxa"/>
            <w:vAlign w:val="bottom"/>
            <w:tcBorders>
              <w:top w:val="single" w:sz="8" w:color="0000FF"/>
            </w:tcBorders>
            <w:gridSpan w:val="18"/>
          </w:tcPr>
          <w:p>
            <w:pPr>
              <w:spacing w:after="0" w:line="156" w:lineRule="exact"/>
              <w:rPr>
                <w:sz w:val="20"/>
                <w:szCs w:val="20"/>
                <w:color w:val="auto"/>
              </w:rPr>
            </w:pPr>
            <w:r>
              <w:rPr>
                <w:rFonts w:ascii="Calibri" w:cs="Calibri" w:eastAsia="Calibri" w:hAnsi="Calibri"/>
                <w:sz w:val="16"/>
                <w:szCs w:val="16"/>
                <w:color w:val="0000FF"/>
              </w:rPr>
              <w:t>29, 2024 and October 1, 2023</w:t>
            </w:r>
          </w:p>
        </w:tc>
        <w:tc>
          <w:tcPr>
            <w:tcW w:w="140" w:type="dxa"/>
            <w:vAlign w:val="bottom"/>
            <w:gridSpan w:val="2"/>
          </w:tcPr>
          <w:p>
            <w:pPr>
              <w:spacing w:after="0"/>
              <w:rPr>
                <w:sz w:val="13"/>
                <w:szCs w:val="13"/>
                <w:color w:val="auto"/>
              </w:rPr>
            </w:pPr>
          </w:p>
        </w:tc>
        <w:tc>
          <w:tcPr>
            <w:tcW w:w="7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4"/>
                <w:szCs w:val="24"/>
                <w:color w:val="auto"/>
              </w:rPr>
            </w:pP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Condensed Consolidated Statements of Cash Flows – Six Months Ended September 29, 2024 and October</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5</w:t>
            </w:r>
          </w:p>
        </w:tc>
      </w:tr>
      <w:tr>
        <w:trPr>
          <w:trHeight w:val="156"/>
        </w:trPr>
        <w:tc>
          <w:tcPr>
            <w:tcW w:w="11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sz w:val="20"/>
                <w:szCs w:val="20"/>
                <w:color w:val="auto"/>
              </w:rPr>
            </w:pPr>
            <w:r>
              <w:rPr>
                <w:rFonts w:ascii="Calibri" w:cs="Calibri" w:eastAsia="Calibri" w:hAnsi="Calibri"/>
                <w:sz w:val="16"/>
                <w:szCs w:val="16"/>
                <w:color w:val="0000FF"/>
              </w:rPr>
              <w:t>1, 2023</w:t>
            </w:r>
          </w:p>
        </w:tc>
        <w:tc>
          <w:tcPr>
            <w:tcW w:w="2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r>
      <w:tr>
        <w:trPr>
          <w:trHeight w:val="277"/>
        </w:trPr>
        <w:tc>
          <w:tcPr>
            <w:tcW w:w="1120" w:type="dxa"/>
            <w:vAlign w:val="bottom"/>
          </w:tcPr>
          <w:p>
            <w:pPr>
              <w:spacing w:after="0"/>
              <w:rPr>
                <w:sz w:val="24"/>
                <w:szCs w:val="24"/>
                <w:color w:val="auto"/>
              </w:rPr>
            </w:pP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Notes to Condensed Consolidated Financial Statements</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6</w:t>
            </w: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2.</w:t>
            </w:r>
          </w:p>
        </w:tc>
        <w:tc>
          <w:tcPr>
            <w:tcW w:w="6240" w:type="dxa"/>
            <w:vAlign w:val="bottom"/>
            <w:tcBorders>
              <w:bottom w:val="single" w:sz="8" w:color="0000FF"/>
            </w:tcBorders>
            <w:gridSpan w:val="17"/>
          </w:tcPr>
          <w:p>
            <w:pPr>
              <w:spacing w:after="0"/>
              <w:rPr>
                <w:sz w:val="20"/>
                <w:szCs w:val="20"/>
                <w:color w:val="auto"/>
              </w:rPr>
            </w:pPr>
            <w:r>
              <w:rPr>
                <w:rFonts w:ascii="Calibri" w:cs="Calibri" w:eastAsia="Calibri" w:hAnsi="Calibri"/>
                <w:sz w:val="18"/>
                <w:szCs w:val="18"/>
                <w:color w:val="0000FF"/>
                <w:w w:val="98"/>
              </w:rPr>
              <w:t>Management’s Discussion and Analysis of Financial Conditon and Results of Operatons</w:t>
            </w:r>
          </w:p>
        </w:tc>
        <w:tc>
          <w:tcPr>
            <w:tcW w:w="1980" w:type="dxa"/>
            <w:vAlign w:val="bottom"/>
            <w:gridSpan w:val="5"/>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14</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3.</w:t>
            </w:r>
          </w:p>
        </w:tc>
        <w:tc>
          <w:tcPr>
            <w:tcW w:w="4200" w:type="dxa"/>
            <w:vAlign w:val="bottom"/>
            <w:tcBorders>
              <w:bottom w:val="single" w:sz="8" w:color="0000FF"/>
            </w:tcBorders>
            <w:gridSpan w:val="14"/>
          </w:tcPr>
          <w:p>
            <w:pPr>
              <w:spacing w:after="0"/>
              <w:rPr>
                <w:sz w:val="20"/>
                <w:szCs w:val="20"/>
                <w:color w:val="auto"/>
              </w:rPr>
            </w:pPr>
            <w:r>
              <w:rPr>
                <w:rFonts w:ascii="Calibri" w:cs="Calibri" w:eastAsia="Calibri" w:hAnsi="Calibri"/>
                <w:sz w:val="18"/>
                <w:szCs w:val="18"/>
                <w:color w:val="0000FF"/>
                <w:w w:val="99"/>
              </w:rPr>
              <w:t>Quanttatve and Qualitatve Disclosures about Market Risk</w:t>
            </w:r>
          </w:p>
        </w:tc>
        <w:tc>
          <w:tcPr>
            <w:tcW w:w="4020" w:type="dxa"/>
            <w:vAlign w:val="bottom"/>
            <w:gridSpan w:val="8"/>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16</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Calibri" w:cs="Calibri" w:eastAsia="Calibri" w:hAnsi="Calibri"/>
                <w:sz w:val="18"/>
                <w:szCs w:val="18"/>
                <w:color w:val="0000FF"/>
                <w:w w:val="96"/>
              </w:rPr>
              <w:t>Controls and Procedures</w:t>
            </w:r>
          </w:p>
        </w:tc>
        <w:tc>
          <w:tcPr>
            <w:tcW w:w="6460" w:type="dxa"/>
            <w:vAlign w:val="bottom"/>
            <w:gridSpan w:val="14"/>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16</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b w:val="1"/>
                <w:bCs w:val="1"/>
                <w:color w:val="auto"/>
              </w:rPr>
              <w:t>PART II.</w:t>
            </w:r>
          </w:p>
        </w:tc>
        <w:tc>
          <w:tcPr>
            <w:tcW w:w="1620" w:type="dxa"/>
            <w:vAlign w:val="bottom"/>
            <w:tcBorders>
              <w:bottom w:val="single" w:sz="8" w:color="0000FF"/>
            </w:tcBorders>
            <w:gridSpan w:val="6"/>
          </w:tcPr>
          <w:p>
            <w:pPr>
              <w:spacing w:after="0"/>
              <w:rPr>
                <w:sz w:val="20"/>
                <w:szCs w:val="20"/>
                <w:color w:val="auto"/>
              </w:rPr>
            </w:pPr>
            <w:r>
              <w:rPr>
                <w:rFonts w:ascii="Calibri" w:cs="Calibri" w:eastAsia="Calibri" w:hAnsi="Calibri"/>
                <w:sz w:val="18"/>
                <w:szCs w:val="18"/>
                <w:b w:val="1"/>
                <w:bCs w:val="1"/>
                <w:color w:val="0000FF"/>
                <w:w w:val="95"/>
              </w:rPr>
              <w:t>OTHER INFORMATION</w:t>
            </w:r>
          </w:p>
        </w:tc>
        <w:tc>
          <w:tcPr>
            <w:tcW w:w="6600" w:type="dxa"/>
            <w:vAlign w:val="bottom"/>
            <w:gridSpan w:val="16"/>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w:t>
            </w:r>
          </w:p>
        </w:tc>
        <w:tc>
          <w:tcPr>
            <w:tcW w:w="1280" w:type="dxa"/>
            <w:vAlign w:val="bottom"/>
            <w:tcBorders>
              <w:bottom w:val="single" w:sz="8" w:color="0000FF"/>
            </w:tcBorders>
            <w:gridSpan w:val="4"/>
          </w:tcPr>
          <w:p>
            <w:pPr>
              <w:spacing w:after="0"/>
              <w:rPr>
                <w:sz w:val="20"/>
                <w:szCs w:val="20"/>
                <w:color w:val="auto"/>
              </w:rPr>
            </w:pPr>
            <w:r>
              <w:rPr>
                <w:rFonts w:ascii="Calibri" w:cs="Calibri" w:eastAsia="Calibri" w:hAnsi="Calibri"/>
                <w:sz w:val="18"/>
                <w:szCs w:val="18"/>
                <w:color w:val="0000FF"/>
                <w:w w:val="96"/>
              </w:rPr>
              <w:t>Legal Proceedings</w:t>
            </w:r>
          </w:p>
        </w:tc>
        <w:tc>
          <w:tcPr>
            <w:tcW w:w="6940" w:type="dxa"/>
            <w:vAlign w:val="bottom"/>
            <w:gridSpan w:val="18"/>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17</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1A.</w:t>
            </w: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Risk Factors</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17</w:t>
            </w: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0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2.</w:t>
            </w: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17</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3.</w:t>
            </w:r>
          </w:p>
        </w:tc>
        <w:tc>
          <w:tcPr>
            <w:tcW w:w="4220" w:type="dxa"/>
            <w:vAlign w:val="bottom"/>
            <w:tcBorders>
              <w:top w:val="single" w:sz="8" w:color="0000FF"/>
            </w:tcBorders>
            <w:gridSpan w:val="15"/>
          </w:tcPr>
          <w:p>
            <w:pPr>
              <w:spacing w:after="0"/>
              <w:rPr>
                <w:sz w:val="20"/>
                <w:szCs w:val="20"/>
                <w:color w:val="auto"/>
              </w:rPr>
            </w:pPr>
            <w:r>
              <w:rPr>
                <w:rFonts w:ascii="Calibri" w:cs="Calibri" w:eastAsia="Calibri" w:hAnsi="Calibri"/>
                <w:sz w:val="18"/>
                <w:szCs w:val="18"/>
                <w:color w:val="0000FF"/>
              </w:rPr>
              <w:t>Defaults Upon Senior Securites</w:t>
            </w:r>
          </w:p>
        </w:tc>
        <w:tc>
          <w:tcPr>
            <w:tcW w:w="4000" w:type="dxa"/>
            <w:vAlign w:val="bottom"/>
            <w:gridSpan w:val="7"/>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17</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Calibri" w:cs="Calibri" w:eastAsia="Calibri" w:hAnsi="Calibri"/>
                <w:sz w:val="18"/>
                <w:szCs w:val="18"/>
                <w:color w:val="0000FF"/>
                <w:w w:val="96"/>
              </w:rPr>
              <w:t>Mine Safety Disclosures</w:t>
            </w:r>
          </w:p>
        </w:tc>
        <w:tc>
          <w:tcPr>
            <w:tcW w:w="540" w:type="dxa"/>
            <w:vAlign w:val="bottom"/>
            <w:tcBorders>
              <w:top w:val="single" w:sz="8" w:color="0000FF"/>
            </w:tcBorders>
            <w:gridSpan w:val="4"/>
          </w:tcPr>
          <w:p>
            <w:pPr>
              <w:spacing w:after="0"/>
              <w:rPr>
                <w:sz w:val="22"/>
                <w:szCs w:val="22"/>
                <w:color w:val="auto"/>
              </w:rPr>
            </w:pPr>
          </w:p>
        </w:tc>
        <w:tc>
          <w:tcPr>
            <w:tcW w:w="5980" w:type="dxa"/>
            <w:vAlign w:val="bottom"/>
            <w:gridSpan w:val="11"/>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17</w:t>
            </w:r>
          </w:p>
        </w:tc>
      </w:tr>
      <w:tr>
        <w:trPr>
          <w:trHeight w:val="264"/>
        </w:trPr>
        <w:tc>
          <w:tcPr>
            <w:tcW w:w="1120" w:type="dxa"/>
            <w:vAlign w:val="bottom"/>
          </w:tcPr>
          <w:p>
            <w:pPr>
              <w:spacing w:after="0"/>
              <w:rPr>
                <w:sz w:val="20"/>
                <w:szCs w:val="20"/>
                <w:color w:val="auto"/>
              </w:rPr>
            </w:pPr>
            <w:r>
              <w:rPr>
                <w:rFonts w:ascii="Calibri" w:cs="Calibri" w:eastAsia="Calibri" w:hAnsi="Calibri"/>
                <w:sz w:val="18"/>
                <w:szCs w:val="18"/>
                <w:color w:val="auto"/>
              </w:rPr>
              <w:t>Item 5.</w:t>
            </w:r>
          </w:p>
        </w:tc>
        <w:tc>
          <w:tcPr>
            <w:tcW w:w="8220" w:type="dxa"/>
            <w:vAlign w:val="bottom"/>
            <w:gridSpan w:val="22"/>
          </w:tcPr>
          <w:p>
            <w:pPr>
              <w:spacing w:after="0"/>
              <w:rPr>
                <w:sz w:val="20"/>
                <w:szCs w:val="20"/>
                <w:color w:val="auto"/>
              </w:rPr>
            </w:pPr>
            <w:r>
              <w:rPr>
                <w:rFonts w:ascii="Calibri" w:cs="Calibri" w:eastAsia="Calibri" w:hAnsi="Calibri"/>
                <w:sz w:val="18"/>
                <w:szCs w:val="18"/>
                <w:color w:val="0000FF"/>
              </w:rPr>
              <w:t>Other Informaton</w:t>
            </w:r>
          </w:p>
        </w:tc>
        <w:tc>
          <w:tcPr>
            <w:tcW w:w="940" w:type="dxa"/>
            <w:vAlign w:val="bottom"/>
            <w:gridSpan w:val="3"/>
          </w:tcPr>
          <w:p>
            <w:pPr>
              <w:jc w:val="right"/>
              <w:spacing w:after="0"/>
              <w:rPr>
                <w:sz w:val="20"/>
                <w:szCs w:val="20"/>
                <w:color w:val="auto"/>
              </w:rPr>
            </w:pPr>
            <w:r>
              <w:rPr>
                <w:rFonts w:ascii="Calibri" w:cs="Calibri" w:eastAsia="Calibri" w:hAnsi="Calibri"/>
                <w:sz w:val="18"/>
                <w:szCs w:val="18"/>
                <w:color w:val="0000FF"/>
              </w:rPr>
              <w:t>17</w:t>
            </w:r>
          </w:p>
        </w:tc>
      </w:tr>
      <w:tr>
        <w:trPr>
          <w:trHeight w:val="263"/>
        </w:trPr>
        <w:tc>
          <w:tcPr>
            <w:tcW w:w="1120" w:type="dxa"/>
            <w:vAlign w:val="bottom"/>
          </w:tcPr>
          <w:p>
            <w:pPr>
              <w:spacing w:after="0"/>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000FF"/>
            </w:tcBorders>
            <w:gridSpan w:val="5"/>
          </w:tcPr>
          <w:p>
            <w:pPr>
              <w:spacing w:after="0"/>
              <w:rPr>
                <w:sz w:val="20"/>
                <w:szCs w:val="20"/>
                <w:color w:val="auto"/>
              </w:rPr>
            </w:pPr>
            <w:r>
              <w:rPr>
                <w:rFonts w:ascii="Calibri" w:cs="Calibri" w:eastAsia="Calibri" w:hAnsi="Calibri"/>
                <w:sz w:val="18"/>
                <w:szCs w:val="18"/>
                <w:color w:val="0000FF"/>
              </w:rPr>
              <w:t>Exhibits</w:t>
            </w:r>
          </w:p>
        </w:tc>
        <w:tc>
          <w:tcPr>
            <w:tcW w:w="6920" w:type="dxa"/>
            <w:vAlign w:val="bottom"/>
            <w:gridSpan w:val="17"/>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8"/>
                <w:szCs w:val="18"/>
                <w:color w:val="0000FF"/>
                <w:w w:val="87"/>
              </w:rPr>
              <w:t>18</w:t>
            </w: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Calibri" w:cs="Calibri" w:eastAsia="Calibri" w:hAnsi="Calibri"/>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2" w:right="125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18"/>
          <w:szCs w:val="18"/>
          <w:b w:val="1"/>
          <w:bCs w:val="1"/>
          <w:color w:val="auto"/>
        </w:rPr>
        <w:t>PART I. FINANCIAL INFORMATION</w:t>
      </w:r>
    </w:p>
    <w:p>
      <w:pPr>
        <w:spacing w:after="0" w:line="227" w:lineRule="exact"/>
        <w:rPr>
          <w:sz w:val="20"/>
          <w:szCs w:val="20"/>
          <w:color w:val="auto"/>
        </w:rPr>
      </w:pPr>
    </w:p>
    <w:p>
      <w:pPr>
        <w:spacing w:after="0"/>
        <w:rPr>
          <w:sz w:val="20"/>
          <w:szCs w:val="20"/>
          <w:color w:val="auto"/>
        </w:rPr>
      </w:pPr>
      <w:r>
        <w:rPr>
          <w:rFonts w:ascii="Calibri" w:cs="Calibri" w:eastAsia="Calibri" w:hAnsi="Calibri"/>
          <w:sz w:val="22"/>
          <w:szCs w:val="22"/>
          <w:color w:val="auto"/>
        </w:rPr>
        <w:t>ITEM 1. FINANCIAL STATEMENTS</w:t>
      </w:r>
    </w:p>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BALANCE SHEETS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Calibri" w:cs="Calibri" w:eastAsia="Calibri" w:hAnsi="Calibri"/>
                <w:sz w:val="16"/>
                <w:szCs w:val="16"/>
                <w:b w:val="1"/>
                <w:bCs w:val="1"/>
                <w:color w:val="auto"/>
              </w:rPr>
              <w:t>September 29,</w:t>
            </w:r>
          </w:p>
        </w:tc>
        <w:tc>
          <w:tcPr>
            <w:tcW w:w="24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March 31,</w:t>
            </w:r>
          </w:p>
        </w:tc>
      </w:tr>
      <w:tr>
        <w:trPr>
          <w:trHeight w:val="193"/>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79"/>
              <w:spacing w:after="0" w:line="193" w:lineRule="exact"/>
              <w:rPr>
                <w:sz w:val="20"/>
                <w:szCs w:val="20"/>
                <w:color w:val="auto"/>
              </w:rPr>
            </w:pPr>
            <w:r>
              <w:rPr>
                <w:rFonts w:ascii="Calibri" w:cs="Calibri" w:eastAsia="Calibri" w:hAnsi="Calibri"/>
                <w:sz w:val="16"/>
                <w:szCs w:val="16"/>
                <w:b w:val="1"/>
                <w:bCs w:val="1"/>
                <w:color w:val="auto"/>
              </w:rPr>
              <w:t>2024</w:t>
            </w:r>
          </w:p>
        </w:tc>
      </w:tr>
      <w:tr>
        <w:trPr>
          <w:trHeight w:val="28"/>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824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and cash equivalents</w:t>
            </w: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7,526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Trade accounts receivables, net</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115,221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114,477</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Inventories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81,565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74,600</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5,563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6,596</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assets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209,875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202,826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PLANT, AND EQUIPMENT:</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402,104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386,648</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Less accumulated depreciaton</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184,642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177,774</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Net property, plant, and equipment</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217,462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208,874</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Right-of-use assets</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12,047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11,713</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Goodwill</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111,566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103,399</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Intangible assets, net of accumulated amortzaton</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123,886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116,626</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Deferred compensaton plan asset</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11,698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9,584</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3,163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4,912</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262,360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246,234</w:t>
            </w:r>
          </w:p>
        </w:tc>
      </w:tr>
      <w:tr>
        <w:trPr>
          <w:trHeight w:val="187"/>
        </w:trPr>
        <w:tc>
          <w:tcPr>
            <w:tcW w:w="8240" w:type="dxa"/>
            <w:vAlign w:val="bottom"/>
          </w:tcPr>
          <w:p>
            <w:pPr>
              <w:ind w:left="800"/>
              <w:spacing w:after="0" w:line="182" w:lineRule="exact"/>
              <w:rPr>
                <w:sz w:val="20"/>
                <w:szCs w:val="20"/>
                <w:color w:val="auto"/>
              </w:rPr>
            </w:pPr>
            <w:r>
              <w:rPr>
                <w:rFonts w:ascii="Calibri" w:cs="Calibri" w:eastAsia="Calibri" w:hAnsi="Calibri"/>
                <w:sz w:val="16"/>
                <w:szCs w:val="16"/>
                <w:color w:val="auto"/>
              </w:rPr>
              <w:t>Total assets</w:t>
            </w: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689,697</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3"/>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tcBorders>
              <w:bottom w:val="single" w:sz="8" w:color="CCEEFF"/>
            </w:tcBorders>
            <w:shd w:val="clear" w:color="auto" w:fill="CCEEFF"/>
          </w:tcPr>
          <w:p>
            <w:pPr>
              <w:ind w:left="20"/>
              <w:spacing w:after="0" w:line="161" w:lineRule="exact"/>
              <w:rPr>
                <w:sz w:val="20"/>
                <w:szCs w:val="20"/>
                <w:color w:val="auto"/>
              </w:rPr>
            </w:pPr>
            <w:r>
              <w:rPr>
                <w:rFonts w:ascii="Calibri" w:cs="Calibri" w:eastAsia="Calibri" w:hAnsi="Calibri"/>
                <w:sz w:val="16"/>
                <w:szCs w:val="16"/>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CURRENT LIABILITIES: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Accounts payable — trade</w:t>
            </w: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50,956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56,387</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Accrued payroll and employee benefts</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12,701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19,532</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Income tax payable</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1,943</w:t>
            </w:r>
          </w:p>
        </w:tc>
      </w:tr>
      <w:tr>
        <w:trPr>
          <w:trHeight w:val="193"/>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Current porton of long-term debt</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9,913</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Environmental remediaton</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7,700</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current liabilites</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8,787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7,832</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current liabilites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92,341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103,307</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DEBT, LESS CURRENT PORTION</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93,862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88,818</w:t>
            </w:r>
          </w:p>
        </w:tc>
      </w:tr>
      <w:tr>
        <w:trPr>
          <w:trHeight w:val="22"/>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LONG-TERM LEASE LIABILITY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9,687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9,530</w:t>
            </w:r>
          </w:p>
        </w:tc>
      </w:tr>
      <w:tr>
        <w:trPr>
          <w:trHeight w:val="194"/>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PENSION WITHDRAWAL LIABILITY</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3,348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3,538</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DEFERRED INCOME TAXES</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21,875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22,406</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DEFERRED COMPENSATION LIABILITY</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13,057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11,764</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EARNOUT LIABILITY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11,919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11,235</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OTHER LONG-TERM LIABILITIES</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1,310</w:t>
            </w:r>
          </w:p>
        </w:tc>
      </w:tr>
      <w:tr>
        <w:trPr>
          <w:trHeight w:val="23"/>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0"/>
        </w:trPr>
        <w:tc>
          <w:tcPr>
            <w:tcW w:w="8240" w:type="dxa"/>
            <w:vAlign w:val="bottom"/>
            <w:tcBorders>
              <w:bottom w:val="single" w:sz="8" w:color="CCEEFF"/>
            </w:tcBorders>
            <w:shd w:val="clear" w:color="auto" w:fill="CCEEFF"/>
          </w:tcPr>
          <w:p>
            <w:pPr>
              <w:ind w:left="800"/>
              <w:spacing w:after="0" w:line="174" w:lineRule="exact"/>
              <w:rPr>
                <w:sz w:val="20"/>
                <w:szCs w:val="20"/>
                <w:color w:val="auto"/>
              </w:rPr>
            </w:pPr>
            <w:r>
              <w:rPr>
                <w:rFonts w:ascii="Calibri" w:cs="Calibri" w:eastAsia="Calibri" w:hAnsi="Calibri"/>
                <w:sz w:val="16"/>
                <w:szCs w:val="16"/>
                <w:color w:val="auto"/>
              </w:rPr>
              <w:t>Total liabilites</w:t>
            </w:r>
          </w:p>
        </w:tc>
        <w:tc>
          <w:tcPr>
            <w:tcW w:w="1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246,325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251,908</w:t>
            </w:r>
          </w:p>
        </w:tc>
      </w:tr>
      <w:tr>
        <w:trPr>
          <w:trHeight w:val="193"/>
        </w:trPr>
        <w:tc>
          <w:tcPr>
            <w:tcW w:w="8240" w:type="dxa"/>
            <w:vAlign w:val="bottom"/>
          </w:tcPr>
          <w:p>
            <w:pPr>
              <w:ind w:left="20"/>
              <w:spacing w:after="0" w:line="193" w:lineRule="exact"/>
              <w:rPr>
                <w:sz w:val="20"/>
                <w:szCs w:val="20"/>
                <w:color w:val="auto"/>
              </w:rPr>
            </w:pPr>
            <w:r>
              <w:rPr>
                <w:rFonts w:ascii="Calibri" w:cs="Calibri" w:eastAsia="Calibri" w:hAnsi="Calibri"/>
                <w:sz w:val="16"/>
                <w:szCs w:val="16"/>
                <w:color w:val="auto"/>
              </w:rPr>
              <w:t>COMMITMENTS AND CONTINGENCIES</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SHAREHOLDERS’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57"/>
        </w:trPr>
        <w:tc>
          <w:tcPr>
            <w:tcW w:w="8240" w:type="dxa"/>
            <w:vAlign w:val="bottom"/>
          </w:tcPr>
          <w:p>
            <w:pPr>
              <w:ind w:left="360"/>
              <w:spacing w:after="0" w:line="157" w:lineRule="exact"/>
              <w:rPr>
                <w:sz w:val="20"/>
                <w:szCs w:val="20"/>
                <w:color w:val="auto"/>
              </w:rPr>
            </w:pPr>
            <w:r>
              <w:rPr>
                <w:rFonts w:ascii="Calibri" w:cs="Calibri" w:eastAsia="Calibri" w:hAnsi="Calibri"/>
                <w:sz w:val="16"/>
                <w:szCs w:val="16"/>
                <w:color w:val="auto"/>
              </w:rPr>
              <w:t>Common stock; authorized: 60,000,000 shares of $0.01 par value; 20,766,764 and 20,790,261 shares issued and</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outstanding as of September 29, 2024 and March 31, 2024, respectvely</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208</w:t>
            </w:r>
          </w:p>
        </w:tc>
      </w:tr>
      <w:tr>
        <w:trPr>
          <w:trHeight w:val="28"/>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Additonal paid-in capital</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31,060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38,154</w:t>
            </w:r>
          </w:p>
        </w:tc>
      </w:tr>
      <w:tr>
        <w:trPr>
          <w:trHeight w:val="194"/>
        </w:trPr>
        <w:tc>
          <w:tcPr>
            <w:tcW w:w="8240" w:type="dxa"/>
            <w:vAlign w:val="bottom"/>
          </w:tcPr>
          <w:p>
            <w:pPr>
              <w:ind w:left="360"/>
              <w:spacing w:after="0" w:line="193" w:lineRule="exact"/>
              <w:rPr>
                <w:sz w:val="20"/>
                <w:szCs w:val="20"/>
                <w:color w:val="auto"/>
              </w:rPr>
            </w:pPr>
            <w:r>
              <w:rPr>
                <w:rFonts w:ascii="Calibri" w:cs="Calibri" w:eastAsia="Calibri" w:hAnsi="Calibri"/>
                <w:sz w:val="16"/>
                <w:szCs w:val="16"/>
                <w:color w:val="auto"/>
              </w:rPr>
              <w:t>Retained earnings</w:t>
            </w:r>
          </w:p>
        </w:tc>
        <w:tc>
          <w:tcPr>
            <w:tcW w:w="1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410,425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364,549</w:t>
            </w:r>
          </w:p>
        </w:tc>
      </w:tr>
      <w:tr>
        <w:trPr>
          <w:trHeight w:val="23"/>
        </w:trPr>
        <w:tc>
          <w:tcPr>
            <w:tcW w:w="8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824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1,679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3,115</w:t>
            </w:r>
          </w:p>
        </w:tc>
      </w:tr>
      <w:tr>
        <w:trPr>
          <w:trHeight w:val="187"/>
        </w:trPr>
        <w:tc>
          <w:tcPr>
            <w:tcW w:w="8240" w:type="dxa"/>
            <w:vAlign w:val="bottom"/>
          </w:tcPr>
          <w:p>
            <w:pPr>
              <w:ind w:left="800"/>
              <w:spacing w:after="0" w:line="174" w:lineRule="exact"/>
              <w:rPr>
                <w:sz w:val="20"/>
                <w:szCs w:val="20"/>
                <w:color w:val="auto"/>
              </w:rPr>
            </w:pPr>
            <w:r>
              <w:rPr>
                <w:rFonts w:ascii="Calibri" w:cs="Calibri" w:eastAsia="Calibri" w:hAnsi="Calibri"/>
                <w:sz w:val="16"/>
                <w:szCs w:val="16"/>
                <w:color w:val="auto"/>
              </w:rPr>
              <w:t>Total shareholders’ equity</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443,372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406,026</w:t>
            </w:r>
          </w:p>
        </w:tc>
      </w:tr>
      <w:tr>
        <w:trPr>
          <w:trHeight w:val="22"/>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8240" w:type="dxa"/>
            <w:vAlign w:val="bottom"/>
            <w:tcBorders>
              <w:bottom w:val="single" w:sz="8" w:color="CCEEFF"/>
            </w:tcBorders>
            <w:shd w:val="clear" w:color="auto" w:fill="CCEEFF"/>
          </w:tcPr>
          <w:p>
            <w:pPr>
              <w:ind w:left="800"/>
              <w:spacing w:after="0" w:line="182" w:lineRule="exact"/>
              <w:rPr>
                <w:sz w:val="20"/>
                <w:szCs w:val="20"/>
                <w:color w:val="auto"/>
              </w:rPr>
            </w:pPr>
            <w:r>
              <w:rPr>
                <w:rFonts w:ascii="Calibri" w:cs="Calibri" w:eastAsia="Calibri" w:hAnsi="Calibri"/>
                <w:sz w:val="16"/>
                <w:szCs w:val="16"/>
                <w:color w:val="auto"/>
              </w:rPr>
              <w:t>Total liabilites and shareholders’ equity</w:t>
            </w: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689,697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657,934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INCOME (UNAUDITED)</w:t>
      </w:r>
    </w:p>
    <w:p>
      <w:pPr>
        <w:spacing w:after="0" w:line="49" w:lineRule="exact"/>
        <w:rPr>
          <w:sz w:val="20"/>
          <w:szCs w:val="20"/>
          <w:color w:val="auto"/>
        </w:rPr>
      </w:pPr>
    </w:p>
    <w:p>
      <w:pPr>
        <w:spacing w:after="0"/>
        <w:rPr>
          <w:sz w:val="20"/>
          <w:szCs w:val="20"/>
          <w:color w:val="auto"/>
        </w:rPr>
      </w:pPr>
      <w:r>
        <w:rPr>
          <w:rFonts w:ascii="Calibri" w:cs="Calibri" w:eastAsia="Calibri" w:hAnsi="Calibri"/>
          <w:sz w:val="14"/>
          <w:szCs w:val="14"/>
          <w:b w:val="1"/>
          <w:bCs w:val="1"/>
          <w:color w:val="auto"/>
        </w:rPr>
        <w:t>(In thousands, except share and per-share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Calibri" w:cs="Calibri" w:eastAsia="Calibri" w:hAnsi="Calibri"/>
                <w:sz w:val="16"/>
                <w:szCs w:val="16"/>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692"/>
              <w:spacing w:after="0"/>
              <w:rPr>
                <w:sz w:val="20"/>
                <w:szCs w:val="20"/>
                <w:color w:val="auto"/>
              </w:rPr>
            </w:pPr>
            <w:r>
              <w:rPr>
                <w:rFonts w:ascii="Calibri" w:cs="Calibri" w:eastAsia="Calibri" w:hAnsi="Calibri"/>
                <w:sz w:val="16"/>
                <w:szCs w:val="16"/>
                <w:b w:val="1"/>
                <w:bCs w:val="1"/>
                <w:color w:val="auto"/>
              </w:rPr>
              <w:t>Six Months Ended</w:t>
            </w:r>
          </w:p>
        </w:tc>
        <w:tc>
          <w:tcPr>
            <w:tcW w:w="0" w:type="dxa"/>
            <w:vAlign w:val="bottom"/>
          </w:tcPr>
          <w:p>
            <w:pPr>
              <w:spacing w:after="0"/>
              <w:rPr>
                <w:sz w:val="1"/>
                <w:szCs w:val="1"/>
                <w:color w:val="auto"/>
              </w:rPr>
            </w:pPr>
          </w:p>
        </w:tc>
      </w:tr>
      <w:tr>
        <w:trPr>
          <w:trHeight w:val="28"/>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September 29,</w:t>
            </w:r>
          </w:p>
        </w:tc>
        <w:tc>
          <w:tcPr>
            <w:tcW w:w="220" w:type="dxa"/>
            <w:vAlign w:val="bottom"/>
          </w:tcPr>
          <w:p>
            <w:pPr>
              <w:spacing w:after="0"/>
              <w:rPr>
                <w:sz w:val="11"/>
                <w:szCs w:val="11"/>
                <w:color w:val="auto"/>
              </w:rPr>
            </w:pPr>
          </w:p>
        </w:tc>
        <w:tc>
          <w:tcPr>
            <w:tcW w:w="1080" w:type="dxa"/>
            <w:vAlign w:val="bottom"/>
          </w:tcPr>
          <w:p>
            <w:pPr>
              <w:jc w:val="right"/>
              <w:ind w:right="252"/>
              <w:spacing w:after="0" w:line="127" w:lineRule="exact"/>
              <w:rPr>
                <w:sz w:val="20"/>
                <w:szCs w:val="20"/>
                <w:color w:val="auto"/>
              </w:rPr>
            </w:pPr>
            <w:r>
              <w:rPr>
                <w:rFonts w:ascii="Calibri" w:cs="Calibri" w:eastAsia="Calibri" w:hAnsi="Calibri"/>
                <w:sz w:val="13"/>
                <w:szCs w:val="13"/>
                <w:b w:val="1"/>
                <w:bCs w:val="1"/>
                <w:color w:val="auto"/>
              </w:rPr>
              <w:t>October 1,</w:t>
            </w: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September 29,</w:t>
            </w:r>
          </w:p>
        </w:tc>
        <w:tc>
          <w:tcPr>
            <w:tcW w:w="220" w:type="dxa"/>
            <w:vAlign w:val="bottom"/>
          </w:tcPr>
          <w:p>
            <w:pPr>
              <w:spacing w:after="0"/>
              <w:rPr>
                <w:sz w:val="11"/>
                <w:szCs w:val="11"/>
                <w:color w:val="auto"/>
              </w:rPr>
            </w:pPr>
          </w:p>
        </w:tc>
        <w:tc>
          <w:tcPr>
            <w:tcW w:w="1100" w:type="dxa"/>
            <w:vAlign w:val="bottom"/>
          </w:tcPr>
          <w:p>
            <w:pPr>
              <w:jc w:val="right"/>
              <w:ind w:right="252"/>
              <w:spacing w:after="0" w:line="127" w:lineRule="exact"/>
              <w:rPr>
                <w:sz w:val="20"/>
                <w:szCs w:val="20"/>
                <w:color w:val="auto"/>
              </w:rPr>
            </w:pPr>
            <w:r>
              <w:rPr>
                <w:rFonts w:ascii="Calibri" w:cs="Calibri" w:eastAsia="Calibri" w:hAnsi="Calibri"/>
                <w:sz w:val="13"/>
                <w:szCs w:val="13"/>
                <w:b w:val="1"/>
                <w:bCs w:val="1"/>
                <w:color w:val="auto"/>
              </w:rPr>
              <w:t>October 1,</w:t>
            </w:r>
          </w:p>
        </w:tc>
        <w:tc>
          <w:tcPr>
            <w:tcW w:w="0" w:type="dxa"/>
            <w:vAlign w:val="bottom"/>
          </w:tcPr>
          <w:p>
            <w:pPr>
              <w:spacing w:after="0"/>
              <w:rPr>
                <w:sz w:val="1"/>
                <w:szCs w:val="1"/>
                <w:color w:val="auto"/>
              </w:rPr>
            </w:pPr>
          </w:p>
        </w:tc>
      </w:tr>
      <w:tr>
        <w:trPr>
          <w:trHeight w:val="170"/>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413"/>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12"/>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13"/>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32"/>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247,029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236,526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502,908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487,646</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(186,807)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(378,031)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(381,769)</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Gross proft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60,222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53,886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124,877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105,877</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(26,477)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(20,895)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(51,341)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(40,399)</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Operatng income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32,991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73,536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65,478</w:t>
            </w: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net</w:t>
            </w:r>
          </w:p>
        </w:tc>
        <w:tc>
          <w:tcPr>
            <w:tcW w:w="1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(2,690)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(1,865)</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Other income (expense)</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673</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48</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line="195" w:lineRule="exact"/>
              <w:rPr>
                <w:sz w:val="20"/>
                <w:szCs w:val="20"/>
                <w:color w:val="auto"/>
              </w:rPr>
            </w:pPr>
            <w:r>
              <w:rPr>
                <w:rFonts w:ascii="Calibri" w:cs="Calibri" w:eastAsia="Calibri" w:hAnsi="Calibri"/>
                <w:sz w:val="18"/>
                <w:szCs w:val="18"/>
                <w:color w:val="auto"/>
              </w:rPr>
              <w:t>Income before income taxes</w:t>
            </w:r>
          </w:p>
        </w:tc>
        <w:tc>
          <w:tcPr>
            <w:tcW w:w="1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32,991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31,985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71,678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63,661</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Income tax expense</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(8,873)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(8,769)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(18,681)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(17,015)</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line="195" w:lineRule="exact"/>
              <w:rPr>
                <w:sz w:val="20"/>
                <w:szCs w:val="20"/>
                <w:color w:val="auto"/>
              </w:rPr>
            </w:pPr>
            <w:r>
              <w:rPr>
                <w:rFonts w:ascii="Calibri" w:cs="Calibri" w:eastAsia="Calibri" w:hAnsi="Calibri"/>
                <w:sz w:val="18"/>
                <w:szCs w:val="18"/>
                <w:color w:val="auto"/>
              </w:rPr>
              <w:t>Net income</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24,118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23,216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52,997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46,646</w:t>
            </w:r>
          </w:p>
        </w:tc>
        <w:tc>
          <w:tcPr>
            <w:tcW w:w="0" w:type="dxa"/>
            <w:vAlign w:val="bottom"/>
          </w:tcPr>
          <w:p>
            <w:pPr>
              <w:spacing w:after="0"/>
              <w:rPr>
                <w:sz w:val="1"/>
                <w:szCs w:val="1"/>
                <w:color w:val="auto"/>
              </w:rPr>
            </w:pPr>
          </w:p>
        </w:tc>
      </w:tr>
      <w:tr>
        <w:trPr>
          <w:trHeight w:val="21"/>
        </w:trPr>
        <w:tc>
          <w:tcPr>
            <w:tcW w:w="5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Weighted average number of shares outstanding - basic</w:t>
            </w:r>
          </w:p>
        </w:tc>
        <w:tc>
          <w:tcPr>
            <w:tcW w:w="16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20,757,397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20,903,690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20,786,938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20,905,707</w:t>
            </w:r>
          </w:p>
        </w:tc>
        <w:tc>
          <w:tcPr>
            <w:tcW w:w="0" w:type="dxa"/>
            <w:vAlign w:val="bottom"/>
          </w:tcPr>
          <w:p>
            <w:pPr>
              <w:spacing w:after="0"/>
              <w:rPr>
                <w:sz w:val="1"/>
                <w:szCs w:val="1"/>
                <w:color w:val="auto"/>
              </w:rPr>
            </w:pPr>
          </w:p>
        </w:tc>
      </w:tr>
      <w:tr>
        <w:trPr>
          <w:trHeight w:val="237"/>
        </w:trPr>
        <w:tc>
          <w:tcPr>
            <w:tcW w:w="56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Weighted average number of shares outstanding - diluted</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20,860,418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21,026,428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20,898,641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21,034,153</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Basic earnings per share</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2.23</w:t>
            </w:r>
          </w:p>
        </w:tc>
        <w:tc>
          <w:tcPr>
            <w:tcW w:w="0" w:type="dxa"/>
            <w:vAlign w:val="bottom"/>
          </w:tcPr>
          <w:p>
            <w:pPr>
              <w:spacing w:after="0"/>
              <w:rPr>
                <w:sz w:val="1"/>
                <w:szCs w:val="1"/>
                <w:color w:val="auto"/>
              </w:rPr>
            </w:pPr>
          </w:p>
        </w:tc>
      </w:tr>
      <w:tr>
        <w:trPr>
          <w:trHeight w:val="222"/>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Diluted earnings per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1.16</w:t>
            </w:r>
          </w:p>
        </w:tc>
        <w:tc>
          <w:tcPr>
            <w:tcW w:w="100" w:type="dxa"/>
            <w:vAlign w:val="bottom"/>
          </w:tcPr>
          <w:p>
            <w:pPr>
              <w:spacing w:after="0"/>
              <w:rPr>
                <w:sz w:val="19"/>
                <w:szCs w:val="19"/>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1.10</w:t>
            </w:r>
          </w:p>
        </w:tc>
        <w:tc>
          <w:tcPr>
            <w:tcW w:w="1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2.54</w:t>
            </w:r>
          </w:p>
        </w:tc>
        <w:tc>
          <w:tcPr>
            <w:tcW w:w="120" w:type="dxa"/>
            <w:vAlign w:val="bottom"/>
          </w:tcPr>
          <w:p>
            <w:pPr>
              <w:spacing w:after="0"/>
              <w:rPr>
                <w:sz w:val="19"/>
                <w:szCs w:val="19"/>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2.22</w:t>
            </w:r>
          </w:p>
        </w:tc>
        <w:tc>
          <w:tcPr>
            <w:tcW w:w="0" w:type="dxa"/>
            <w:vAlign w:val="bottom"/>
          </w:tcPr>
          <w:p>
            <w:pPr>
              <w:spacing w:after="0"/>
              <w:rPr>
                <w:sz w:val="1"/>
                <w:szCs w:val="1"/>
                <w:color w:val="auto"/>
              </w:rPr>
            </w:pPr>
          </w:p>
        </w:tc>
      </w:tr>
      <w:tr>
        <w:trPr>
          <w:trHeight w:val="277"/>
        </w:trPr>
        <w:tc>
          <w:tcPr>
            <w:tcW w:w="5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80" w:type="dxa"/>
            <w:vAlign w:val="bottom"/>
          </w:tcPr>
          <w:p>
            <w:pPr>
              <w:ind w:left="20"/>
              <w:spacing w:after="0" w:line="215" w:lineRule="exact"/>
              <w:rPr>
                <w:sz w:val="20"/>
                <w:szCs w:val="20"/>
                <w:color w:val="auto"/>
              </w:rPr>
            </w:pPr>
            <w:r>
              <w:rPr>
                <w:rFonts w:ascii="Calibri" w:cs="Calibri" w:eastAsia="Calibri" w:hAnsi="Calibri"/>
                <w:sz w:val="18"/>
                <w:szCs w:val="18"/>
                <w:color w:val="auto"/>
              </w:rPr>
              <w:t>Cash dividends declared per common share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0.18</w:t>
            </w:r>
          </w:p>
        </w:tc>
        <w:tc>
          <w:tcPr>
            <w:tcW w:w="100" w:type="dxa"/>
            <w:vAlign w:val="bottom"/>
          </w:tcPr>
          <w:p>
            <w:pPr>
              <w:spacing w:after="0"/>
              <w:rPr>
                <w:sz w:val="18"/>
                <w:szCs w:val="18"/>
                <w:color w:val="auto"/>
              </w:rPr>
            </w:pP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0.16</w:t>
            </w:r>
          </w:p>
        </w:tc>
        <w:tc>
          <w:tcPr>
            <w:tcW w:w="10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0.34</w:t>
            </w:r>
          </w:p>
        </w:tc>
        <w:tc>
          <w:tcPr>
            <w:tcW w:w="120" w:type="dxa"/>
            <w:vAlign w:val="bottom"/>
          </w:tcPr>
          <w:p>
            <w:pPr>
              <w:spacing w:after="0"/>
              <w:rPr>
                <w:sz w:val="18"/>
                <w:szCs w:val="18"/>
                <w:color w:val="auto"/>
              </w:rPr>
            </w:pP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0.31</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COMPREHENSIVE INCOME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ind w:left="580"/>
              <w:spacing w:after="0"/>
              <w:rPr>
                <w:sz w:val="20"/>
                <w:szCs w:val="20"/>
                <w:color w:val="auto"/>
              </w:rPr>
            </w:pPr>
            <w:r>
              <w:rPr>
                <w:rFonts w:ascii="Calibri" w:cs="Calibri" w:eastAsia="Calibri" w:hAnsi="Calibri"/>
                <w:sz w:val="14"/>
                <w:szCs w:val="14"/>
                <w:b w:val="1"/>
                <w:bCs w:val="1"/>
                <w:color w:val="auto"/>
              </w:rPr>
              <w:t>Three Months Ended</w:t>
            </w:r>
          </w:p>
        </w:tc>
        <w:tc>
          <w:tcPr>
            <w:tcW w:w="160" w:type="dxa"/>
            <w:vAlign w:val="bottom"/>
          </w:tcPr>
          <w:p>
            <w:pPr>
              <w:spacing w:after="0"/>
              <w:rPr>
                <w:sz w:val="14"/>
                <w:szCs w:val="14"/>
                <w:color w:val="auto"/>
              </w:rPr>
            </w:pPr>
          </w:p>
        </w:tc>
        <w:tc>
          <w:tcPr>
            <w:tcW w:w="2580" w:type="dxa"/>
            <w:vAlign w:val="bottom"/>
            <w:gridSpan w:val="4"/>
          </w:tcPr>
          <w:p>
            <w:pPr>
              <w:jc w:val="right"/>
              <w:ind w:right="758"/>
              <w:spacing w:after="0"/>
              <w:rPr>
                <w:sz w:val="20"/>
                <w:szCs w:val="20"/>
                <w:color w:val="auto"/>
              </w:rPr>
            </w:pPr>
            <w:r>
              <w:rPr>
                <w:rFonts w:ascii="Calibri" w:cs="Calibri" w:eastAsia="Calibri" w:hAnsi="Calibri"/>
                <w:sz w:val="14"/>
                <w:szCs w:val="14"/>
                <w:b w:val="1"/>
                <w:bCs w:val="1"/>
                <w:color w:val="auto"/>
              </w:rPr>
              <w:t>Six Months Ended</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27" w:lineRule="exact"/>
              <w:rPr>
                <w:sz w:val="20"/>
                <w:szCs w:val="20"/>
                <w:color w:val="auto"/>
              </w:rPr>
            </w:pPr>
            <w:r>
              <w:rPr>
                <w:rFonts w:ascii="Calibri" w:cs="Calibri" w:eastAsia="Calibri" w:hAnsi="Calibri"/>
                <w:sz w:val="13"/>
                <w:szCs w:val="13"/>
                <w:b w:val="1"/>
                <w:bCs w:val="1"/>
                <w:color w:val="auto"/>
              </w:rPr>
              <w:t>September 29,</w:t>
            </w:r>
          </w:p>
        </w:tc>
        <w:tc>
          <w:tcPr>
            <w:tcW w:w="220" w:type="dxa"/>
            <w:vAlign w:val="bottom"/>
          </w:tcPr>
          <w:p>
            <w:pPr>
              <w:spacing w:after="0"/>
              <w:rPr>
                <w:sz w:val="11"/>
                <w:szCs w:val="11"/>
                <w:color w:val="auto"/>
              </w:rPr>
            </w:pPr>
          </w:p>
        </w:tc>
        <w:tc>
          <w:tcPr>
            <w:tcW w:w="1100" w:type="dxa"/>
            <w:vAlign w:val="bottom"/>
          </w:tcPr>
          <w:p>
            <w:pPr>
              <w:jc w:val="right"/>
              <w:ind w:right="258"/>
              <w:spacing w:after="0" w:line="127" w:lineRule="exact"/>
              <w:rPr>
                <w:sz w:val="20"/>
                <w:szCs w:val="20"/>
                <w:color w:val="auto"/>
              </w:rPr>
            </w:pPr>
            <w:r>
              <w:rPr>
                <w:rFonts w:ascii="Calibri" w:cs="Calibri" w:eastAsia="Calibri" w:hAnsi="Calibri"/>
                <w:sz w:val="13"/>
                <w:szCs w:val="13"/>
                <w:b w:val="1"/>
                <w:bCs w:val="1"/>
                <w:color w:val="auto"/>
              </w:rPr>
              <w:t>October 1,</w:t>
            </w: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September 29,</w:t>
            </w:r>
          </w:p>
        </w:tc>
        <w:tc>
          <w:tcPr>
            <w:tcW w:w="220" w:type="dxa"/>
            <w:vAlign w:val="bottom"/>
          </w:tcPr>
          <w:p>
            <w:pPr>
              <w:spacing w:after="0"/>
              <w:rPr>
                <w:sz w:val="11"/>
                <w:szCs w:val="11"/>
                <w:color w:val="auto"/>
              </w:rPr>
            </w:pPr>
          </w:p>
        </w:tc>
        <w:tc>
          <w:tcPr>
            <w:tcW w:w="1080" w:type="dxa"/>
            <w:vAlign w:val="bottom"/>
          </w:tcPr>
          <w:p>
            <w:pPr>
              <w:jc w:val="right"/>
              <w:ind w:right="258"/>
              <w:spacing w:after="0" w:line="127" w:lineRule="exact"/>
              <w:rPr>
                <w:sz w:val="20"/>
                <w:szCs w:val="20"/>
                <w:color w:val="auto"/>
              </w:rPr>
            </w:pPr>
            <w:r>
              <w:rPr>
                <w:rFonts w:ascii="Calibri" w:cs="Calibri" w:eastAsia="Calibri" w:hAnsi="Calibri"/>
                <w:sz w:val="13"/>
                <w:szCs w:val="13"/>
                <w:b w:val="1"/>
                <w:bCs w:val="1"/>
                <w:color w:val="auto"/>
              </w:rPr>
              <w:t>October 1,</w:t>
            </w:r>
          </w:p>
        </w:tc>
        <w:tc>
          <w:tcPr>
            <w:tcW w:w="0" w:type="dxa"/>
            <w:vAlign w:val="bottom"/>
          </w:tcPr>
          <w:p>
            <w:pPr>
              <w:spacing w:after="0"/>
              <w:rPr>
                <w:sz w:val="1"/>
                <w:szCs w:val="1"/>
                <w:color w:val="auto"/>
              </w:rPr>
            </w:pPr>
          </w:p>
        </w:tc>
      </w:tr>
      <w:tr>
        <w:trPr>
          <w:trHeight w:val="170"/>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40"/>
              <w:spacing w:after="0"/>
              <w:rPr>
                <w:sz w:val="20"/>
                <w:szCs w:val="20"/>
                <w:color w:val="auto"/>
              </w:rPr>
            </w:pPr>
            <w:r>
              <w:rPr>
                <w:rFonts w:ascii="Calibri" w:cs="Calibri" w:eastAsia="Calibri" w:hAnsi="Calibri"/>
                <w:sz w:val="14"/>
                <w:szCs w:val="14"/>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38"/>
              <w:spacing w:after="0"/>
              <w:rPr>
                <w:sz w:val="20"/>
                <w:szCs w:val="20"/>
                <w:color w:val="auto"/>
              </w:rPr>
            </w:pPr>
            <w:r>
              <w:rPr>
                <w:rFonts w:ascii="Calibri" w:cs="Calibri" w:eastAsia="Calibri" w:hAnsi="Calibri"/>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40"/>
              <w:spacing w:after="0"/>
              <w:rPr>
                <w:sz w:val="20"/>
                <w:szCs w:val="20"/>
                <w:color w:val="auto"/>
              </w:rPr>
            </w:pPr>
            <w:r>
              <w:rPr>
                <w:rFonts w:ascii="Calibri" w:cs="Calibri" w:eastAsia="Calibri" w:hAnsi="Calibri"/>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18"/>
              <w:spacing w:after="0"/>
              <w:rPr>
                <w:sz w:val="20"/>
                <w:szCs w:val="20"/>
                <w:color w:val="auto"/>
              </w:rPr>
            </w:pPr>
            <w:r>
              <w:rPr>
                <w:rFonts w:ascii="Calibri" w:cs="Calibri" w:eastAsia="Calibri" w:hAnsi="Calibri"/>
                <w:sz w:val="14"/>
                <w:szCs w:val="14"/>
                <w:b w:val="1"/>
                <w:bCs w:val="1"/>
                <w:color w:val="auto"/>
              </w:rPr>
              <w:t>2023</w:t>
            </w:r>
          </w:p>
        </w:tc>
        <w:tc>
          <w:tcPr>
            <w:tcW w:w="0" w:type="dxa"/>
            <w:vAlign w:val="bottom"/>
          </w:tcPr>
          <w:p>
            <w:pPr>
              <w:spacing w:after="0"/>
              <w:rPr>
                <w:sz w:val="1"/>
                <w:szCs w:val="1"/>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Net income</w:t>
            </w: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ind w:left="600"/>
              <w:spacing w:after="0" w:line="215" w:lineRule="exact"/>
              <w:rPr>
                <w:sz w:val="20"/>
                <w:szCs w:val="20"/>
                <w:color w:val="auto"/>
              </w:rPr>
            </w:pPr>
            <w:r>
              <w:rPr>
                <w:rFonts w:ascii="Calibri" w:cs="Calibri" w:eastAsia="Calibri" w:hAnsi="Calibri"/>
                <w:sz w:val="18"/>
                <w:szCs w:val="18"/>
                <w:color w:val="auto"/>
              </w:rPr>
              <w:t>24,118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23,216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52,997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46,646</w:t>
            </w:r>
          </w:p>
        </w:tc>
        <w:tc>
          <w:tcPr>
            <w:tcW w:w="0" w:type="dxa"/>
            <w:vAlign w:val="bottom"/>
          </w:tcPr>
          <w:p>
            <w:pPr>
              <w:spacing w:after="0"/>
              <w:rPr>
                <w:sz w:val="1"/>
                <w:szCs w:val="1"/>
                <w:color w:val="auto"/>
              </w:rPr>
            </w:pPr>
          </w:p>
        </w:tc>
      </w:tr>
      <w:tr>
        <w:trPr>
          <w:trHeight w:val="222"/>
        </w:trPr>
        <w:tc>
          <w:tcPr>
            <w:tcW w:w="566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net of tax:</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Unrealized (loss) gain on interest rate swap</w:t>
            </w: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(1,330)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306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(1,436)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1,055</w:t>
            </w:r>
          </w:p>
        </w:tc>
        <w:tc>
          <w:tcPr>
            <w:tcW w:w="0" w:type="dxa"/>
            <w:vAlign w:val="bottom"/>
          </w:tcPr>
          <w:p>
            <w:pPr>
              <w:spacing w:after="0"/>
              <w:rPr>
                <w:sz w:val="1"/>
                <w:szCs w:val="1"/>
                <w:color w:val="auto"/>
              </w:rPr>
            </w:pPr>
          </w:p>
        </w:tc>
      </w:tr>
      <w:tr>
        <w:trPr>
          <w:trHeight w:val="217"/>
        </w:trPr>
        <w:tc>
          <w:tcPr>
            <w:tcW w:w="5660" w:type="dxa"/>
            <w:vAlign w:val="bottom"/>
          </w:tcPr>
          <w:p>
            <w:pPr>
              <w:ind w:left="20"/>
              <w:spacing w:after="0" w:line="195" w:lineRule="exact"/>
              <w:rPr>
                <w:sz w:val="20"/>
                <w:szCs w:val="20"/>
                <w:color w:val="auto"/>
              </w:rPr>
            </w:pPr>
            <w:r>
              <w:rPr>
                <w:rFonts w:ascii="Calibri" w:cs="Calibri" w:eastAsia="Calibri" w:hAnsi="Calibri"/>
                <w:sz w:val="18"/>
                <w:szCs w:val="18"/>
                <w:color w:val="auto"/>
              </w:rPr>
              <w:t>Total comprehensive income</w:t>
            </w: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tcPr>
          <w:p>
            <w:pPr>
              <w:ind w:left="600"/>
              <w:spacing w:after="0" w:line="215" w:lineRule="exact"/>
              <w:rPr>
                <w:sz w:val="20"/>
                <w:szCs w:val="20"/>
                <w:color w:val="auto"/>
              </w:rPr>
            </w:pPr>
            <w:r>
              <w:rPr>
                <w:rFonts w:ascii="Calibri" w:cs="Calibri" w:eastAsia="Calibri" w:hAnsi="Calibri"/>
                <w:sz w:val="18"/>
                <w:szCs w:val="18"/>
                <w:color w:val="auto"/>
              </w:rPr>
              <w:t>22,788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23,522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51,561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47,701</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SHAREHOLDERS’ EQUITY (UNAUDITED)</w:t>
      </w:r>
    </w:p>
    <w:p>
      <w:pPr>
        <w:spacing w:after="0" w:line="233" w:lineRule="auto"/>
        <w:rPr>
          <w:sz w:val="20"/>
          <w:szCs w:val="20"/>
          <w:color w:val="auto"/>
        </w:rPr>
      </w:pPr>
      <w:r>
        <w:rPr>
          <w:rFonts w:ascii="Calibri" w:cs="Calibri" w:eastAsia="Calibri" w:hAnsi="Calibri"/>
          <w:sz w:val="14"/>
          <w:szCs w:val="14"/>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2400" w:type="dxa"/>
            <w:vAlign w:val="bottom"/>
            <w:gridSpan w:val="5"/>
            <w:vMerge w:val="restart"/>
          </w:tcPr>
          <w:p>
            <w:pPr>
              <w:ind w:left="640"/>
              <w:spacing w:after="0"/>
              <w:rPr>
                <w:sz w:val="20"/>
                <w:szCs w:val="20"/>
                <w:color w:val="auto"/>
              </w:rPr>
            </w:pPr>
            <w:r>
              <w:rPr>
                <w:rFonts w:ascii="Calibri" w:cs="Calibri" w:eastAsia="Calibri" w:hAnsi="Calibri"/>
                <w:sz w:val="16"/>
                <w:szCs w:val="16"/>
                <w:b w:val="1"/>
                <w:bCs w:val="1"/>
                <w:color w:val="auto"/>
              </w:rPr>
              <w:t>Common Stock</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Additonal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Calibri" w:cs="Calibri" w:eastAsia="Calibri" w:hAnsi="Calibri"/>
                <w:sz w:val="16"/>
                <w:szCs w:val="16"/>
                <w:b w:val="1"/>
                <w:bCs w:val="1"/>
                <w:color w:val="auto"/>
              </w:rPr>
              <w:t>Accumulated Other</w:t>
            </w:r>
          </w:p>
        </w:tc>
        <w:tc>
          <w:tcPr>
            <w:tcW w:w="10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85"/>
        </w:trPr>
        <w:tc>
          <w:tcPr>
            <w:tcW w:w="360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center"/>
              <w:ind w:right="280"/>
              <w:spacing w:after="0" w:line="162" w:lineRule="exact"/>
              <w:rPr>
                <w:sz w:val="20"/>
                <w:szCs w:val="20"/>
                <w:color w:val="auto"/>
              </w:rPr>
            </w:pPr>
            <w:r>
              <w:rPr>
                <w:rFonts w:ascii="Calibri" w:cs="Calibri" w:eastAsia="Calibri" w:hAnsi="Calibri"/>
                <w:sz w:val="16"/>
                <w:szCs w:val="16"/>
                <w:b w:val="1"/>
                <w:bCs w:val="1"/>
                <w:color w:val="auto"/>
              </w:rPr>
              <w:t>Paid-in</w:t>
            </w:r>
          </w:p>
        </w:tc>
        <w:tc>
          <w:tcPr>
            <w:tcW w:w="200" w:type="dxa"/>
            <w:vAlign w:val="bottom"/>
          </w:tcPr>
          <w:p>
            <w:pPr>
              <w:spacing w:after="0"/>
              <w:rPr>
                <w:sz w:val="7"/>
                <w:szCs w:val="7"/>
                <w:color w:val="auto"/>
              </w:rPr>
            </w:pPr>
          </w:p>
        </w:tc>
        <w:tc>
          <w:tcPr>
            <w:tcW w:w="1020" w:type="dxa"/>
            <w:vAlign w:val="bottom"/>
            <w:gridSpan w:val="2"/>
            <w:vMerge w:val="restart"/>
          </w:tcPr>
          <w:p>
            <w:pPr>
              <w:ind w:left="60"/>
              <w:spacing w:after="0" w:line="162" w:lineRule="exact"/>
              <w:rPr>
                <w:sz w:val="20"/>
                <w:szCs w:val="20"/>
                <w:color w:val="auto"/>
              </w:rPr>
            </w:pPr>
            <w:r>
              <w:rPr>
                <w:rFonts w:ascii="Calibri" w:cs="Calibri" w:eastAsia="Calibri" w:hAnsi="Calibri"/>
                <w:sz w:val="16"/>
                <w:szCs w:val="16"/>
                <w:b w:val="1"/>
                <w:bCs w:val="1"/>
                <w:color w:val="auto"/>
              </w:rPr>
              <w:t>Retained</w:t>
            </w:r>
          </w:p>
        </w:tc>
        <w:tc>
          <w:tcPr>
            <w:tcW w:w="140" w:type="dxa"/>
            <w:vAlign w:val="bottom"/>
          </w:tcPr>
          <w:p>
            <w:pPr>
              <w:spacing w:after="0"/>
              <w:rPr>
                <w:sz w:val="7"/>
                <w:szCs w:val="7"/>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Calibri" w:cs="Calibri" w:eastAsia="Calibri" w:hAnsi="Calibri"/>
                <w:sz w:val="16"/>
                <w:szCs w:val="16"/>
                <w:b w:val="1"/>
                <w:bCs w:val="1"/>
                <w:color w:val="auto"/>
              </w:rPr>
              <w:t>Comprehensive</w:t>
            </w:r>
          </w:p>
        </w:tc>
        <w:tc>
          <w:tcPr>
            <w:tcW w:w="100" w:type="dxa"/>
            <w:vAlign w:val="bottom"/>
          </w:tcPr>
          <w:p>
            <w:pPr>
              <w:spacing w:after="0"/>
              <w:rPr>
                <w:sz w:val="7"/>
                <w:szCs w:val="7"/>
                <w:color w:val="auto"/>
              </w:rPr>
            </w:pPr>
          </w:p>
        </w:tc>
        <w:tc>
          <w:tcPr>
            <w:tcW w:w="1060" w:type="dxa"/>
            <w:vAlign w:val="bottom"/>
            <w:vMerge w:val="restart"/>
          </w:tcPr>
          <w:p>
            <w:pPr>
              <w:jc w:val="center"/>
              <w:ind w:right="19"/>
              <w:spacing w:after="0" w:line="162" w:lineRule="exact"/>
              <w:rPr>
                <w:sz w:val="20"/>
                <w:szCs w:val="20"/>
                <w:color w:val="auto"/>
              </w:rPr>
            </w:pPr>
            <w:r>
              <w:rPr>
                <w:rFonts w:ascii="Calibri" w:cs="Calibri" w:eastAsia="Calibri" w:hAnsi="Calibri"/>
                <w:sz w:val="16"/>
                <w:szCs w:val="16"/>
                <w:b w:val="1"/>
                <w:bCs w:val="1"/>
                <w:color w:val="auto"/>
              </w:rPr>
              <w:t>Shareholders’</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600" w:type="dxa"/>
            <w:vAlign w:val="bottom"/>
          </w:tcPr>
          <w:p>
            <w:pPr>
              <w:spacing w:after="0"/>
              <w:rPr>
                <w:sz w:val="16"/>
                <w:szCs w:val="16"/>
                <w:color w:val="auto"/>
              </w:rPr>
            </w:pPr>
          </w:p>
        </w:tc>
        <w:tc>
          <w:tcPr>
            <w:tcW w:w="120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10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Amount</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Capital</w:t>
            </w:r>
          </w:p>
        </w:tc>
        <w:tc>
          <w:tcPr>
            <w:tcW w:w="200" w:type="dxa"/>
            <w:vAlign w:val="bottom"/>
          </w:tcPr>
          <w:p>
            <w:pPr>
              <w:spacing w:after="0"/>
              <w:rPr>
                <w:sz w:val="16"/>
                <w:szCs w:val="16"/>
                <w:color w:val="auto"/>
              </w:rPr>
            </w:pPr>
          </w:p>
        </w:tc>
        <w:tc>
          <w:tcPr>
            <w:tcW w:w="1020" w:type="dxa"/>
            <w:vAlign w:val="bottom"/>
            <w:gridSpan w:val="2"/>
          </w:tcPr>
          <w:p>
            <w:pPr>
              <w:ind w:left="60"/>
              <w:spacing w:after="0" w:line="193" w:lineRule="exact"/>
              <w:rPr>
                <w:sz w:val="20"/>
                <w:szCs w:val="20"/>
                <w:color w:val="auto"/>
              </w:rPr>
            </w:pPr>
            <w:r>
              <w:rPr>
                <w:rFonts w:ascii="Calibri" w:cs="Calibri" w:eastAsia="Calibri" w:hAnsi="Calibri"/>
                <w:sz w:val="16"/>
                <w:szCs w:val="16"/>
                <w:b w:val="1"/>
                <w:bCs w:val="1"/>
                <w:color w:val="auto"/>
              </w:rPr>
              <w:t>Earnings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93" w:lineRule="exact"/>
              <w:rPr>
                <w:sz w:val="20"/>
                <w:szCs w:val="20"/>
                <w:color w:val="auto"/>
              </w:rPr>
            </w:pPr>
            <w:r>
              <w:rPr>
                <w:rFonts w:ascii="Calibri" w:cs="Calibri" w:eastAsia="Calibri" w:hAnsi="Calibri"/>
                <w:sz w:val="16"/>
                <w:szCs w:val="16"/>
                <w:b w:val="1"/>
                <w:bCs w:val="1"/>
                <w:color w:val="auto"/>
              </w:rPr>
              <w:t>Income (Loss)</w:t>
            </w:r>
          </w:p>
        </w:tc>
        <w:tc>
          <w:tcPr>
            <w:tcW w:w="100" w:type="dxa"/>
            <w:vAlign w:val="bottom"/>
          </w:tcPr>
          <w:p>
            <w:pPr>
              <w:spacing w:after="0"/>
              <w:rPr>
                <w:sz w:val="16"/>
                <w:szCs w:val="16"/>
                <w:color w:val="auto"/>
              </w:rPr>
            </w:pPr>
          </w:p>
        </w:tc>
        <w:tc>
          <w:tcPr>
            <w:tcW w:w="1060" w:type="dxa"/>
            <w:vAlign w:val="bottom"/>
          </w:tcPr>
          <w:p>
            <w:pPr>
              <w:jc w:val="center"/>
              <w:ind w:right="19"/>
              <w:spacing w:after="0" w:line="193" w:lineRule="exact"/>
              <w:rPr>
                <w:sz w:val="20"/>
                <w:szCs w:val="20"/>
                <w:color w:val="auto"/>
              </w:rPr>
            </w:pPr>
            <w:r>
              <w:rPr>
                <w:rFonts w:ascii="Calibri" w:cs="Calibri" w:eastAsia="Calibri" w:hAnsi="Calibri"/>
                <w:sz w:val="16"/>
                <w:szCs w:val="16"/>
                <w:b w:val="1"/>
                <w:bCs w:val="1"/>
                <w:color w:val="auto"/>
              </w:rPr>
              <w:t>Equity</w:t>
            </w:r>
          </w:p>
        </w:tc>
        <w:tc>
          <w:tcPr>
            <w:tcW w:w="0" w:type="dxa"/>
            <w:vAlign w:val="bottom"/>
          </w:tcPr>
          <w:p>
            <w:pPr>
              <w:spacing w:after="0"/>
              <w:rPr>
                <w:sz w:val="1"/>
                <w:szCs w:val="1"/>
                <w:color w:val="auto"/>
              </w:rPr>
            </w:pPr>
          </w:p>
        </w:tc>
      </w:tr>
      <w:tr>
        <w:trPr>
          <w:trHeight w:val="28"/>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March 31, 2024</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20,790,261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38,154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364,549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406,026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($0.16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(3,358)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(3,358)</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1,467</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83,658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(34,047)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(105,541)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(9,148)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(106)</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28,879</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June 30, 2024</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20,734,331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27,932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390,070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421,218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($0.18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(3,763)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(3,763)</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1,832</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21,786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1,297</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line="193" w:lineRule="exact"/>
              <w:rPr>
                <w:sz w:val="20"/>
                <w:szCs w:val="20"/>
                <w:color w:val="auto"/>
              </w:rPr>
            </w:pPr>
            <w:r>
              <w:rPr>
                <w:rFonts w:ascii="Calibri" w:cs="Calibri" w:eastAsia="Calibri" w:hAnsi="Calibri"/>
                <w:sz w:val="16"/>
                <w:szCs w:val="16"/>
                <w:color w:val="auto"/>
              </w:rPr>
              <w: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(1,330)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(1,330)</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24,118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24,118</w:t>
            </w: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line="174" w:lineRule="exact"/>
              <w:rPr>
                <w:sz w:val="20"/>
                <w:szCs w:val="20"/>
                <w:color w:val="auto"/>
              </w:rPr>
            </w:pPr>
            <w:r>
              <w:rPr>
                <w:rFonts w:ascii="Calibri" w:cs="Calibri" w:eastAsia="Calibri" w:hAnsi="Calibri"/>
                <w:sz w:val="16"/>
                <w:szCs w:val="16"/>
                <w:color w:val="auto"/>
              </w:rPr>
              <w:t>BALANCE — September 29, 2024</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20,766,764</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31,060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line="183" w:lineRule="exact"/>
              <w:rPr>
                <w:sz w:val="20"/>
                <w:szCs w:val="20"/>
                <w:color w:val="auto"/>
              </w:rPr>
            </w:pPr>
            <w:r>
              <w:rPr>
                <w:rFonts w:ascii="Calibri" w:cs="Calibri" w:eastAsia="Calibri" w:hAnsi="Calibri"/>
                <w:sz w:val="16"/>
                <w:szCs w:val="16"/>
                <w:color w:val="auto"/>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410,425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1,679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w w:val="97"/>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Calibri" w:cs="Calibri" w:eastAsia="Calibri" w:hAnsi="Calibri"/>
                <w:sz w:val="16"/>
                <w:szCs w:val="16"/>
                <w:color w:val="auto"/>
              </w:rPr>
              <w:t>443,372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3600" w:type="dxa"/>
            <w:vAlign w:val="bottom"/>
          </w:tcPr>
          <w:p>
            <w:pPr>
              <w:spacing w:after="0"/>
              <w:rPr>
                <w:sz w:val="24"/>
                <w:szCs w:val="24"/>
                <w:color w:val="auto"/>
              </w:rPr>
            </w:pPr>
          </w:p>
        </w:tc>
        <w:tc>
          <w:tcPr>
            <w:tcW w:w="2400" w:type="dxa"/>
            <w:vAlign w:val="bottom"/>
            <w:gridSpan w:val="5"/>
            <w:vMerge w:val="restart"/>
          </w:tcPr>
          <w:p>
            <w:pPr>
              <w:ind w:left="640"/>
              <w:spacing w:after="0"/>
              <w:rPr>
                <w:sz w:val="20"/>
                <w:szCs w:val="20"/>
                <w:color w:val="auto"/>
              </w:rPr>
            </w:pPr>
            <w:r>
              <w:rPr>
                <w:rFonts w:ascii="Calibri" w:cs="Calibri" w:eastAsia="Calibri" w:hAnsi="Calibri"/>
                <w:sz w:val="16"/>
                <w:szCs w:val="16"/>
                <w:b w:val="1"/>
                <w:bCs w:val="1"/>
                <w:color w:val="auto"/>
              </w:rPr>
              <w:t>Common Stock</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Additonal</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20"/>
              <w:spacing w:after="0"/>
              <w:rPr>
                <w:sz w:val="20"/>
                <w:szCs w:val="20"/>
                <w:color w:val="auto"/>
              </w:rPr>
            </w:pPr>
            <w:r>
              <w:rPr>
                <w:rFonts w:ascii="Calibri" w:cs="Calibri" w:eastAsia="Calibri" w:hAnsi="Calibri"/>
                <w:sz w:val="16"/>
                <w:szCs w:val="16"/>
                <w:b w:val="1"/>
                <w:bCs w:val="1"/>
                <w:color w:val="auto"/>
              </w:rPr>
              <w:t>Accumulated Other</w:t>
            </w:r>
          </w:p>
        </w:tc>
        <w:tc>
          <w:tcPr>
            <w:tcW w:w="10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85"/>
        </w:trPr>
        <w:tc>
          <w:tcPr>
            <w:tcW w:w="3600" w:type="dxa"/>
            <w:vAlign w:val="bottom"/>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2"/>
            <w:vMerge w:val="restart"/>
          </w:tcPr>
          <w:p>
            <w:pPr>
              <w:jc w:val="center"/>
              <w:ind w:right="280"/>
              <w:spacing w:after="0" w:line="162" w:lineRule="exact"/>
              <w:rPr>
                <w:sz w:val="20"/>
                <w:szCs w:val="20"/>
                <w:color w:val="auto"/>
              </w:rPr>
            </w:pPr>
            <w:r>
              <w:rPr>
                <w:rFonts w:ascii="Calibri" w:cs="Calibri" w:eastAsia="Calibri" w:hAnsi="Calibri"/>
                <w:sz w:val="16"/>
                <w:szCs w:val="16"/>
                <w:b w:val="1"/>
                <w:bCs w:val="1"/>
                <w:color w:val="auto"/>
              </w:rPr>
              <w:t>Paid-in</w:t>
            </w:r>
          </w:p>
        </w:tc>
        <w:tc>
          <w:tcPr>
            <w:tcW w:w="200" w:type="dxa"/>
            <w:vAlign w:val="bottom"/>
          </w:tcPr>
          <w:p>
            <w:pPr>
              <w:spacing w:after="0"/>
              <w:rPr>
                <w:sz w:val="7"/>
                <w:szCs w:val="7"/>
                <w:color w:val="auto"/>
              </w:rPr>
            </w:pPr>
          </w:p>
        </w:tc>
        <w:tc>
          <w:tcPr>
            <w:tcW w:w="1020" w:type="dxa"/>
            <w:vAlign w:val="bottom"/>
            <w:gridSpan w:val="2"/>
            <w:vMerge w:val="restart"/>
          </w:tcPr>
          <w:p>
            <w:pPr>
              <w:ind w:left="60"/>
              <w:spacing w:after="0" w:line="162" w:lineRule="exact"/>
              <w:rPr>
                <w:sz w:val="20"/>
                <w:szCs w:val="20"/>
                <w:color w:val="auto"/>
              </w:rPr>
            </w:pPr>
            <w:r>
              <w:rPr>
                <w:rFonts w:ascii="Calibri" w:cs="Calibri" w:eastAsia="Calibri" w:hAnsi="Calibri"/>
                <w:sz w:val="16"/>
                <w:szCs w:val="16"/>
                <w:b w:val="1"/>
                <w:bCs w:val="1"/>
                <w:color w:val="auto"/>
              </w:rPr>
              <w:t>Retained</w:t>
            </w:r>
          </w:p>
        </w:tc>
        <w:tc>
          <w:tcPr>
            <w:tcW w:w="140" w:type="dxa"/>
            <w:vAlign w:val="bottom"/>
          </w:tcPr>
          <w:p>
            <w:pPr>
              <w:spacing w:after="0"/>
              <w:rPr>
                <w:sz w:val="7"/>
                <w:szCs w:val="7"/>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Calibri" w:cs="Calibri" w:eastAsia="Calibri" w:hAnsi="Calibri"/>
                <w:sz w:val="16"/>
                <w:szCs w:val="16"/>
                <w:b w:val="1"/>
                <w:bCs w:val="1"/>
                <w:color w:val="auto"/>
              </w:rPr>
              <w:t>Comprehensive</w:t>
            </w:r>
          </w:p>
        </w:tc>
        <w:tc>
          <w:tcPr>
            <w:tcW w:w="100" w:type="dxa"/>
            <w:vAlign w:val="bottom"/>
          </w:tcPr>
          <w:p>
            <w:pPr>
              <w:spacing w:after="0"/>
              <w:rPr>
                <w:sz w:val="7"/>
                <w:szCs w:val="7"/>
                <w:color w:val="auto"/>
              </w:rPr>
            </w:pPr>
          </w:p>
        </w:tc>
        <w:tc>
          <w:tcPr>
            <w:tcW w:w="1060" w:type="dxa"/>
            <w:vAlign w:val="bottom"/>
            <w:vMerge w:val="restart"/>
          </w:tcPr>
          <w:p>
            <w:pPr>
              <w:jc w:val="center"/>
              <w:ind w:right="19"/>
              <w:spacing w:after="0" w:line="162" w:lineRule="exact"/>
              <w:rPr>
                <w:sz w:val="20"/>
                <w:szCs w:val="20"/>
                <w:color w:val="auto"/>
              </w:rPr>
            </w:pPr>
            <w:r>
              <w:rPr>
                <w:rFonts w:ascii="Calibri" w:cs="Calibri" w:eastAsia="Calibri" w:hAnsi="Calibri"/>
                <w:sz w:val="16"/>
                <w:szCs w:val="16"/>
                <w:b w:val="1"/>
                <w:bCs w:val="1"/>
                <w:color w:val="auto"/>
              </w:rPr>
              <w:t>Shareholders’</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9"/>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3600" w:type="dxa"/>
            <w:vAlign w:val="bottom"/>
          </w:tcPr>
          <w:p>
            <w:pPr>
              <w:spacing w:after="0"/>
              <w:rPr>
                <w:sz w:val="16"/>
                <w:szCs w:val="16"/>
                <w:color w:val="auto"/>
              </w:rPr>
            </w:pPr>
          </w:p>
        </w:tc>
        <w:tc>
          <w:tcPr>
            <w:tcW w:w="120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1020" w:type="dxa"/>
            <w:vAlign w:val="bottom"/>
            <w:gridSpan w:val="2"/>
          </w:tcPr>
          <w:p>
            <w:pPr>
              <w:ind w:left="100"/>
              <w:spacing w:after="0" w:line="193" w:lineRule="exact"/>
              <w:rPr>
                <w:sz w:val="20"/>
                <w:szCs w:val="20"/>
                <w:color w:val="auto"/>
              </w:rPr>
            </w:pPr>
            <w:r>
              <w:rPr>
                <w:rFonts w:ascii="Calibri" w:cs="Calibri" w:eastAsia="Calibri" w:hAnsi="Calibri"/>
                <w:sz w:val="16"/>
                <w:szCs w:val="16"/>
                <w:b w:val="1"/>
                <w:bCs w:val="1"/>
                <w:color w:val="auto"/>
              </w:rPr>
              <w:t>Amount</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Capital</w:t>
            </w:r>
          </w:p>
        </w:tc>
        <w:tc>
          <w:tcPr>
            <w:tcW w:w="200" w:type="dxa"/>
            <w:vAlign w:val="bottom"/>
          </w:tcPr>
          <w:p>
            <w:pPr>
              <w:spacing w:after="0"/>
              <w:rPr>
                <w:sz w:val="16"/>
                <w:szCs w:val="16"/>
                <w:color w:val="auto"/>
              </w:rPr>
            </w:pPr>
          </w:p>
        </w:tc>
        <w:tc>
          <w:tcPr>
            <w:tcW w:w="1020" w:type="dxa"/>
            <w:vAlign w:val="bottom"/>
            <w:gridSpan w:val="2"/>
          </w:tcPr>
          <w:p>
            <w:pPr>
              <w:ind w:left="60"/>
              <w:spacing w:after="0" w:line="193" w:lineRule="exact"/>
              <w:rPr>
                <w:sz w:val="20"/>
                <w:szCs w:val="20"/>
                <w:color w:val="auto"/>
              </w:rPr>
            </w:pPr>
            <w:r>
              <w:rPr>
                <w:rFonts w:ascii="Calibri" w:cs="Calibri" w:eastAsia="Calibri" w:hAnsi="Calibri"/>
                <w:sz w:val="16"/>
                <w:szCs w:val="16"/>
                <w:b w:val="1"/>
                <w:bCs w:val="1"/>
                <w:color w:val="auto"/>
              </w:rPr>
              <w:t>Earnings</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line="193" w:lineRule="exact"/>
              <w:rPr>
                <w:sz w:val="20"/>
                <w:szCs w:val="20"/>
                <w:color w:val="auto"/>
              </w:rPr>
            </w:pPr>
            <w:r>
              <w:rPr>
                <w:rFonts w:ascii="Calibri" w:cs="Calibri" w:eastAsia="Calibri" w:hAnsi="Calibri"/>
                <w:sz w:val="16"/>
                <w:szCs w:val="16"/>
                <w:b w:val="1"/>
                <w:bCs w:val="1"/>
                <w:color w:val="auto"/>
              </w:rPr>
              <w:t>Income (Loss)</w:t>
            </w:r>
          </w:p>
        </w:tc>
        <w:tc>
          <w:tcPr>
            <w:tcW w:w="100" w:type="dxa"/>
            <w:vAlign w:val="bottom"/>
          </w:tcPr>
          <w:p>
            <w:pPr>
              <w:spacing w:after="0"/>
              <w:rPr>
                <w:sz w:val="16"/>
                <w:szCs w:val="16"/>
                <w:color w:val="auto"/>
              </w:rPr>
            </w:pPr>
          </w:p>
        </w:tc>
        <w:tc>
          <w:tcPr>
            <w:tcW w:w="1060" w:type="dxa"/>
            <w:vAlign w:val="bottom"/>
          </w:tcPr>
          <w:p>
            <w:pPr>
              <w:jc w:val="center"/>
              <w:ind w:right="19"/>
              <w:spacing w:after="0" w:line="193" w:lineRule="exact"/>
              <w:rPr>
                <w:sz w:val="20"/>
                <w:szCs w:val="20"/>
                <w:color w:val="auto"/>
              </w:rPr>
            </w:pPr>
            <w:r>
              <w:rPr>
                <w:rFonts w:ascii="Calibri" w:cs="Calibri" w:eastAsia="Calibri" w:hAnsi="Calibri"/>
                <w:sz w:val="16"/>
                <w:szCs w:val="16"/>
                <w:b w:val="1"/>
                <w:bCs w:val="1"/>
                <w:color w:val="auto"/>
              </w:rPr>
              <w:t>Equity</w:t>
            </w:r>
          </w:p>
        </w:tc>
        <w:tc>
          <w:tcPr>
            <w:tcW w:w="0" w:type="dxa"/>
            <w:vAlign w:val="bottom"/>
          </w:tcPr>
          <w:p>
            <w:pPr>
              <w:spacing w:after="0"/>
              <w:rPr>
                <w:sz w:val="1"/>
                <w:szCs w:val="1"/>
                <w:color w:val="auto"/>
              </w:rPr>
            </w:pPr>
          </w:p>
        </w:tc>
      </w:tr>
      <w:tr>
        <w:trPr>
          <w:trHeight w:val="28"/>
        </w:trPr>
        <w:tc>
          <w:tcPr>
            <w:tcW w:w="3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April 2, 2023</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20,850,454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44,443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302,424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2,940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350,016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($0.15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(3,160)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(3,160)</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959</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105,600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surrendered for payroll taxes</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(48,478)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(2,139)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c>
          <w:tcPr>
            <w:tcW w:w="0" w:type="dxa"/>
            <w:vAlign w:val="bottom"/>
          </w:tcPr>
          <w:p>
            <w:pPr>
              <w:spacing w:after="0"/>
              <w:rPr>
                <w:sz w:val="1"/>
                <w:szCs w:val="1"/>
                <w:color w:val="auto"/>
              </w:rPr>
            </w:pPr>
          </w:p>
        </w:tc>
      </w:tr>
      <w:tr>
        <w:trPr>
          <w:trHeight w:val="194"/>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ESPP shares issued</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35,281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749</w:t>
            </w:r>
          </w:p>
        </w:tc>
        <w:tc>
          <w:tcPr>
            <w:tcW w:w="0" w:type="dxa"/>
            <w:vAlign w:val="bottom"/>
          </w:tcPr>
          <w:p>
            <w:pPr>
              <w:spacing w:after="0"/>
              <w:rPr>
                <w:sz w:val="1"/>
                <w:szCs w:val="1"/>
                <w:color w:val="auto"/>
              </w:rPr>
            </w:pPr>
          </w:p>
        </w:tc>
      </w:tr>
      <w:tr>
        <w:trPr>
          <w:trHeight w:val="194"/>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23,430</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BALANCE — July 2, 2023</w:t>
            </w: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20,942,857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44,409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322,694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371,001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360"/>
              <w:spacing w:after="0" w:line="144" w:lineRule="exact"/>
              <w:rPr>
                <w:sz w:val="20"/>
                <w:szCs w:val="20"/>
                <w:color w:val="auto"/>
              </w:rPr>
            </w:pPr>
            <w:r>
              <w:rPr>
                <w:rFonts w:ascii="Calibri" w:cs="Calibri" w:eastAsia="Calibri" w:hAnsi="Calibri"/>
                <w:sz w:val="15"/>
                <w:szCs w:val="15"/>
                <w:color w:val="auto"/>
              </w:rPr>
              <w:t>Cash dividends declared and paid ($0.16 per</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6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share)</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(3,375)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(3,375)</w:t>
            </w:r>
          </w:p>
        </w:tc>
        <w:tc>
          <w:tcPr>
            <w:tcW w:w="0" w:type="dxa"/>
            <w:vAlign w:val="bottom"/>
          </w:tcPr>
          <w:p>
            <w:pPr>
              <w:spacing w:after="0"/>
              <w:rPr>
                <w:sz w:val="1"/>
                <w:szCs w:val="1"/>
                <w:color w:val="auto"/>
              </w:rPr>
            </w:pPr>
          </w:p>
        </w:tc>
      </w:tr>
      <w:tr>
        <w:trPr>
          <w:trHeight w:val="28"/>
        </w:trPr>
        <w:tc>
          <w:tcPr>
            <w:tcW w:w="3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Share-based compensaton expense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1,260</w:t>
            </w:r>
          </w:p>
        </w:tc>
        <w:tc>
          <w:tcPr>
            <w:tcW w:w="0" w:type="dxa"/>
            <w:vAlign w:val="bottom"/>
          </w:tcPr>
          <w:p>
            <w:pPr>
              <w:spacing w:after="0"/>
              <w:rPr>
                <w:sz w:val="1"/>
                <w:szCs w:val="1"/>
                <w:color w:val="auto"/>
              </w:rPr>
            </w:pPr>
          </w:p>
        </w:tc>
      </w:tr>
      <w:tr>
        <w:trPr>
          <w:trHeight w:val="193"/>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Vestng of restricted stock</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12,565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4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(167,796)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(9,751)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(9,752)</w:t>
            </w:r>
          </w:p>
        </w:tc>
        <w:tc>
          <w:tcPr>
            <w:tcW w:w="0" w:type="dxa"/>
            <w:vAlign w:val="bottom"/>
          </w:tcPr>
          <w:p>
            <w:pPr>
              <w:spacing w:after="0"/>
              <w:rPr>
                <w:sz w:val="1"/>
                <w:szCs w:val="1"/>
                <w:color w:val="auto"/>
              </w:rPr>
            </w:pPr>
          </w:p>
        </w:tc>
      </w:tr>
      <w:tr>
        <w:trPr>
          <w:trHeight w:val="194"/>
        </w:trPr>
        <w:tc>
          <w:tcPr>
            <w:tcW w:w="3600" w:type="dxa"/>
            <w:vAlign w:val="bottom"/>
          </w:tcPr>
          <w:p>
            <w:pPr>
              <w:ind w:left="360"/>
              <w:spacing w:after="0" w:line="193" w:lineRule="exact"/>
              <w:rPr>
                <w:sz w:val="20"/>
                <w:szCs w:val="20"/>
                <w:color w:val="auto"/>
              </w:rPr>
            </w:pPr>
            <w:r>
              <w:rPr>
                <w:rFonts w:ascii="Calibri" w:cs="Calibri" w:eastAsia="Calibri" w:hAnsi="Calibri"/>
                <w:sz w:val="16"/>
                <w:szCs w:val="16"/>
                <w:color w:val="auto"/>
              </w:rPr>
              <w:t>Other comprehensive income, net of tax</w:t>
            </w:r>
          </w:p>
        </w:tc>
        <w:tc>
          <w:tcPr>
            <w:tcW w:w="12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306</w:t>
            </w: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120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23,216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23,216</w:t>
            </w:r>
          </w:p>
        </w:tc>
        <w:tc>
          <w:tcPr>
            <w:tcW w:w="0" w:type="dxa"/>
            <w:vAlign w:val="bottom"/>
          </w:tcPr>
          <w:p>
            <w:pPr>
              <w:spacing w:after="0"/>
              <w:rPr>
                <w:sz w:val="1"/>
                <w:szCs w:val="1"/>
                <w:color w:val="auto"/>
              </w:rPr>
            </w:pPr>
          </w:p>
        </w:tc>
      </w:tr>
      <w:tr>
        <w:trPr>
          <w:trHeight w:val="187"/>
        </w:trPr>
        <w:tc>
          <w:tcPr>
            <w:tcW w:w="3600" w:type="dxa"/>
            <w:vAlign w:val="bottom"/>
          </w:tcPr>
          <w:p>
            <w:pPr>
              <w:ind w:left="20"/>
              <w:spacing w:after="0" w:line="174" w:lineRule="exact"/>
              <w:rPr>
                <w:sz w:val="20"/>
                <w:szCs w:val="20"/>
                <w:color w:val="auto"/>
              </w:rPr>
            </w:pPr>
            <w:r>
              <w:rPr>
                <w:rFonts w:ascii="Calibri" w:cs="Calibri" w:eastAsia="Calibri" w:hAnsi="Calibri"/>
                <w:sz w:val="16"/>
                <w:szCs w:val="16"/>
                <w:color w:val="auto"/>
              </w:rPr>
              <w:t>BALANCE — October 1, 2023</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20,787,626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35,918</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line="187" w:lineRule="exact"/>
              <w:rPr>
                <w:sz w:val="20"/>
                <w:szCs w:val="20"/>
                <w:color w:val="auto"/>
              </w:rPr>
            </w:pPr>
            <w:r>
              <w:rPr>
                <w:rFonts w:ascii="Calibri" w:cs="Calibri" w:eastAsia="Calibri" w:hAnsi="Calibri"/>
                <w:sz w:val="16"/>
                <w:szCs w:val="16"/>
                <w:color w:val="auto"/>
              </w:rPr>
              <w:t>$</w:t>
            </w:r>
          </w:p>
        </w:tc>
        <w:tc>
          <w:tcPr>
            <w:tcW w:w="9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342,535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3,995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382,656</w:t>
            </w:r>
          </w:p>
        </w:tc>
        <w:tc>
          <w:tcPr>
            <w:tcW w:w="0" w:type="dxa"/>
            <w:vAlign w:val="bottom"/>
          </w:tcPr>
          <w:p>
            <w:pPr>
              <w:spacing w:after="0"/>
              <w:rPr>
                <w:sz w:val="1"/>
                <w:szCs w:val="1"/>
                <w:color w:val="auto"/>
              </w:rPr>
            </w:pPr>
          </w:p>
        </w:tc>
      </w:tr>
      <w:tr>
        <w:trPr>
          <w:trHeight w:val="22"/>
        </w:trPr>
        <w:tc>
          <w:tcPr>
            <w:tcW w:w="3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CONDENSED CONSOLIDATED STATEMENTS OF CASH FLOWS (UNAUDITED)</w:t>
      </w:r>
    </w:p>
    <w:p>
      <w:pPr>
        <w:spacing w:after="0" w:line="233" w:lineRule="auto"/>
        <w:rPr>
          <w:sz w:val="20"/>
          <w:szCs w:val="20"/>
          <w:color w:val="auto"/>
        </w:rPr>
      </w:pPr>
      <w:r>
        <w:rPr>
          <w:rFonts w:ascii="Calibri" w:cs="Calibri" w:eastAsia="Calibri" w:hAnsi="Calibri"/>
          <w:sz w:val="14"/>
          <w:szCs w:val="14"/>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4"/>
          </w:tcPr>
          <w:p>
            <w:pPr>
              <w:jc w:val="right"/>
              <w:ind w:right="899"/>
              <w:spacing w:after="0"/>
              <w:rPr>
                <w:sz w:val="20"/>
                <w:szCs w:val="20"/>
                <w:color w:val="auto"/>
              </w:rPr>
            </w:pPr>
            <w:r>
              <w:rPr>
                <w:rFonts w:ascii="Calibri" w:cs="Calibri" w:eastAsia="Calibri" w:hAnsi="Calibri"/>
                <w:sz w:val="16"/>
                <w:szCs w:val="16"/>
                <w:b w:val="1"/>
                <w:bCs w:val="1"/>
                <w:color w:val="auto"/>
              </w:rPr>
              <w:t>Six Months Ended</w:t>
            </w:r>
          </w:p>
        </w:tc>
      </w:tr>
      <w:tr>
        <w:trPr>
          <w:trHeight w:val="28"/>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1"/>
        </w:trPr>
        <w:tc>
          <w:tcPr>
            <w:tcW w:w="8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00"/>
              <w:spacing w:after="0" w:line="150" w:lineRule="exact"/>
              <w:rPr>
                <w:sz w:val="20"/>
                <w:szCs w:val="20"/>
                <w:color w:val="auto"/>
              </w:rPr>
            </w:pPr>
            <w:r>
              <w:rPr>
                <w:rFonts w:ascii="Calibri" w:cs="Calibri" w:eastAsia="Calibri" w:hAnsi="Calibri"/>
                <w:sz w:val="16"/>
                <w:szCs w:val="16"/>
                <w:b w:val="1"/>
                <w:bCs w:val="1"/>
                <w:color w:val="auto"/>
              </w:rPr>
              <w:t>September 29,</w:t>
            </w:r>
          </w:p>
        </w:tc>
        <w:tc>
          <w:tcPr>
            <w:tcW w:w="260" w:type="dxa"/>
            <w:vAlign w:val="bottom"/>
          </w:tcPr>
          <w:p>
            <w:pPr>
              <w:spacing w:after="0"/>
              <w:rPr>
                <w:sz w:val="13"/>
                <w:szCs w:val="13"/>
                <w:color w:val="auto"/>
              </w:rPr>
            </w:pPr>
          </w:p>
        </w:tc>
        <w:tc>
          <w:tcPr>
            <w:tcW w:w="1220" w:type="dxa"/>
            <w:vAlign w:val="bottom"/>
          </w:tcPr>
          <w:p>
            <w:pPr>
              <w:jc w:val="right"/>
              <w:ind w:right="299"/>
              <w:spacing w:after="0" w:line="150" w:lineRule="exact"/>
              <w:rPr>
                <w:sz w:val="20"/>
                <w:szCs w:val="20"/>
                <w:color w:val="auto"/>
              </w:rPr>
            </w:pPr>
            <w:r>
              <w:rPr>
                <w:rFonts w:ascii="Calibri" w:cs="Calibri" w:eastAsia="Calibri" w:hAnsi="Calibri"/>
                <w:sz w:val="16"/>
                <w:szCs w:val="16"/>
                <w:b w:val="1"/>
                <w:bCs w:val="1"/>
                <w:color w:val="auto"/>
              </w:rPr>
              <w:t>October 1,</w:t>
            </w:r>
          </w:p>
        </w:tc>
      </w:tr>
      <w:tr>
        <w:trPr>
          <w:trHeight w:val="193"/>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539"/>
              <w:spacing w:after="0" w:line="193"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499"/>
              <w:spacing w:after="0" w:line="193" w:lineRule="exact"/>
              <w:rPr>
                <w:sz w:val="20"/>
                <w:szCs w:val="20"/>
                <w:color w:val="auto"/>
              </w:rPr>
            </w:pPr>
            <w:r>
              <w:rPr>
                <w:rFonts w:ascii="Calibri" w:cs="Calibri" w:eastAsia="Calibri" w:hAnsi="Calibri"/>
                <w:sz w:val="16"/>
                <w:szCs w:val="16"/>
                <w:b w:val="1"/>
                <w:bCs w:val="1"/>
                <w:color w:val="auto"/>
              </w:rPr>
              <w:t>2023</w:t>
            </w:r>
          </w:p>
        </w:tc>
      </w:tr>
      <w:tr>
        <w:trPr>
          <w:trHeight w:val="28"/>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6"/>
        </w:trPr>
        <w:tc>
          <w:tcPr>
            <w:tcW w:w="80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Net income</w:t>
            </w: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52,997</w:t>
            </w:r>
          </w:p>
        </w:tc>
        <w:tc>
          <w:tcPr>
            <w:tcW w:w="100" w:type="dxa"/>
            <w:vAlign w:val="bottom"/>
          </w:tcPr>
          <w:p>
            <w:pPr>
              <w:spacing w:after="0"/>
              <w:rPr>
                <w:sz w:val="16"/>
                <w:szCs w:val="16"/>
                <w:color w:val="auto"/>
              </w:rPr>
            </w:pPr>
          </w:p>
        </w:tc>
        <w:tc>
          <w:tcPr>
            <w:tcW w:w="2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46,646</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Reconciliaton to cash fows: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Depreciaton and amortzaton</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19,256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14,506</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Change in fair value of earnout liability</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Operatng leases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1,607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1,115</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Gain on deferred compensaton assets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Stock compensaton expense</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3,299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2,219</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68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w:t>
            </w:r>
          </w:p>
        </w:tc>
      </w:tr>
      <w:tr>
        <w:trPr>
          <w:trHeight w:val="193"/>
        </w:trPr>
        <w:tc>
          <w:tcPr>
            <w:tcW w:w="8080" w:type="dxa"/>
            <w:vAlign w:val="bottom"/>
          </w:tcPr>
          <w:p>
            <w:pPr>
              <w:ind w:left="680"/>
              <w:spacing w:after="0" w:line="193" w:lineRule="exact"/>
              <w:rPr>
                <w:sz w:val="20"/>
                <w:szCs w:val="20"/>
                <w:color w:val="auto"/>
              </w:rPr>
            </w:pPr>
            <w:r>
              <w:rPr>
                <w:rFonts w:ascii="Calibri" w:cs="Calibri" w:eastAsia="Calibri" w:hAnsi="Calibri"/>
                <w:sz w:val="16"/>
                <w:szCs w:val="16"/>
                <w:color w:val="auto"/>
              </w:rPr>
              <w:t>Changes in operatng accounts providing (using) cash:</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Trade receivables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4,909</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Inventories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(6,403)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20,752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Accounts payable</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(4,218)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6,421</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Accrued liabilites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(7,285)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(7,149)</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Lease liabilites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(1,127)</w:t>
            </w:r>
          </w:p>
        </w:tc>
      </w:tr>
      <w:tr>
        <w:trPr>
          <w:trHeight w:val="193"/>
        </w:trPr>
        <w:tc>
          <w:tcPr>
            <w:tcW w:w="8080" w:type="dxa"/>
            <w:vAlign w:val="bottom"/>
          </w:tcPr>
          <w:p>
            <w:pPr>
              <w:ind w:left="1120"/>
              <w:spacing w:after="0" w:line="193" w:lineRule="exact"/>
              <w:rPr>
                <w:sz w:val="20"/>
                <w:szCs w:val="20"/>
                <w:color w:val="auto"/>
              </w:rPr>
            </w:pPr>
            <w:r>
              <w:rPr>
                <w:rFonts w:ascii="Calibri" w:cs="Calibri" w:eastAsia="Calibri" w:hAnsi="Calibri"/>
                <w:sz w:val="16"/>
                <w:szCs w:val="16"/>
                <w:color w:val="auto"/>
              </w:rPr>
              <w:t>Income taxes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990</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112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3,430</w:t>
            </w:r>
          </w:p>
        </w:tc>
      </w:tr>
      <w:tr>
        <w:trPr>
          <w:trHeight w:val="187"/>
        </w:trPr>
        <w:tc>
          <w:tcPr>
            <w:tcW w:w="8080" w:type="dxa"/>
            <w:vAlign w:val="bottom"/>
          </w:tcPr>
          <w:p>
            <w:pPr>
              <w:ind w:left="1440"/>
              <w:spacing w:after="0" w:line="174" w:lineRule="exact"/>
              <w:rPr>
                <w:sz w:val="20"/>
                <w:szCs w:val="20"/>
                <w:color w:val="auto"/>
              </w:rPr>
            </w:pPr>
            <w:r>
              <w:rPr>
                <w:rFonts w:ascii="Calibri" w:cs="Calibri" w:eastAsia="Calibri" w:hAnsi="Calibri"/>
                <w:sz w:val="16"/>
                <w:szCs w:val="16"/>
                <w:color w:val="auto"/>
              </w:rPr>
              <w:t>Net cash provided by operatng actvites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59,216</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92,630</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Purchases of property, plant, and equipment</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(21,286)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(16,922)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Acquisitons</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(3,355)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Other</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357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335</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investng actvites</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(46,329)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(19,942)</w:t>
            </w:r>
          </w:p>
        </w:tc>
      </w:tr>
      <w:tr>
        <w:trPr>
          <w:trHeight w:val="193"/>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CASH FLOWS FROM FINANCING ACTIVITIES: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dividends declared and paid</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(7,121)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(6,535)</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New shares issued</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1,297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1,147</w:t>
            </w:r>
          </w:p>
        </w:tc>
      </w:tr>
      <w:tr>
        <w:trPr>
          <w:trHeight w:val="22"/>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Payroll taxes paid in exchange for shares withheld</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(2,140)</w:t>
            </w:r>
          </w:p>
        </w:tc>
      </w:tr>
      <w:tr>
        <w:trPr>
          <w:trHeight w:val="194"/>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Shares repurchased</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(9,149)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(9,752)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Payments on revolving loan</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(40,000)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(52,000)</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Proceeds from revolving loan borrowings</w:t>
            </w:r>
          </w:p>
        </w:tc>
        <w:tc>
          <w:tcPr>
            <w:tcW w:w="200" w:type="dxa"/>
            <w:vAlign w:val="bottom"/>
          </w:tcPr>
          <w:p>
            <w:pPr>
              <w:spacing w:after="0"/>
              <w:rPr>
                <w:sz w:val="16"/>
                <w:szCs w:val="16"/>
                <w:color w:val="auto"/>
              </w:rPr>
            </w:pP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8080" w:type="dxa"/>
            <w:vAlign w:val="bottom"/>
            <w:tcBorders>
              <w:bottom w:val="single" w:sz="8" w:color="CCEEFF"/>
            </w:tcBorders>
            <w:shd w:val="clear" w:color="auto" w:fill="CCEEFF"/>
          </w:tcPr>
          <w:p>
            <w:pPr>
              <w:ind w:left="144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(12,514)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(69,280)</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IN CASH AND CASH EQUIVALENTS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373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3,408</w:t>
            </w:r>
          </w:p>
        </w:tc>
      </w:tr>
      <w:tr>
        <w:trPr>
          <w:trHeight w:val="22"/>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6"/>
        </w:trPr>
        <w:tc>
          <w:tcPr>
            <w:tcW w:w="80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AND CASH EQUIVALENTS, BEGINNING OF PERIOD</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7,566</w:t>
            </w:r>
          </w:p>
        </w:tc>
      </w:tr>
      <w:tr>
        <w:trPr>
          <w:trHeight w:val="187"/>
        </w:trPr>
        <w:tc>
          <w:tcPr>
            <w:tcW w:w="8080" w:type="dxa"/>
            <w:vAlign w:val="bottom"/>
          </w:tcPr>
          <w:p>
            <w:pPr>
              <w:ind w:left="20"/>
              <w:spacing w:after="0" w:line="174" w:lineRule="exact"/>
              <w:rPr>
                <w:sz w:val="20"/>
                <w:szCs w:val="20"/>
                <w:color w:val="auto"/>
              </w:rPr>
            </w:pPr>
            <w:r>
              <w:rPr>
                <w:rFonts w:ascii="Calibri" w:cs="Calibri" w:eastAsia="Calibri" w:hAnsi="Calibri"/>
                <w:sz w:val="16"/>
                <w:szCs w:val="16"/>
                <w:color w:val="auto"/>
              </w:rPr>
              <w:t>CASH AND CASH EQUIVALENTS, END OF PERIOD</w:t>
            </w:r>
          </w:p>
        </w:tc>
        <w:tc>
          <w:tcPr>
            <w:tcW w:w="200" w:type="dxa"/>
            <w:vAlign w:val="bottom"/>
            <w:tcBorders>
              <w:top w:val="single" w:sz="8" w:color="auto"/>
            </w:tcBorders>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3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7,526</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10,974</w:t>
            </w:r>
          </w:p>
        </w:tc>
      </w:tr>
      <w:tr>
        <w:trPr>
          <w:trHeight w:val="22"/>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4"/>
        </w:trPr>
        <w:tc>
          <w:tcPr>
            <w:tcW w:w="8080" w:type="dxa"/>
            <w:vAlign w:val="bottom"/>
          </w:tcPr>
          <w:p>
            <w:pPr>
              <w:ind w:left="20"/>
              <w:spacing w:after="0" w:line="193" w:lineRule="exact"/>
              <w:rPr>
                <w:sz w:val="20"/>
                <w:szCs w:val="20"/>
                <w:color w:val="auto"/>
              </w:rPr>
            </w:pPr>
            <w:r>
              <w:rPr>
                <w:rFonts w:ascii="Calibri" w:cs="Calibri" w:eastAsia="Calibri" w:hAnsi="Calibri"/>
                <w:sz w:val="16"/>
                <w:szCs w:val="16"/>
                <w:color w:val="auto"/>
              </w:rPr>
              <w:t>SUPPLEMENTAL DISCLOSURES OF CASH FLOW INFORMATION</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0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Cash paid for income taxes</w:t>
            </w: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18,340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16,025</w:t>
            </w:r>
          </w:p>
        </w:tc>
      </w:tr>
      <w:tr>
        <w:trPr>
          <w:trHeight w:val="193"/>
        </w:trPr>
        <w:tc>
          <w:tcPr>
            <w:tcW w:w="8080" w:type="dxa"/>
            <w:vAlign w:val="bottom"/>
          </w:tcPr>
          <w:p>
            <w:pPr>
              <w:ind w:left="360"/>
              <w:spacing w:after="0" w:line="193" w:lineRule="exact"/>
              <w:rPr>
                <w:sz w:val="20"/>
                <w:szCs w:val="20"/>
                <w:color w:val="auto"/>
              </w:rPr>
            </w:pPr>
            <w:r>
              <w:rPr>
                <w:rFonts w:ascii="Calibri" w:cs="Calibri" w:eastAsia="Calibri" w:hAnsi="Calibri"/>
                <w:sz w:val="16"/>
                <w:szCs w:val="16"/>
                <w:color w:val="auto"/>
              </w:rPr>
              <w:t>Cash paid for interest</w:t>
            </w:r>
          </w:p>
        </w:tc>
        <w:tc>
          <w:tcPr>
            <w:tcW w:w="20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Pr>
          <w:p>
            <w:pPr>
              <w:jc w:val="right"/>
              <w:spacing w:after="0" w:line="193" w:lineRule="exact"/>
              <w:rPr>
                <w:sz w:val="20"/>
                <w:szCs w:val="20"/>
                <w:color w:val="auto"/>
              </w:rPr>
            </w:pPr>
            <w:r>
              <w:rPr>
                <w:rFonts w:ascii="Calibri" w:cs="Calibri" w:eastAsia="Calibri" w:hAnsi="Calibri"/>
                <w:sz w:val="16"/>
                <w:szCs w:val="16"/>
                <w:color w:val="auto"/>
              </w:rPr>
              <w:t>2,923</w:t>
            </w:r>
          </w:p>
        </w:tc>
        <w:tc>
          <w:tcPr>
            <w:tcW w:w="100" w:type="dxa"/>
            <w:vAlign w:val="bottom"/>
          </w:tcPr>
          <w:p>
            <w:pPr>
              <w:spacing w:after="0"/>
              <w:rPr>
                <w:sz w:val="16"/>
                <w:szCs w:val="16"/>
                <w:color w:val="auto"/>
              </w:rPr>
            </w:pPr>
          </w:p>
        </w:tc>
        <w:tc>
          <w:tcPr>
            <w:tcW w:w="26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2,002</w:t>
            </w:r>
          </w:p>
        </w:tc>
      </w:tr>
      <w:tr>
        <w:trPr>
          <w:trHeight w:val="23"/>
        </w:trPr>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4"/>
        </w:trPr>
        <w:tc>
          <w:tcPr>
            <w:tcW w:w="8080" w:type="dxa"/>
            <w:vAlign w:val="bottom"/>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Noncash investng actvites - capital expenditures in accounts payable</w:t>
            </w:r>
          </w:p>
        </w:tc>
        <w:tc>
          <w:tcPr>
            <w:tcW w:w="200" w:type="dxa"/>
            <w:vAlign w:val="bottom"/>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1220" w:type="dxa"/>
            <w:vAlign w:val="bottom"/>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2,970</w:t>
            </w:r>
          </w:p>
        </w:tc>
      </w:tr>
      <w:tr>
        <w:trPr>
          <w:trHeight w:val="23"/>
        </w:trPr>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 to condensed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auto"/>
        </w:rPr>
        <w:t>HAWKINS, INC.</w:t>
      </w:r>
    </w:p>
    <w:p>
      <w:pPr>
        <w:spacing w:after="0" w:line="235" w:lineRule="auto"/>
        <w:rPr>
          <w:sz w:val="20"/>
          <w:szCs w:val="20"/>
          <w:color w:val="auto"/>
        </w:rPr>
      </w:pPr>
      <w:r>
        <w:rPr>
          <w:rFonts w:ascii="Calibri" w:cs="Calibri" w:eastAsia="Calibri" w:hAnsi="Calibri"/>
          <w:sz w:val="18"/>
          <w:szCs w:val="18"/>
          <w:b w:val="1"/>
          <w:bCs w:val="1"/>
          <w:color w:val="auto"/>
        </w:rPr>
        <w:t>NOTES TO CONDENSED CONSOLIDATED FINANCIAL STATEMENTS (UNAUDITED)</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 – Summary of Signifcant Accountng Policies</w:t>
      </w:r>
    </w:p>
    <w:p>
      <w:pPr>
        <w:spacing w:after="0" w:line="244" w:lineRule="exact"/>
        <w:rPr>
          <w:sz w:val="20"/>
          <w:szCs w:val="20"/>
          <w:color w:val="auto"/>
        </w:rPr>
      </w:pPr>
    </w:p>
    <w:p>
      <w:pPr>
        <w:ind w:right="40"/>
        <w:spacing w:after="0" w:line="235" w:lineRule="auto"/>
        <w:rPr>
          <w:rFonts w:ascii="Calibri" w:cs="Calibri" w:eastAsia="Calibri" w:hAnsi="Calibri"/>
          <w:sz w:val="18"/>
          <w:szCs w:val="18"/>
          <w:color w:val="0000FF"/>
        </w:rPr>
      </w:pPr>
      <w:r>
        <w:rPr>
          <w:rFonts w:ascii="Calibri" w:cs="Calibri" w:eastAsia="Calibri" w:hAnsi="Calibri"/>
          <w:sz w:val="18"/>
          <w:szCs w:val="18"/>
          <w:b w:val="1"/>
          <w:bCs w:val="1"/>
          <w:i w:val="1"/>
          <w:iCs w:val="1"/>
          <w:color w:val="auto"/>
        </w:rPr>
        <w:t xml:space="preserve">Basis of Presentaton. </w:t>
      </w:r>
      <w:r>
        <w:rPr>
          <w:rFonts w:ascii="Calibri" w:cs="Calibri" w:eastAsia="Calibri" w:hAnsi="Calibri"/>
          <w:sz w:val="18"/>
          <w:szCs w:val="18"/>
          <w:color w:val="auto"/>
        </w:rPr>
        <w:t>The accompanying unaudited condensed consolidated fnancial statements have been prepared in accordance with the instructons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Form 10-Q and, accordingly, do not include all informaton and footnotes required by generally accepted accountng principles for complete fnancial </w:t>
      </w:r>
      <w:hyperlink r:id="rId18">
        <w:r>
          <w:rPr>
            <w:rFonts w:ascii="Calibri" w:cs="Calibri" w:eastAsia="Calibri" w:hAnsi="Calibri"/>
            <w:sz w:val="18"/>
            <w:szCs w:val="18"/>
            <w:color w:val="auto"/>
          </w:rPr>
          <w:t xml:space="preserve">statements. These fnancial statements should be read in conjuncton with the consolidated fnancial statements and footnotes included in our </w:t>
        </w:r>
        <w:r>
          <w:rPr>
            <w:rFonts w:ascii="Calibri" w:cs="Calibri" w:eastAsia="Calibri" w:hAnsi="Calibri"/>
            <w:sz w:val="18"/>
            <w:szCs w:val="18"/>
            <w:u w:val="single" w:color="auto"/>
            <w:color w:val="0000FF"/>
          </w:rPr>
          <w:t>Annual Report</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on Form 10-K for the fscal year ended March 31, 2024</w:t>
        </w:r>
        <w:r>
          <w:rPr>
            <w:rFonts w:ascii="Calibri" w:cs="Calibri" w:eastAsia="Calibri" w:hAnsi="Calibri"/>
            <w:sz w:val="18"/>
            <w:szCs w:val="18"/>
            <w:color w:val="000000"/>
          </w:rPr>
          <w:t>, previously fled with the Securites and Exchange Commission (“SEC”). In the opinion of management,</w:t>
        </w:r>
      </w:hyperlink>
      <w:r>
        <w:rPr>
          <w:rFonts w:ascii="Calibri" w:cs="Calibri" w:eastAsia="Calibri" w:hAnsi="Calibri"/>
          <w:sz w:val="18"/>
          <w:szCs w:val="18"/>
          <w:color w:val="0000FF"/>
        </w:rPr>
        <w:t xml:space="preserve"> </w:t>
      </w:r>
      <w:r>
        <w:rPr>
          <w:rFonts w:ascii="Calibri" w:cs="Calibri" w:eastAsia="Calibri" w:hAnsi="Calibri"/>
          <w:sz w:val="18"/>
          <w:szCs w:val="18"/>
          <w:color w:val="000000"/>
        </w:rPr>
        <w:t>the accompanying unaudited condensed consolidated fnancial statements contain all adjustments necessary to present fairly our fnancial positon and the results of our operatons and cash fows for the periods presented. All adjustments made to the interim condensed consolidated fnancial statements were of a normal recurring nature. All signifcant intercompany accounts and transactons have been eliminated in consolidaton. The results of operatons for the six months ended September 29, 2024 are not necessarily indicatve of the results that may be expected for the full year.</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References to fscal 2024 refer to the fscal year ended March 31, 2024 and references to fscal 2025 refer to the fscal year ending March 30, 2025.</w:t>
      </w:r>
    </w:p>
    <w:p>
      <w:pPr>
        <w:spacing w:after="0" w:line="109" w:lineRule="exact"/>
        <w:rPr>
          <w:sz w:val="20"/>
          <w:szCs w:val="20"/>
          <w:color w:val="auto"/>
        </w:rPr>
      </w:pPr>
    </w:p>
    <w:p>
      <w:pPr>
        <w:ind w:right="20"/>
        <w:spacing w:after="0" w:line="252" w:lineRule="auto"/>
        <w:rPr>
          <w:sz w:val="20"/>
          <w:szCs w:val="20"/>
          <w:color w:val="auto"/>
        </w:rPr>
      </w:pPr>
      <w:r>
        <w:rPr>
          <w:rFonts w:ascii="Calibri" w:cs="Calibri" w:eastAsia="Calibri" w:hAnsi="Calibri"/>
          <w:sz w:val="17"/>
          <w:szCs w:val="17"/>
          <w:b w:val="1"/>
          <w:bCs w:val="1"/>
          <w:i w:val="1"/>
          <w:iCs w:val="1"/>
          <w:color w:val="auto"/>
        </w:rPr>
        <w:t xml:space="preserve">Use of Estmates. </w:t>
      </w:r>
      <w:r>
        <w:rPr>
          <w:rFonts w:ascii="Calibri" w:cs="Calibri" w:eastAsia="Calibri" w:hAnsi="Calibri"/>
          <w:sz w:val="17"/>
          <w:szCs w:val="17"/>
          <w:color w:val="auto"/>
        </w:rPr>
        <w:t>The preparaton of condensed consolidated fnancial statements in conformity with accountng principles generally accepted in the United</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States requires management to make estmates and assumptons that afect the reported amounts of assets and liabilites, partcularly receivables, inventories, property, plant and equipment, right-of-use assets, goodwill, intangibles, accrued expenses, short-term and long-term lease liability, income taxes and related accounts and the reported amounts of revenues and expenses during the reportng period. Actual results could difer from those estmates.</w:t>
      </w:r>
    </w:p>
    <w:p>
      <w:pPr>
        <w:spacing w:after="0" w:line="100" w:lineRule="exact"/>
        <w:rPr>
          <w:sz w:val="20"/>
          <w:szCs w:val="20"/>
          <w:color w:val="auto"/>
        </w:rPr>
      </w:pPr>
    </w:p>
    <w:p>
      <w:pPr>
        <w:ind w:right="100"/>
        <w:spacing w:after="0" w:line="235" w:lineRule="auto"/>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Accountng Policies. </w:t>
      </w:r>
      <w:r>
        <w:rPr>
          <w:rFonts w:ascii="Calibri" w:cs="Calibri" w:eastAsia="Calibri" w:hAnsi="Calibri"/>
          <w:sz w:val="18"/>
          <w:szCs w:val="18"/>
          <w:color w:val="auto"/>
        </w:rPr>
        <w:t>The accountng policies we follow are set forth in Note 1 – Nature of Business and Signifcant Accountng Policies to our consolidated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fnancial statements in our </w:t>
      </w:r>
      <w:hyperlink r:id="rId18">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auto"/>
        </w:rPr>
        <w:t>, previously fled with the SEC. There has been no signifcant change in our accountng policies since the end of fscal 2024.</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Recently Issued Accountng Pronouncements</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Taxes (Topic 740): Improvements to Income Tax Disclosures (ASU No.2023-09)</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2023, the Financial Accountng Standards Board ("FASB") issued accountng standards update No. 2023-09 to enhance the transparency and decision-usefulness of income tax disclosures and to provide informaton to beter assess how an entty's operatons and related tax risks and tax planning and operatonal opportunites afect its tax rate and prospects for future cash fows. For public business enttes, the amendments in this update are efectve for annual periods beginning afer December 15, 2024. We are in the process of evaluatng the impact of this standard on the disclosures in our fnancial statements.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Segment Reportng (Topic 280): Improvements to Reportable Segment Disclosures (ASU 2023-07)</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November 2023, the FASB issued accountng standards update No. 2023-07 to improve reportable segment disclosure requirements, primarily through enhanced disclosures about signifcant segment expenses. The update requires public enttes to disclose, on an annual and interim basis, signifcant segment expenses that are regularly provided to the chief operatng decision maker ("CODM"), the ttle and positon of the CODM and an explanaton of how the CODM uses the reported measure(s) of segment proft or loss in assessing segment performance and deciding how to allocate resources. The amendments in this update are efectve for public enttes in fscal years beginning afer December 15, 2023, and interim periods within fscal years beginning afer December 15, 2024 and are to be applied retrospectvely to all prior periods presented in the fnancial statements. Early adopton is permited. We are in the process of evaluatng the impact of this standard on the disclosures in our fnancial statements.</w:t>
      </w: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t>Note 2 — Acquisitons</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 xml:space="preserve">Acquisiton of Woford Water Service, Inc.: </w:t>
      </w:r>
      <w:r>
        <w:rPr>
          <w:rFonts w:ascii="Calibri" w:cs="Calibri" w:eastAsia="Calibri" w:hAnsi="Calibri"/>
          <w:sz w:val="18"/>
          <w:szCs w:val="18"/>
          <w:color w:val="auto"/>
        </w:rPr>
        <w:t>On June 28, 2024, we acquired substantally all the assets of Woford Water Service, Inc. ("Woford") for</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$3.4 million under the terms of a purchase agreement with Woford and its shareholders. Woford distributed water treatment chemicals and equipment to</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customers mainly in Mississippi. Of the $3.4 million purchase price, $2.2 million was allocated to customer relatonships, to be amortzed over 10 years,</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$1.0 million was allocated to goodwill, and the remaining amount was allocated to net working capital. The goodwill recognized as a result of this acquisiton</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is primarily atributable to strategic and synergistc benefts, as well as the assembled workforce. Such goodwill is expected to be deductble for tax purposes.</w:t>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The results of operatons since the acquisiton date and the assets are included in our Water Treatment segment. Costs associated with this transacton were</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not material and were expensed as incurred.</w:t>
      </w:r>
    </w:p>
    <w:p>
      <w:pPr>
        <w:spacing w:after="0" w:line="244"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Intercoastal Trading, Inc.: </w:t>
      </w:r>
      <w:r>
        <w:rPr>
          <w:rFonts w:ascii="Calibri" w:cs="Calibri" w:eastAsia="Calibri" w:hAnsi="Calibri"/>
          <w:sz w:val="18"/>
          <w:szCs w:val="18"/>
          <w:color w:val="auto"/>
        </w:rPr>
        <w:t>On June 3, 2024, we acquired substantally all the assets of Intercoastal Trading, Inc. and certain related enttes</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("Intercoastal") for $22.0 million under the terms of a purchase agreement with Intercoastal and its shareholders. Intercoastal distributes water treatment chemicals and equipment to its customers in Maryland, Delaware and Virginia. Of the $22.0 million purchase price, $10.7 million was allocated to customer relatonships, to be amortzed over 15 years, $0.3 million to trade names, to be amortzed over two years, $0.1 million to non-compete agreements, to be amortzed over one year, $7.1 million to goodwill, and the remaining amount to net working capital and property, plant and equipment. The goodwill recognized as a result of this acquisiton is primarily atributable to strategic and synergistc benefts, as well as the assembled workforce. Such goodwill is expected to be deductble for tax purposes. The purchase price allocaton is not yet complete due to the tming of the acquisiton. The results of operatons since the acquisiton date and the assets are included in our Water Treatment segment. Costs associated with this transacton were not material and were expensed as incurred.</w:t>
      </w:r>
    </w:p>
    <w:p>
      <w:pPr>
        <w:spacing w:after="0" w:line="251"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Industrial Research Corporaton: </w:t>
      </w:r>
      <w:r>
        <w:rPr>
          <w:rFonts w:ascii="Calibri" w:cs="Calibri" w:eastAsia="Calibri" w:hAnsi="Calibri"/>
          <w:sz w:val="18"/>
          <w:szCs w:val="18"/>
          <w:color w:val="auto"/>
        </w:rPr>
        <w:t>In the fourth quarter of fscal 2024, we acquired substantally all the assets of Industrial Research Corporaton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("Industrial Research") for $4.6 million under the terms of a purchase agreement with Industrial Research and its shareholders. Industrial Research distributed water treatment chemicals and equipment to customers primarily in central to northern Louisiana, eastern Texas and southern Arkansas. The results of operatons since the acquisiton date and the assets are included in our Water Treatment segment. Costs associated with this transacton were not material and were expensed as incurred.</w:t>
      </w:r>
    </w:p>
    <w:p>
      <w:pPr>
        <w:spacing w:after="0" w:line="24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The Miami Products &amp; Chemical Company: </w:t>
      </w:r>
      <w:r>
        <w:rPr>
          <w:rFonts w:ascii="Calibri" w:cs="Calibri" w:eastAsia="Calibri" w:hAnsi="Calibri"/>
          <w:sz w:val="18"/>
          <w:szCs w:val="18"/>
          <w:color w:val="auto"/>
        </w:rPr>
        <w:t>In the third quarter of fscal 2024, we acquired substantally all the assets of The Miami Products &amp;</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Chemical Company ("Miami Products") for $15.5 million under the terms of a purchase agreement with Miami Products and its shareholders. Miami Products is a bleach manufacturer and distributor serving customers primarily throughout Ohio and the surrounding region. The results of operatons since the acquisiton date and the assets are included in our Water Treatment segment.</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 xml:space="preserve">Acquisiton of Water Solutons Unlimited, Inc.: </w:t>
      </w:r>
      <w:r>
        <w:rPr>
          <w:rFonts w:ascii="Calibri" w:cs="Calibri" w:eastAsia="Calibri" w:hAnsi="Calibri"/>
          <w:sz w:val="18"/>
          <w:szCs w:val="18"/>
          <w:color w:val="auto"/>
        </w:rPr>
        <w:t>In the third quarter of fscal 2024, we acquired substantally all the assets of Water Solutons Unlimited, Inc.</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("Water Solutons") under the terms of a purchase agreement with Water Solutons and its shareholders. We paid $60 million at closing and may be obligated to pay an additonal amount based on achieving a certain earnings target three years afer the acquisiton. Water Solutons is a manufacturer and distributor of water treatment chemicals serving customers primarily throughout Indiana, Illinois and Michigan. The results of operatons since the acquisiton date and the assets are included in our Water Treatment segment.</w:t>
      </w:r>
    </w:p>
    <w:p>
      <w:pPr>
        <w:spacing w:after="0" w:line="247" w:lineRule="exact"/>
        <w:rPr>
          <w:sz w:val="20"/>
          <w:szCs w:val="20"/>
          <w:color w:val="auto"/>
        </w:rPr>
      </w:pPr>
    </w:p>
    <w:p>
      <w:pPr>
        <w:jc w:val="both"/>
        <w:ind w:right="120"/>
        <w:spacing w:after="0" w:line="254" w:lineRule="auto"/>
        <w:rPr>
          <w:sz w:val="20"/>
          <w:szCs w:val="20"/>
          <w:color w:val="auto"/>
        </w:rPr>
      </w:pPr>
      <w:r>
        <w:rPr>
          <w:rFonts w:ascii="Calibri" w:cs="Calibri" w:eastAsia="Calibri" w:hAnsi="Calibri"/>
          <w:sz w:val="17"/>
          <w:szCs w:val="17"/>
          <w:b w:val="1"/>
          <w:bCs w:val="1"/>
          <w:i w:val="1"/>
          <w:iCs w:val="1"/>
          <w:color w:val="auto"/>
        </w:rPr>
        <w:t xml:space="preserve">Acquisiton of EcoTech Enterprises, Inc.: </w:t>
      </w:r>
      <w:r>
        <w:rPr>
          <w:rFonts w:ascii="Calibri" w:cs="Calibri" w:eastAsia="Calibri" w:hAnsi="Calibri"/>
          <w:sz w:val="17"/>
          <w:szCs w:val="17"/>
          <w:color w:val="auto"/>
        </w:rPr>
        <w:t>In the second quarter of fscal 2024, we acquired substantally all the assets of EcoTech Enterprises, Inc. ("EcoTech")</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for $3.4 million, under the terms of a purchase agreement with EcoTech and its shareholders. EcoTech was a water treatment chemical distributon company operatng primarily in Arkansas. The results of operatons since the acquisiton date and the assets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color w:val="auto"/>
        </w:rPr>
        <w:t>Note 3 - Revenue</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Our revenue arrangements generally consist of a single performance obligaton to transfer promised goods or services. We disaggregate revenues from contracts with customers by operatng segments as well as types of products sold. Reportng by operatng segment is pertnent to understanding our revenues, as it aligns to how we review the fnancial performance of our operatons. Types of products sold within each operatng segment help us to further evaluate the fnancial performance of our segments. The following tables disaggregate external customer net sales by major revenue stream for the three and six months ended September 29, 2024 and October 1, 2023:</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Calibri" w:cs="Calibri" w:eastAsia="Calibri" w:hAnsi="Calibri"/>
          <w:sz w:val="14"/>
          <w:szCs w:val="14"/>
          <w:b w:val="1"/>
          <w:bCs w:val="1"/>
          <w:color w:val="auto"/>
        </w:rPr>
        <w:t>(In thousands)</w:t>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 xml:space="preserve">Manufactured, blended or repackaged products </w:t>
      </w:r>
      <w:r>
        <w:rPr>
          <w:rFonts w:ascii="Calibri" w:cs="Calibri" w:eastAsia="Calibri" w:hAnsi="Calibri"/>
          <w:sz w:val="22"/>
          <w:szCs w:val="22"/>
          <w:color w:val="auto"/>
          <w:vertAlign w:val="superscript"/>
        </w:rPr>
        <w:t>(1)</w:t>
      </w:r>
    </w:p>
    <w:p>
      <w:pPr>
        <w:ind w:left="20"/>
        <w:spacing w:after="0" w:line="196" w:lineRule="auto"/>
        <w:rPr>
          <w:sz w:val="20"/>
          <w:szCs w:val="20"/>
          <w:color w:val="auto"/>
        </w:rPr>
      </w:pPr>
      <w:r>
        <w:rPr>
          <w:rFonts w:ascii="Calibri" w:cs="Calibri" w:eastAsia="Calibri" w:hAnsi="Calibri"/>
          <w:sz w:val="18"/>
          <w:szCs w:val="18"/>
          <w:color w:val="auto"/>
        </w:rPr>
        <w:t xml:space="preserve">Distributed specialty products </w:t>
      </w:r>
      <w:r>
        <w:rPr>
          <w:rFonts w:ascii="Calibri" w:cs="Calibri" w:eastAsia="Calibri" w:hAnsi="Calibri"/>
          <w:sz w:val="23"/>
          <w:szCs w:val="23"/>
          <w:color w:val="auto"/>
          <w:vertAlign w:val="superscript"/>
        </w:rPr>
        <w:t>(2)</w:t>
      </w:r>
    </w:p>
    <w:p>
      <w:pPr>
        <w:ind w:left="20"/>
        <w:spacing w:after="0" w:line="211" w:lineRule="auto"/>
        <w:rPr>
          <w:sz w:val="20"/>
          <w:szCs w:val="20"/>
          <w:color w:val="auto"/>
        </w:rPr>
      </w:pPr>
      <w:r>
        <w:rPr>
          <w:rFonts w:ascii="Calibri" w:cs="Calibri" w:eastAsia="Calibri" w:hAnsi="Calibri"/>
          <w:sz w:val="18"/>
          <w:szCs w:val="18"/>
          <w:color w:val="auto"/>
        </w:rPr>
        <w:t xml:space="preserve">Bulk products </w:t>
      </w:r>
      <w:r>
        <w:rPr>
          <w:rFonts w:ascii="Calibri" w:cs="Calibri" w:eastAsia="Calibri" w:hAnsi="Calibri"/>
          <w:sz w:val="23"/>
          <w:szCs w:val="23"/>
          <w:color w:val="auto"/>
          <w:vertAlign w:val="superscript"/>
        </w:rPr>
        <w:t>(3)</w:t>
      </w:r>
    </w:p>
    <w:p>
      <w:pPr>
        <w:ind w:left="20"/>
        <w:spacing w:after="0" w:line="198" w:lineRule="auto"/>
        <w:rPr>
          <w:sz w:val="20"/>
          <w:szCs w:val="20"/>
          <w:color w:val="auto"/>
        </w:rPr>
      </w:pPr>
      <w:r>
        <w:rPr>
          <w:rFonts w:ascii="Calibri" w:cs="Calibri" w:eastAsia="Calibri" w:hAnsi="Calibri"/>
          <w:sz w:val="18"/>
          <w:szCs w:val="18"/>
          <w:color w:val="auto"/>
        </w:rPr>
        <w:t>Other</w:t>
      </w:r>
    </w:p>
    <w:p>
      <w:pPr>
        <w:spacing w:after="0" w:line="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300"/>
        <w:spacing w:after="0"/>
        <w:rPr>
          <w:sz w:val="20"/>
          <w:szCs w:val="20"/>
          <w:color w:val="auto"/>
        </w:rPr>
      </w:pPr>
      <w:r>
        <w:rPr>
          <w:rFonts w:ascii="Calibri" w:cs="Calibri" w:eastAsia="Calibri" w:hAnsi="Calibri"/>
          <w:sz w:val="18"/>
          <w:szCs w:val="18"/>
          <w:b w:val="1"/>
          <w:bCs w:val="1"/>
          <w:color w:val="auto"/>
        </w:rPr>
        <w:t>Three months ended September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113,529</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74,935</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6,110</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194,574</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26,292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26,292</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9,753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22,991</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163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3,172</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124,528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89,936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32,565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247,029</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460"/>
        <w:spacing w:after="0"/>
        <w:rPr>
          <w:sz w:val="20"/>
          <w:szCs w:val="20"/>
          <w:color w:val="auto"/>
        </w:rPr>
      </w:pPr>
      <w:r>
        <w:rPr>
          <w:rFonts w:ascii="Calibri" w:cs="Calibri" w:eastAsia="Calibri" w:hAnsi="Calibri"/>
          <w:sz w:val="18"/>
          <w:szCs w:val="18"/>
          <w:b w:val="1"/>
          <w:bCs w:val="1"/>
          <w:color w:val="auto"/>
        </w:rPr>
        <w:t>Three months ended October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90,964</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83,890</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10,858</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185,712</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26,113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26,113</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8,560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13,149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21,709</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2,992</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100,925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98,535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37,066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236,526</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420"/>
        <w:spacing w:after="0"/>
        <w:rPr>
          <w:sz w:val="20"/>
          <w:szCs w:val="20"/>
          <w:color w:val="auto"/>
        </w:rPr>
      </w:pPr>
      <w:r>
        <w:rPr>
          <w:rFonts w:ascii="Calibri" w:cs="Calibri" w:eastAsia="Calibri" w:hAnsi="Calibri"/>
          <w:sz w:val="18"/>
          <w:szCs w:val="18"/>
          <w:b w:val="1"/>
          <w:bCs w:val="1"/>
          <w:color w:val="auto"/>
        </w:rPr>
        <w:t>Six months ended September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218,535</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162,718</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11,793</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393,046</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55,938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55,938</w:t>
            </w:r>
          </w:p>
        </w:tc>
      </w:tr>
      <w:tr>
        <w:trPr>
          <w:trHeight w:val="229"/>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20,672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26,668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47,340</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2,497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3,752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335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6,584</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241,704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193,138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68,066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502,908</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9" w:lineRule="exact"/>
        <w:rPr>
          <w:sz w:val="20"/>
          <w:szCs w:val="20"/>
          <w:color w:val="auto"/>
        </w:rPr>
      </w:pPr>
    </w:p>
    <w:p>
      <w:pPr>
        <w:ind w:left="1560"/>
        <w:spacing w:after="0"/>
        <w:rPr>
          <w:sz w:val="20"/>
          <w:szCs w:val="20"/>
          <w:color w:val="auto"/>
        </w:rPr>
      </w:pPr>
      <w:r>
        <w:rPr>
          <w:rFonts w:ascii="Calibri" w:cs="Calibri" w:eastAsia="Calibri" w:hAnsi="Calibri"/>
          <w:sz w:val="18"/>
          <w:szCs w:val="18"/>
          <w:b w:val="1"/>
          <w:bCs w:val="1"/>
          <w:color w:val="auto"/>
        </w:rPr>
        <w:t>Six months ended October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124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Water</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40"/>
              <w:spacing w:after="0" w:line="204" w:lineRule="exact"/>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00" w:type="dxa"/>
            <w:vAlign w:val="bottom"/>
          </w:tcPr>
          <w:p>
            <w:pPr>
              <w:spacing w:after="0"/>
              <w:rPr>
                <w:sz w:val="19"/>
                <w:szCs w:val="19"/>
                <w:color w:val="auto"/>
              </w:rPr>
            </w:pPr>
          </w:p>
        </w:tc>
        <w:tc>
          <w:tcPr>
            <w:tcW w:w="1240" w:type="dxa"/>
            <w:vAlign w:val="bottom"/>
            <w:gridSpan w:val="2"/>
          </w:tcPr>
          <w:p>
            <w:pPr>
              <w:jc w:val="center"/>
              <w:ind w:right="32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8"/>
        </w:trPr>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175,749</w:t>
            </w:r>
          </w:p>
        </w:tc>
        <w:tc>
          <w:tcPr>
            <w:tcW w:w="120" w:type="dxa"/>
            <w:vAlign w:val="bottom"/>
          </w:tcPr>
          <w:p>
            <w:pPr>
              <w:spacing w:after="0"/>
              <w:rPr>
                <w:sz w:val="18"/>
                <w:szCs w:val="18"/>
                <w:color w:val="auto"/>
              </w:rPr>
            </w:pPr>
          </w:p>
        </w:tc>
        <w:tc>
          <w:tcPr>
            <w:tcW w:w="200" w:type="dxa"/>
            <w:vAlign w:val="bottom"/>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08" w:lineRule="exact"/>
              <w:rPr>
                <w:sz w:val="20"/>
                <w:szCs w:val="20"/>
                <w:color w:val="auto"/>
              </w:rPr>
            </w:pPr>
            <w:r>
              <w:rPr>
                <w:rFonts w:ascii="Calibri" w:cs="Calibri" w:eastAsia="Calibri" w:hAnsi="Calibri"/>
                <w:sz w:val="18"/>
                <w:szCs w:val="18"/>
                <w:color w:val="auto"/>
              </w:rPr>
              <w:t>186,565</w:t>
            </w:r>
          </w:p>
        </w:tc>
        <w:tc>
          <w:tcPr>
            <w:tcW w:w="100" w:type="dxa"/>
            <w:vAlign w:val="bottom"/>
          </w:tcPr>
          <w:p>
            <w:pPr>
              <w:spacing w:after="0"/>
              <w:rPr>
                <w:sz w:val="18"/>
                <w:szCs w:val="18"/>
                <w:color w:val="auto"/>
              </w:rPr>
            </w:pPr>
          </w:p>
        </w:tc>
        <w:tc>
          <w:tcPr>
            <w:tcW w:w="18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8" w:lineRule="exact"/>
              <w:rPr>
                <w:sz w:val="20"/>
                <w:szCs w:val="20"/>
                <w:color w:val="auto"/>
              </w:rPr>
            </w:pPr>
            <w:r>
              <w:rPr>
                <w:rFonts w:ascii="Calibri" w:cs="Calibri" w:eastAsia="Calibri" w:hAnsi="Calibri"/>
                <w:sz w:val="18"/>
                <w:szCs w:val="18"/>
                <w:color w:val="auto"/>
              </w:rPr>
              <w:t>21,099</w:t>
            </w:r>
          </w:p>
        </w:tc>
        <w:tc>
          <w:tcPr>
            <w:tcW w:w="120" w:type="dxa"/>
            <w:vAlign w:val="bottom"/>
          </w:tcPr>
          <w:p>
            <w:pPr>
              <w:spacing w:after="0"/>
              <w:rPr>
                <w:sz w:val="18"/>
                <w:szCs w:val="18"/>
                <w:color w:val="auto"/>
              </w:rPr>
            </w:pPr>
          </w:p>
        </w:tc>
        <w:tc>
          <w:tcPr>
            <w:tcW w:w="300" w:type="dxa"/>
            <w:vAlign w:val="bottom"/>
          </w:tcPr>
          <w:p>
            <w:pPr>
              <w:jc w:val="right"/>
              <w:ind w:right="110"/>
              <w:spacing w:after="0" w:line="208"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08" w:lineRule="exact"/>
              <w:rPr>
                <w:sz w:val="20"/>
                <w:szCs w:val="20"/>
                <w:color w:val="auto"/>
              </w:rPr>
            </w:pPr>
            <w:r>
              <w:rPr>
                <w:rFonts w:ascii="Calibri" w:cs="Calibri" w:eastAsia="Calibri" w:hAnsi="Calibri"/>
                <w:sz w:val="18"/>
                <w:szCs w:val="18"/>
                <w:color w:val="auto"/>
              </w:rPr>
              <w:t>383,413</w:t>
            </w:r>
          </w:p>
        </w:tc>
      </w:tr>
      <w:tr>
        <w:trPr>
          <w:trHeight w:val="221"/>
        </w:trPr>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52,267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52,267</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16,081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28,359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44,440</w:t>
            </w:r>
          </w:p>
        </w:tc>
      </w:tr>
      <w:tr>
        <w:trPr>
          <w:trHeight w:val="230"/>
        </w:trPr>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2,746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Calibri" w:cs="Calibri" w:eastAsia="Calibri" w:hAnsi="Calibri"/>
                <w:sz w:val="18"/>
                <w:szCs w:val="18"/>
                <w:color w:val="auto"/>
              </w:rPr>
              <w:t>4,484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color w:val="auto"/>
              </w:rPr>
              <w:t>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Calibri" w:cs="Calibri" w:eastAsia="Calibri" w:hAnsi="Calibri"/>
                <w:sz w:val="18"/>
                <w:szCs w:val="18"/>
                <w:color w:val="auto"/>
              </w:rPr>
              <w:t>7,526</w:t>
            </w:r>
          </w:p>
        </w:tc>
      </w:tr>
      <w:tr>
        <w:trPr>
          <w:trHeight w:val="23"/>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194,576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219,408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73,662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487,646</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-779145</wp:posOffset>
            </wp:positionV>
            <wp:extent cx="71062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-479425</wp:posOffset>
            </wp:positionV>
            <wp:extent cx="71062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-187960</wp:posOffset>
            </wp:positionV>
            <wp:extent cx="71062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60"/>
          </w:cols>
          <w:pgMar w:left="320" w:top="598" w:right="339" w:bottom="1440" w:gutter="0" w:footer="0" w:header="0"/>
          <w:type w:val="continuous"/>
        </w:sectPr>
      </w:pPr>
    </w:p>
    <w:p>
      <w:pPr>
        <w:spacing w:after="0" w:line="119" w:lineRule="exact"/>
        <w:rPr>
          <w:sz w:val="20"/>
          <w:szCs w:val="20"/>
          <w:color w:val="auto"/>
        </w:rPr>
      </w:pPr>
    </w:p>
    <w:p>
      <w:pPr>
        <w:ind w:left="660" w:right="60" w:hanging="328"/>
        <w:spacing w:after="0" w:line="234"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For our Water Treatment and Industrial segments, this line includes our non-bulk specialty products that we either manufacture, blend, repackage, resell in their original form, or direct ship to our customers in smaller quanttes, and services we provide for our customers. For our Health and Nutriton segment, this line includes products manufactured, processed or repackaged in our facility and/or with our equipment.</w:t>
      </w:r>
    </w:p>
    <w:p>
      <w:pPr>
        <w:spacing w:after="0" w:line="9" w:lineRule="exact"/>
        <w:rPr>
          <w:rFonts w:ascii="Calibri" w:cs="Calibri" w:eastAsia="Calibri" w:hAnsi="Calibri"/>
          <w:sz w:val="16"/>
          <w:szCs w:val="16"/>
          <w:color w:val="auto"/>
        </w:rPr>
      </w:pPr>
    </w:p>
    <w:p>
      <w:pPr>
        <w:ind w:left="66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non-manufactured distributed specialty products in our Health and Nutriton segment, which may be sold out of one of our facilites or direct shipped to our customers.</w:t>
      </w:r>
    </w:p>
    <w:p>
      <w:pPr>
        <w:spacing w:after="0" w:line="9" w:lineRule="exact"/>
        <w:rPr>
          <w:rFonts w:ascii="Calibri" w:cs="Calibri" w:eastAsia="Calibri" w:hAnsi="Calibri"/>
          <w:sz w:val="16"/>
          <w:szCs w:val="16"/>
          <w:color w:val="auto"/>
        </w:rPr>
      </w:pPr>
    </w:p>
    <w:p>
      <w:pPr>
        <w:ind w:left="660" w:right="20" w:hanging="328"/>
        <w:spacing w:after="0" w:line="235" w:lineRule="auto"/>
        <w:tabs>
          <w:tab w:leader="none" w:pos="651" w:val="left"/>
        </w:tabs>
        <w:numPr>
          <w:ilvl w:val="0"/>
          <w:numId w:val="1"/>
        </w:numPr>
        <w:rPr>
          <w:rFonts w:ascii="Calibri" w:cs="Calibri" w:eastAsia="Calibri" w:hAnsi="Calibri"/>
          <w:sz w:val="16"/>
          <w:szCs w:val="16"/>
          <w:color w:val="auto"/>
        </w:rPr>
      </w:pPr>
      <w:r>
        <w:rPr>
          <w:rFonts w:ascii="Calibri" w:cs="Calibri" w:eastAsia="Calibri" w:hAnsi="Calibri"/>
          <w:sz w:val="16"/>
          <w:szCs w:val="16"/>
          <w:color w:val="auto"/>
        </w:rPr>
        <w:t>This line includes bulk products in our Water Treatment and Industrial segments that we do not modify in any way, but receive, store, and ship from our facilites, or direct ship to our customers in large quanttes.</w:t>
      </w:r>
    </w:p>
    <w:p>
      <w:pPr>
        <w:spacing w:after="0" w:line="2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Note 4 – Earnings per Share</w:t>
      </w:r>
    </w:p>
    <w:p>
      <w:pPr>
        <w:spacing w:after="0" w:line="24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Basic earnings per share (“EPS”) is computed by dividing net earnings by the weighted-average number of common shares outstanding. Diluted EPS includes the dilutve impact of incremental shares assumed to be issued as performance units and restricted stock.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20"/>
                <w:szCs w:val="20"/>
                <w:color w:val="auto"/>
              </w:rPr>
            </w:pPr>
            <w:r>
              <w:rPr>
                <w:rFonts w:ascii="Calibri" w:cs="Calibri" w:eastAsia="Calibri" w:hAnsi="Calibri"/>
                <w:sz w:val="18"/>
                <w:szCs w:val="18"/>
                <w:color w:val="auto"/>
              </w:rPr>
              <w:t>Basic and diluted EPS were calculated using the following:</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5380" w:type="dxa"/>
            <w:vAlign w:val="bottom"/>
          </w:tcPr>
          <w:p>
            <w:pPr>
              <w:spacing w:after="0"/>
              <w:rPr>
                <w:sz w:val="22"/>
                <w:szCs w:val="22"/>
                <w:color w:val="auto"/>
              </w:rPr>
            </w:pPr>
          </w:p>
        </w:tc>
        <w:tc>
          <w:tcPr>
            <w:tcW w:w="3080" w:type="dxa"/>
            <w:vAlign w:val="bottom"/>
            <w:gridSpan w:val="4"/>
          </w:tcPr>
          <w:p>
            <w:pPr>
              <w:ind w:left="720"/>
              <w:spacing w:after="0"/>
              <w:rPr>
                <w:sz w:val="20"/>
                <w:szCs w:val="20"/>
                <w:color w:val="auto"/>
              </w:rPr>
            </w:pPr>
            <w:r>
              <w:rPr>
                <w:rFonts w:ascii="Calibri" w:cs="Calibri" w:eastAsia="Calibri" w:hAnsi="Calibri"/>
                <w:sz w:val="18"/>
                <w:szCs w:val="18"/>
                <w:b w:val="1"/>
                <w:bCs w:val="1"/>
                <w:color w:val="auto"/>
              </w:rPr>
              <w:t>Three Months Ended</w:t>
            </w:r>
          </w:p>
        </w:tc>
        <w:tc>
          <w:tcPr>
            <w:tcW w:w="2780" w:type="dxa"/>
            <w:vAlign w:val="bottom"/>
            <w:gridSpan w:val="3"/>
          </w:tcPr>
          <w:p>
            <w:pPr>
              <w:jc w:val="right"/>
              <w:ind w:right="650"/>
              <w:spacing w:after="0"/>
              <w:rPr>
                <w:sz w:val="20"/>
                <w:szCs w:val="20"/>
                <w:color w:val="auto"/>
              </w:rPr>
            </w:pPr>
            <w:r>
              <w:rPr>
                <w:rFonts w:ascii="Calibri" w:cs="Calibri" w:eastAsia="Calibri" w:hAnsi="Calibri"/>
                <w:sz w:val="18"/>
                <w:szCs w:val="18"/>
                <w:b w:val="1"/>
                <w:bCs w:val="1"/>
                <w:color w:val="auto"/>
              </w:rPr>
              <w:t>Six Months Ended</w:t>
            </w:r>
          </w:p>
        </w:tc>
      </w:tr>
      <w:tr>
        <w:trPr>
          <w:trHeight w:val="31"/>
        </w:trPr>
        <w:tc>
          <w:tcPr>
            <w:tcW w:w="53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7"/>
        </w:trPr>
        <w:tc>
          <w:tcPr>
            <w:tcW w:w="5380" w:type="dxa"/>
            <w:vAlign w:val="bottom"/>
          </w:tcPr>
          <w:p>
            <w:pPr>
              <w:spacing w:after="0"/>
              <w:rPr>
                <w:sz w:val="14"/>
                <w:szCs w:val="14"/>
                <w:color w:val="auto"/>
              </w:rPr>
            </w:pPr>
          </w:p>
        </w:tc>
        <w:tc>
          <w:tcPr>
            <w:tcW w:w="1540" w:type="dxa"/>
            <w:vAlign w:val="bottom"/>
            <w:gridSpan w:val="2"/>
          </w:tcPr>
          <w:p>
            <w:pPr>
              <w:ind w:left="180"/>
              <w:spacing w:after="0" w:line="166" w:lineRule="exact"/>
              <w:rPr>
                <w:sz w:val="20"/>
                <w:szCs w:val="20"/>
                <w:color w:val="auto"/>
              </w:rPr>
            </w:pPr>
            <w:r>
              <w:rPr>
                <w:rFonts w:ascii="Calibri" w:cs="Calibri" w:eastAsia="Calibri" w:hAnsi="Calibri"/>
                <w:sz w:val="18"/>
                <w:szCs w:val="18"/>
                <w:b w:val="1"/>
                <w:bCs w:val="1"/>
                <w:color w:val="auto"/>
              </w:rPr>
              <w:t>September 29,</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140"/>
              <w:spacing w:after="0" w:line="166" w:lineRule="exact"/>
              <w:rPr>
                <w:sz w:val="20"/>
                <w:szCs w:val="20"/>
                <w:color w:val="auto"/>
              </w:rPr>
            </w:pPr>
            <w:r>
              <w:rPr>
                <w:rFonts w:ascii="Calibri" w:cs="Calibri" w:eastAsia="Calibri" w:hAnsi="Calibri"/>
                <w:sz w:val="18"/>
                <w:szCs w:val="18"/>
                <w:b w:val="1"/>
                <w:bCs w:val="1"/>
                <w:color w:val="auto"/>
              </w:rPr>
              <w:t>September 29,</w:t>
            </w:r>
          </w:p>
        </w:tc>
        <w:tc>
          <w:tcPr>
            <w:tcW w:w="1340" w:type="dxa"/>
            <w:vAlign w:val="bottom"/>
          </w:tcPr>
          <w:p>
            <w:pPr>
              <w:spacing w:after="0"/>
              <w:rPr>
                <w:sz w:val="14"/>
                <w:szCs w:val="14"/>
                <w:color w:val="auto"/>
              </w:rPr>
            </w:pPr>
          </w:p>
        </w:tc>
      </w:tr>
      <w:tr>
        <w:trPr>
          <w:trHeight w:val="228"/>
        </w:trPr>
        <w:tc>
          <w:tcPr>
            <w:tcW w:w="5380" w:type="dxa"/>
            <w:vAlign w:val="bottom"/>
          </w:tcPr>
          <w:p>
            <w:pPr>
              <w:spacing w:after="0"/>
              <w:rPr>
                <w:sz w:val="19"/>
                <w:szCs w:val="19"/>
                <w:color w:val="auto"/>
              </w:rPr>
            </w:pPr>
          </w:p>
        </w:tc>
        <w:tc>
          <w:tcPr>
            <w:tcW w:w="144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October 01, 2023</w:t>
            </w:r>
          </w:p>
        </w:tc>
        <w:tc>
          <w:tcPr>
            <w:tcW w:w="1340" w:type="dxa"/>
            <w:vAlign w:val="bottom"/>
          </w:tcPr>
          <w:p>
            <w:pPr>
              <w:jc w:val="right"/>
              <w:ind w:right="41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Calibri" w:cs="Calibri" w:eastAsia="Calibri" w:hAnsi="Calibri"/>
                <w:sz w:val="18"/>
                <w:szCs w:val="18"/>
                <w:b w:val="1"/>
                <w:bCs w:val="1"/>
                <w:color w:val="auto"/>
                <w:w w:val="99"/>
              </w:rPr>
              <w:t>October 01, 2023</w:t>
            </w:r>
          </w:p>
        </w:tc>
      </w:tr>
      <w:tr>
        <w:trPr>
          <w:trHeight w:val="2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line="199" w:lineRule="exact"/>
              <w:rPr>
                <w:sz w:val="20"/>
                <w:szCs w:val="20"/>
                <w:color w:val="auto"/>
              </w:rPr>
            </w:pPr>
            <w:r>
              <w:rPr>
                <w:rFonts w:ascii="Calibri" w:cs="Calibri" w:eastAsia="Calibri" w:hAnsi="Calibri"/>
                <w:sz w:val="18"/>
                <w:szCs w:val="18"/>
                <w:color w:val="auto"/>
              </w:rPr>
              <w:t>Weighted-average common shares outstanding—basic</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20,757,397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20,903,690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20,786,938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20,905,707</w:t>
            </w:r>
          </w:p>
        </w:tc>
      </w:tr>
      <w:tr>
        <w:trPr>
          <w:trHeight w:val="223"/>
        </w:trPr>
        <w:tc>
          <w:tcPr>
            <w:tcW w:w="53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Dilutve impact of performance units and restricted stock</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103,021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122,738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111,703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128,446</w:t>
            </w:r>
          </w:p>
        </w:tc>
      </w:tr>
      <w:tr>
        <w:trPr>
          <w:trHeight w:val="254"/>
        </w:trPr>
        <w:tc>
          <w:tcPr>
            <w:tcW w:w="53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8"/>
                <w:szCs w:val="18"/>
                <w:color w:val="auto"/>
              </w:rPr>
              <w:t>Weighted-average common shares outstanding—diluted</w:t>
            </w: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20,860,418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21,026,428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20,898,641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21,034,153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For each of the periods presented, there were no shares excluded from the calculaton of weighted-average common shares for diluted EPS.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5 – Fair Value Measurements</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fnancial assets and liabilites are measured at fair value at the price that would be received to sell an asset or paid to transfer a liability in an orderly transacton between market partcipants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35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 xml:space="preserve">Assets and Liabilites Measured at Fair Value on a Recurring Basis. </w:t>
      </w:r>
      <w:r>
        <w:rPr>
          <w:rFonts w:ascii="Calibri" w:cs="Calibri" w:eastAsia="Calibri" w:hAnsi="Calibri"/>
          <w:sz w:val="18"/>
          <w:szCs w:val="18"/>
          <w:color w:val="auto"/>
        </w:rPr>
        <w:t>The fair value hierarchy requires the use of observable market data when available. In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instances where inputs used to measure fair value fall into diferent levels of the fair value hierarchy, the fair value measurement has been determined based on the lowest level input that is signifcant to the fair value measurement in its entrety. Our assessment of the signifcance of a partcular item to the fair value measurement in its entrety requires judgment, including the consideraton of inputs specifc to the asset or liability.</w:t>
      </w:r>
    </w:p>
    <w:p>
      <w:pPr>
        <w:spacing w:after="0" w:line="12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fnancial assets that are measured at fair value on a recurring basis are an interest rate swap and assets held in a deferred compensaton retrement plan. Both of these assets are classifed as long-term assets on our balance sheet, with the porton of the deferred compensaton retrement plan assets expected to be paid within twelve months classifed as current assets. The fair value of the interest rate swap is determined by the respectve counterpartes based on interest rate changes. Interest rate swaps are valued based on observable interest rate yield curves for similar instruments. The deferred compensaton plan assets relate to contributons made to a non-qualifed compensaton plan on behalf of certain employees who are classifed as “highly compensated employees” as determined by IRS guidelines. The assets are part of a rabbi trust and the funds are held in mutual funds. The fair value of the deferred compensaton is based on the quoted market prices for the mutual funds at the end of the period.</w:t>
      </w:r>
    </w:p>
    <w:p>
      <w:pPr>
        <w:spacing w:after="0" w:line="100" w:lineRule="exact"/>
        <w:rPr>
          <w:sz w:val="20"/>
          <w:szCs w:val="20"/>
          <w:color w:val="auto"/>
        </w:rPr>
      </w:pPr>
    </w:p>
    <w:p>
      <w:pPr>
        <w:ind w:right="2300"/>
        <w:spacing w:after="0" w:line="249" w:lineRule="auto"/>
        <w:rPr>
          <w:sz w:val="20"/>
          <w:szCs w:val="20"/>
          <w:color w:val="auto"/>
        </w:rPr>
      </w:pPr>
      <w:r>
        <w:rPr>
          <w:rFonts w:ascii="Calibri" w:cs="Calibri" w:eastAsia="Calibri" w:hAnsi="Calibri"/>
          <w:sz w:val="17"/>
          <w:szCs w:val="17"/>
          <w:color w:val="auto"/>
        </w:rPr>
        <w:t>The earnout liability recorded in conjuncton with the Water Solutons acquisiton is based upon achieving certain targets. The earnout is based on a target of adjusted earnings before interest, taxes, depreciaton and amortzaton (EBITDA) in year three of the acquisiton. The earnout liability was valued based upon a risk-neutral pricing analysis within a Monte Carlo simulaton</w:t>
      </w:r>
    </w:p>
    <w:p>
      <w:pPr>
        <w:spacing w:after="0" w:line="2"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framework, which is a Level 3 input. The earnout liability is adjusted to fair value at each reportng date untl setled. Changes in fair value are included in selling, general and administratve expenses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ind w:right="420"/>
        <w:spacing w:after="0" w:line="235" w:lineRule="auto"/>
        <w:rPr>
          <w:sz w:val="20"/>
          <w:szCs w:val="20"/>
          <w:color w:val="auto"/>
        </w:rPr>
      </w:pPr>
      <w:r>
        <w:rPr>
          <w:rFonts w:ascii="Calibri" w:cs="Calibri" w:eastAsia="Calibri" w:hAnsi="Calibri"/>
          <w:sz w:val="18"/>
          <w:szCs w:val="18"/>
          <w:color w:val="auto"/>
        </w:rPr>
        <w:t>The following tables summarize the balances of assets and liabilites measured at fair value on a recurring basis as of September 29, 2024 and March 31, 2024.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6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140" w:type="dxa"/>
            <w:vAlign w:val="bottom"/>
          </w:tcPr>
          <w:p>
            <w:pPr>
              <w:spacing w:after="0"/>
              <w:rPr>
                <w:sz w:val="19"/>
                <w:szCs w:val="19"/>
                <w:color w:val="auto"/>
              </w:rPr>
            </w:pPr>
          </w:p>
        </w:tc>
        <w:tc>
          <w:tcPr>
            <w:tcW w:w="2060" w:type="dxa"/>
            <w:vAlign w:val="bottom"/>
            <w:gridSpan w:val="4"/>
          </w:tcPr>
          <w:p>
            <w:pPr>
              <w:ind w:left="240"/>
              <w:spacing w:after="0"/>
              <w:rPr>
                <w:sz w:val="20"/>
                <w:szCs w:val="20"/>
                <w:color w:val="auto"/>
              </w:rPr>
            </w:pPr>
            <w:r>
              <w:rPr>
                <w:rFonts w:ascii="Calibri" w:cs="Calibri" w:eastAsia="Calibri" w:hAnsi="Calibri"/>
                <w:sz w:val="18"/>
                <w:szCs w:val="18"/>
                <w:b w:val="1"/>
                <w:bCs w:val="1"/>
                <w:color w:val="auto"/>
              </w:rPr>
              <w:t>September 29, 2024</w:t>
            </w:r>
          </w:p>
        </w:tc>
        <w:tc>
          <w:tcPr>
            <w:tcW w:w="360" w:type="dxa"/>
            <w:vAlign w:val="bottom"/>
          </w:tcPr>
          <w:p>
            <w:pPr>
              <w:spacing w:after="0"/>
              <w:rPr>
                <w:sz w:val="19"/>
                <w:szCs w:val="19"/>
                <w:color w:val="auto"/>
              </w:rPr>
            </w:pPr>
          </w:p>
        </w:tc>
        <w:tc>
          <w:tcPr>
            <w:tcW w:w="1660" w:type="dxa"/>
            <w:vAlign w:val="bottom"/>
            <w:gridSpan w:val="4"/>
          </w:tcPr>
          <w:p>
            <w:pPr>
              <w:ind w:left="60"/>
              <w:spacing w:after="0"/>
              <w:rPr>
                <w:sz w:val="20"/>
                <w:szCs w:val="20"/>
                <w:color w:val="auto"/>
              </w:rPr>
            </w:pPr>
            <w:r>
              <w:rPr>
                <w:rFonts w:ascii="Calibri" w:cs="Calibri" w:eastAsia="Calibri" w:hAnsi="Calibri"/>
                <w:sz w:val="18"/>
                <w:szCs w:val="18"/>
                <w:b w:val="1"/>
                <w:bCs w:val="1"/>
                <w:color w:val="auto"/>
              </w:rPr>
              <w:t>March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compensaton plan assets</w:t>
            </w:r>
          </w:p>
        </w:tc>
        <w:tc>
          <w:tcPr>
            <w:tcW w:w="1140" w:type="dxa"/>
            <w:vAlign w:val="bottom"/>
          </w:tcPr>
          <w:p>
            <w:pPr>
              <w:ind w:left="40"/>
              <w:spacing w:after="0" w:line="215" w:lineRule="exact"/>
              <w:rPr>
                <w:sz w:val="20"/>
                <w:szCs w:val="20"/>
                <w:color w:val="auto"/>
              </w:rPr>
            </w:pPr>
            <w:r>
              <w:rPr>
                <w:rFonts w:ascii="Calibri" w:cs="Calibri" w:eastAsia="Calibri" w:hAnsi="Calibri"/>
                <w:sz w:val="18"/>
                <w:szCs w:val="18"/>
                <w:color w:val="auto"/>
              </w:rPr>
              <w:t>Level 1</w:t>
            </w:r>
          </w:p>
        </w:tc>
        <w:tc>
          <w:tcPr>
            <w:tcW w:w="840" w:type="dxa"/>
            <w:vAlign w:val="bottom"/>
          </w:tcPr>
          <w:p>
            <w:pPr>
              <w:jc w:val="right"/>
              <w:ind w:right="650"/>
              <w:spacing w:after="0" w:line="215" w:lineRule="exact"/>
              <w:rPr>
                <w:sz w:val="20"/>
                <w:szCs w:val="20"/>
                <w:color w:val="auto"/>
              </w:rPr>
            </w:pPr>
            <w:r>
              <w:rPr>
                <w:rFonts w:ascii="Calibri" w:cs="Calibri" w:eastAsia="Calibri" w:hAnsi="Calibri"/>
                <w:sz w:val="18"/>
                <w:szCs w:val="18"/>
                <w:color w:val="auto"/>
                <w:w w:val="87"/>
              </w:rPr>
              <w:t>$</w:t>
            </w:r>
          </w:p>
        </w:tc>
        <w:tc>
          <w:tcPr>
            <w:tcW w:w="180" w:type="dxa"/>
            <w:vAlign w:val="bottom"/>
          </w:tcPr>
          <w:p>
            <w:pPr>
              <w:spacing w:after="0"/>
              <w:rPr>
                <w:sz w:val="19"/>
                <w:szCs w:val="19"/>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12,115</w:t>
            </w: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10,042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Interest rate swap</w:t>
            </w:r>
          </w:p>
        </w:tc>
        <w:tc>
          <w:tcPr>
            <w:tcW w:w="1140" w:type="dxa"/>
            <w:vAlign w:val="bottom"/>
            <w:shd w:val="clear" w:color="auto" w:fill="CCEEFF"/>
          </w:tcPr>
          <w:p>
            <w:pPr>
              <w:ind w:left="40"/>
              <w:spacing w:after="0"/>
              <w:rPr>
                <w:sz w:val="20"/>
                <w:szCs w:val="20"/>
                <w:color w:val="auto"/>
              </w:rPr>
            </w:pPr>
            <w:r>
              <w:rPr>
                <w:rFonts w:ascii="Calibri" w:cs="Calibri" w:eastAsia="Calibri" w:hAnsi="Calibri"/>
                <w:sz w:val="18"/>
                <w:szCs w:val="18"/>
                <w:color w:val="auto"/>
              </w:rPr>
              <w:t>Level 2</w:t>
            </w:r>
          </w:p>
        </w:tc>
        <w:tc>
          <w:tcPr>
            <w:tcW w:w="840" w:type="dxa"/>
            <w:vAlign w:val="bottom"/>
            <w:shd w:val="clear" w:color="auto" w:fill="CCEEFF"/>
          </w:tcPr>
          <w:p>
            <w:pPr>
              <w:jc w:val="right"/>
              <w:ind w:right="650"/>
              <w:spacing w:after="0"/>
              <w:rPr>
                <w:sz w:val="20"/>
                <w:szCs w:val="20"/>
                <w:color w:val="auto"/>
              </w:rPr>
            </w:pPr>
            <w:r>
              <w:rPr>
                <w:rFonts w:ascii="Calibri" w:cs="Calibri" w:eastAsia="Calibri" w:hAnsi="Calibri"/>
                <w:sz w:val="18"/>
                <w:szCs w:val="18"/>
                <w:color w:val="auto"/>
                <w:w w:val="87"/>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4,268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Earnout liability</w:t>
            </w:r>
          </w:p>
        </w:tc>
        <w:tc>
          <w:tcPr>
            <w:tcW w:w="1140" w:type="dxa"/>
            <w:vAlign w:val="bottom"/>
            <w:shd w:val="clear" w:color="auto" w:fill="CCEEFF"/>
          </w:tcPr>
          <w:p>
            <w:pPr>
              <w:ind w:left="40"/>
              <w:spacing w:after="0"/>
              <w:rPr>
                <w:sz w:val="20"/>
                <w:szCs w:val="20"/>
                <w:color w:val="auto"/>
              </w:rPr>
            </w:pPr>
            <w:r>
              <w:rPr>
                <w:rFonts w:ascii="Calibri" w:cs="Calibri" w:eastAsia="Calibri" w:hAnsi="Calibri"/>
                <w:sz w:val="18"/>
                <w:szCs w:val="18"/>
                <w:color w:val="auto"/>
              </w:rPr>
              <w:t>Level 3</w:t>
            </w:r>
          </w:p>
        </w:tc>
        <w:tc>
          <w:tcPr>
            <w:tcW w:w="840" w:type="dxa"/>
            <w:vAlign w:val="bottom"/>
            <w:shd w:val="clear" w:color="auto" w:fill="CCEEFF"/>
          </w:tcPr>
          <w:p>
            <w:pPr>
              <w:jc w:val="right"/>
              <w:ind w:right="650"/>
              <w:spacing w:after="0"/>
              <w:rPr>
                <w:sz w:val="20"/>
                <w:szCs w:val="20"/>
                <w:color w:val="auto"/>
              </w:rPr>
            </w:pPr>
            <w:r>
              <w:rPr>
                <w:rFonts w:ascii="Calibri" w:cs="Calibri" w:eastAsia="Calibri" w:hAnsi="Calibri"/>
                <w:sz w:val="18"/>
                <w:szCs w:val="18"/>
                <w:color w:val="auto"/>
                <w:w w:val="87"/>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11,919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0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Changes in the earnout liability measured at fair value using Level 3 inputs were as follows:</w:t>
            </w: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(In thousands)</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Earnout liability at March 31, 2024</w:t>
            </w:r>
          </w:p>
        </w:tc>
        <w:tc>
          <w:tcPr>
            <w:tcW w:w="1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11,235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 for acquisiton</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60" w:type="dxa"/>
            <w:vAlign w:val="bottom"/>
            <w:shd w:val="clear" w:color="auto" w:fill="CCEEFF"/>
          </w:tcPr>
          <w:p>
            <w:pPr>
              <w:ind w:left="120"/>
              <w:spacing w:after="0"/>
              <w:rPr>
                <w:sz w:val="20"/>
                <w:szCs w:val="20"/>
                <w:color w:val="auto"/>
              </w:rPr>
            </w:pPr>
            <w:r>
              <w:rPr>
                <w:rFonts w:ascii="Calibri" w:cs="Calibri" w:eastAsia="Calibri" w:hAnsi="Calibri"/>
                <w:sz w:val="18"/>
                <w:szCs w:val="18"/>
                <w:color w:val="auto"/>
              </w:rPr>
              <w:t>Fair value adjustments</w:t>
            </w:r>
          </w:p>
        </w:tc>
        <w:tc>
          <w:tcPr>
            <w:tcW w:w="1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684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Calibri" w:cs="Calibri" w:eastAsia="Calibri" w:hAnsi="Calibri"/>
                <w:sz w:val="18"/>
                <w:szCs w:val="18"/>
                <w:color w:val="auto"/>
              </w:rPr>
              <w:t>Earnout liability at September 29, 2024</w:t>
            </w: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Calibri" w:cs="Calibri" w:eastAsia="Calibri" w:hAnsi="Calibri"/>
                <w:sz w:val="18"/>
                <w:szCs w:val="18"/>
                <w:b w:val="1"/>
                <w:bCs w:val="1"/>
                <w:color w:val="auto"/>
              </w:rPr>
              <w:t>Note 6 – Inventories</w:t>
            </w: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58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2"/>
          </w:tcPr>
          <w:p>
            <w:pPr>
              <w:spacing w:after="0"/>
              <w:rPr>
                <w:sz w:val="20"/>
                <w:szCs w:val="20"/>
                <w:color w:val="auto"/>
              </w:rPr>
            </w:pPr>
            <w:r>
              <w:rPr>
                <w:rFonts w:ascii="Calibri" w:cs="Calibri" w:eastAsia="Calibri" w:hAnsi="Calibri"/>
                <w:sz w:val="18"/>
                <w:szCs w:val="18"/>
                <w:color w:val="auto"/>
                <w:w w:val="97"/>
              </w:rPr>
              <w:t>Inventories at September 29, 2024 and March 31, 2024 consisted of the following:</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jc w:val="right"/>
              <w:ind w:right="170"/>
              <w:spacing w:after="0"/>
              <w:rPr>
                <w:sz w:val="20"/>
                <w:szCs w:val="20"/>
                <w:color w:val="auto"/>
              </w:rPr>
            </w:pPr>
            <w:r>
              <w:rPr>
                <w:rFonts w:ascii="Calibri" w:cs="Calibri" w:eastAsia="Calibri" w:hAnsi="Calibri"/>
                <w:sz w:val="18"/>
                <w:szCs w:val="18"/>
                <w:b w:val="1"/>
                <w:bCs w:val="1"/>
                <w:color w:val="auto"/>
              </w:rPr>
              <w:t>September 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Calibri" w:cs="Calibri" w:eastAsia="Calibri" w:hAnsi="Calibri"/>
                <w:sz w:val="18"/>
                <w:szCs w:val="18"/>
                <w:b w:val="1"/>
                <w:bCs w:val="1"/>
                <w:color w:val="auto"/>
              </w:rPr>
              <w:t>March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Calibri" w:cs="Calibri" w:eastAsia="Calibri" w:hAnsi="Calibri"/>
                <w:sz w:val="14"/>
                <w:szCs w:val="14"/>
                <w:b w:val="1"/>
                <w:bCs w:val="1"/>
                <w:color w:val="auto"/>
              </w:rPr>
              <w:t>(In thousands)</w:t>
            </w: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450"/>
              <w:spacing w:after="0" w:line="215" w:lineRule="exact"/>
              <w:rPr>
                <w:sz w:val="20"/>
                <w:szCs w:val="20"/>
                <w:color w:val="auto"/>
              </w:rPr>
            </w:pPr>
            <w:r>
              <w:rPr>
                <w:rFonts w:ascii="Calibri" w:cs="Calibri" w:eastAsia="Calibri" w:hAnsi="Calibri"/>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586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60" w:type="dxa"/>
            <w:vAlign w:val="bottom"/>
            <w:shd w:val="clear" w:color="auto" w:fill="CCEEFF"/>
          </w:tcPr>
          <w:p>
            <w:pPr>
              <w:spacing w:after="0" w:line="195" w:lineRule="exact"/>
              <w:rPr>
                <w:sz w:val="20"/>
                <w:szCs w:val="20"/>
                <w:color w:val="auto"/>
              </w:rPr>
            </w:pPr>
            <w:r>
              <w:rPr>
                <w:rFonts w:ascii="Calibri" w:cs="Calibri" w:eastAsia="Calibri" w:hAnsi="Calibri"/>
                <w:sz w:val="18"/>
                <w:szCs w:val="18"/>
                <w:color w:val="auto"/>
              </w:rPr>
              <w:t>Inventory (FIFO basis)</w:t>
            </w: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gridSpan w:val="2"/>
            <w:shd w:val="clear" w:color="auto" w:fill="CCEEFF"/>
          </w:tcPr>
          <w:p>
            <w:pPr>
              <w:jc w:val="center"/>
              <w:ind w:left="590"/>
              <w:spacing w:after="0" w:line="215" w:lineRule="exact"/>
              <w:rPr>
                <w:sz w:val="20"/>
                <w:szCs w:val="20"/>
                <w:color w:val="auto"/>
              </w:rPr>
            </w:pPr>
            <w:r>
              <w:rPr>
                <w:rFonts w:ascii="Calibri" w:cs="Calibri" w:eastAsia="Calibri" w:hAnsi="Calibri"/>
                <w:sz w:val="18"/>
                <w:szCs w:val="18"/>
                <w:color w:val="auto"/>
                <w:w w:val="99"/>
              </w:rPr>
              <w:t>99,058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tcPr>
          <w:p>
            <w:pPr>
              <w:spacing w:after="0" w:line="215" w:lineRule="exact"/>
              <w:rPr>
                <w:sz w:val="20"/>
                <w:szCs w:val="20"/>
                <w:color w:val="auto"/>
              </w:rPr>
            </w:pPr>
            <w:r>
              <w:rPr>
                <w:rFonts w:ascii="Calibri" w:cs="Calibri" w:eastAsia="Calibri" w:hAnsi="Calibri"/>
                <w:sz w:val="18"/>
                <w:szCs w:val="18"/>
                <w:color w:val="auto"/>
              </w:rPr>
              <w:t>LIFO reserve</w:t>
            </w:r>
          </w:p>
        </w:tc>
        <w:tc>
          <w:tcPr>
            <w:tcW w:w="1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line="215" w:lineRule="exact"/>
              <w:rPr>
                <w:sz w:val="20"/>
                <w:szCs w:val="20"/>
                <w:color w:val="auto"/>
              </w:rPr>
            </w:pPr>
            <w:r>
              <w:rPr>
                <w:rFonts w:ascii="Calibri" w:cs="Calibri" w:eastAsia="Calibri" w:hAnsi="Calibri"/>
                <w:sz w:val="18"/>
                <w:szCs w:val="18"/>
                <w:color w:val="auto"/>
              </w:rPr>
              <w:t>(24,865)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570"/>
              <w:spacing w:after="0" w:line="215" w:lineRule="exact"/>
              <w:rPr>
                <w:sz w:val="20"/>
                <w:szCs w:val="20"/>
                <w:color w:val="auto"/>
              </w:rPr>
            </w:pPr>
            <w:r>
              <w:rPr>
                <w:rFonts w:ascii="Calibri" w:cs="Calibri" w:eastAsia="Calibri" w:hAnsi="Calibri"/>
                <w:sz w:val="18"/>
                <w:szCs w:val="18"/>
                <w:color w:val="auto"/>
                <w:w w:val="98"/>
              </w:rPr>
              <w:t>(24,458)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line="202" w:lineRule="exact"/>
              <w:rPr>
                <w:sz w:val="20"/>
                <w:szCs w:val="20"/>
                <w:color w:val="auto"/>
              </w:rPr>
            </w:pPr>
            <w:r>
              <w:rPr>
                <w:rFonts w:ascii="Calibri" w:cs="Calibri" w:eastAsia="Calibri" w:hAnsi="Calibri"/>
                <w:sz w:val="18"/>
                <w:szCs w:val="18"/>
                <w:color w:val="auto"/>
              </w:rPr>
              <w:t>Net inventory</w:t>
            </w:r>
          </w:p>
        </w:tc>
        <w:tc>
          <w:tcPr>
            <w:tcW w:w="1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auto"/>
            </w:tcBorders>
            <w:gridSpan w:val="3"/>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81,565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gridSpan w:val="2"/>
            <w:shd w:val="clear" w:color="auto" w:fill="CCEEFF"/>
          </w:tcPr>
          <w:p>
            <w:pPr>
              <w:jc w:val="center"/>
              <w:ind w:left="590"/>
              <w:spacing w:after="0" w:line="215" w:lineRule="exact"/>
              <w:rPr>
                <w:sz w:val="20"/>
                <w:szCs w:val="20"/>
                <w:color w:val="auto"/>
              </w:rPr>
            </w:pPr>
            <w:r>
              <w:rPr>
                <w:rFonts w:ascii="Calibri" w:cs="Calibri" w:eastAsia="Calibri" w:hAnsi="Calibri"/>
                <w:sz w:val="18"/>
                <w:szCs w:val="18"/>
                <w:color w:val="auto"/>
                <w:w w:val="99"/>
              </w:rPr>
              <w:t>74,600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color w:val="auto"/>
        </w:rPr>
        <w:t>The frst in, frst out (“FIFO”) value of inventories accounted for under the last in, frst out (“LIFO”) method was $79.3 million at September 29, 2024 and $76.2 million at March 31, 2024. The remainder of the inventory was valued and accounted for under the FIFO method.</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7 – Goodwill and Intangible Assets</w:t>
      </w:r>
    </w:p>
    <w:p>
      <w:pPr>
        <w:spacing w:after="0" w:line="109"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The carrying amount of goodwill was $111.6 million as of September 29, 2024 and $103.4 million as of March 31, 2024, of which $60.1 million was related to our Water Treatment segment, $44.9 million was related to our Health and Nutriton segment, and $6.5 million was related to our Industrial segment. The increase in goodwill during the six months ended September 29, 2024 represents goodwill recorded in connecton with the acquisitons of the assets of Intercoastal and Woford as discussed in Note 2.</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summary of our identfable intangible assets as of September 29, 2024 and March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Calibri" w:cs="Calibri" w:eastAsia="Calibri" w:hAnsi="Calibri"/>
                <w:sz w:val="14"/>
                <w:szCs w:val="14"/>
                <w:b w:val="1"/>
                <w:bCs w:val="1"/>
                <w:color w:val="auto"/>
              </w:rPr>
              <w:t>September 29, 2024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Calibri" w:cs="Calibri" w:eastAsia="Calibri" w:hAnsi="Calibri"/>
                <w:sz w:val="14"/>
                <w:szCs w:val="14"/>
                <w:b w:val="1"/>
                <w:bCs w:val="1"/>
                <w:color w:val="auto"/>
              </w:rPr>
              <w:t>March 31, 2024</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7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700" w:type="dxa"/>
            <w:vAlign w:val="bottom"/>
            <w:vMerge w:val="restart"/>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180" w:type="dxa"/>
            <w:vAlign w:val="bottom"/>
          </w:tcPr>
          <w:p>
            <w:pPr>
              <w:spacing w:after="0"/>
              <w:rPr>
                <w:sz w:val="11"/>
                <w:szCs w:val="11"/>
                <w:color w:val="auto"/>
              </w:rPr>
            </w:pPr>
          </w:p>
        </w:tc>
        <w:tc>
          <w:tcPr>
            <w:tcW w:w="920" w:type="dxa"/>
            <w:vAlign w:val="bottom"/>
            <w:gridSpan w:val="2"/>
          </w:tcPr>
          <w:p>
            <w:pPr>
              <w:jc w:val="center"/>
              <w:ind w:right="300"/>
              <w:spacing w:after="0" w:line="127" w:lineRule="exact"/>
              <w:rPr>
                <w:sz w:val="20"/>
                <w:szCs w:val="20"/>
                <w:color w:val="auto"/>
              </w:rPr>
            </w:pPr>
            <w:r>
              <w:rPr>
                <w:rFonts w:ascii="Calibri" w:cs="Calibri" w:eastAsia="Calibri" w:hAnsi="Calibri"/>
                <w:sz w:val="13"/>
                <w:szCs w:val="13"/>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Calibri" w:cs="Calibri" w:eastAsia="Calibri" w:hAnsi="Calibri"/>
                <w:sz w:val="13"/>
                <w:szCs w:val="13"/>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Net</w:t>
            </w:r>
          </w:p>
        </w:tc>
        <w:tc>
          <w:tcPr>
            <w:tcW w:w="180" w:type="dxa"/>
            <w:vAlign w:val="bottom"/>
          </w:tcPr>
          <w:p>
            <w:pPr>
              <w:spacing w:after="0"/>
              <w:rPr>
                <w:sz w:val="11"/>
                <w:szCs w:val="11"/>
                <w:color w:val="auto"/>
              </w:rPr>
            </w:pPr>
          </w:p>
        </w:tc>
        <w:tc>
          <w:tcPr>
            <w:tcW w:w="940" w:type="dxa"/>
            <w:vAlign w:val="bottom"/>
            <w:gridSpan w:val="2"/>
          </w:tcPr>
          <w:p>
            <w:pPr>
              <w:jc w:val="center"/>
              <w:ind w:right="320"/>
              <w:spacing w:after="0" w:line="127" w:lineRule="exact"/>
              <w:rPr>
                <w:sz w:val="20"/>
                <w:szCs w:val="20"/>
                <w:color w:val="auto"/>
              </w:rPr>
            </w:pPr>
            <w:r>
              <w:rPr>
                <w:rFonts w:ascii="Calibri" w:cs="Calibri" w:eastAsia="Calibri" w:hAnsi="Calibri"/>
                <w:sz w:val="13"/>
                <w:szCs w:val="13"/>
                <w:b w:val="1"/>
                <w:bCs w:val="1"/>
                <w:color w:val="auto"/>
              </w:rPr>
              <w:t>Gross</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27" w:lineRule="exact"/>
              <w:rPr>
                <w:sz w:val="20"/>
                <w:szCs w:val="20"/>
                <w:color w:val="auto"/>
              </w:rPr>
            </w:pPr>
            <w:r>
              <w:rPr>
                <w:rFonts w:ascii="Calibri" w:cs="Calibri" w:eastAsia="Calibri" w:hAnsi="Calibri"/>
                <w:sz w:val="13"/>
                <w:szCs w:val="13"/>
                <w:b w:val="1"/>
                <w:bCs w:val="1"/>
                <w:color w:val="auto"/>
              </w:rPr>
              <w:t>Accumulated</w:t>
            </w:r>
          </w:p>
        </w:tc>
        <w:tc>
          <w:tcPr>
            <w:tcW w:w="24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Calibri" w:cs="Calibri" w:eastAsia="Calibri" w:hAnsi="Calibri"/>
                <w:sz w:val="14"/>
                <w:szCs w:val="14"/>
                <w:b w:val="1"/>
                <w:bCs w:val="1"/>
                <w:color w:val="auto"/>
              </w:rPr>
              <w:t>Net</w:t>
            </w:r>
          </w:p>
        </w:tc>
        <w:tc>
          <w:tcPr>
            <w:tcW w:w="0" w:type="dxa"/>
            <w:vAlign w:val="bottom"/>
          </w:tcPr>
          <w:p>
            <w:pPr>
              <w:spacing w:after="0"/>
              <w:rPr>
                <w:sz w:val="1"/>
                <w:szCs w:val="1"/>
                <w:color w:val="auto"/>
              </w:rPr>
            </w:pPr>
          </w:p>
        </w:tc>
      </w:tr>
      <w:tr>
        <w:trPr>
          <w:trHeight w:val="170"/>
        </w:trPr>
        <w:tc>
          <w:tcPr>
            <w:tcW w:w="3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Amount</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Calibri" w:cs="Calibri" w:eastAsia="Calibri" w:hAnsi="Calibri"/>
                <w:sz w:val="14"/>
                <w:szCs w:val="14"/>
                <w:b w:val="1"/>
                <w:bCs w:val="1"/>
                <w:color w:val="auto"/>
              </w:rPr>
              <w:t>Amortzaton</w:t>
            </w: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Calibri" w:cs="Calibri" w:eastAsia="Calibri" w:hAnsi="Calibri"/>
                <w:sz w:val="14"/>
                <w:szCs w:val="14"/>
                <w:b w:val="1"/>
                <w:bCs w:val="1"/>
                <w:color w:val="auto"/>
              </w:rPr>
              <w:t>Amount</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Amortzaton</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Finite-life intangible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line="215" w:lineRule="exact"/>
              <w:rPr>
                <w:sz w:val="20"/>
                <w:szCs w:val="20"/>
                <w:color w:val="auto"/>
              </w:rPr>
            </w:pPr>
            <w:r>
              <w:rPr>
                <w:rFonts w:ascii="Calibri" w:cs="Calibri" w:eastAsia="Calibri" w:hAnsi="Calibri"/>
                <w:sz w:val="18"/>
                <w:szCs w:val="18"/>
                <w:color w:val="auto"/>
              </w:rPr>
              <w:t>Customer relatonships</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166,564</w:t>
            </w:r>
          </w:p>
        </w:tc>
        <w:tc>
          <w:tcPr>
            <w:tcW w:w="100" w:type="dxa"/>
            <w:vAlign w:val="bottom"/>
          </w:tcPr>
          <w:p>
            <w:pPr>
              <w:spacing w:after="0"/>
              <w:rPr>
                <w:sz w:val="19"/>
                <w:szCs w:val="19"/>
                <w:color w:val="auto"/>
              </w:rPr>
            </w:pPr>
          </w:p>
        </w:tc>
        <w:tc>
          <w:tcPr>
            <w:tcW w:w="180" w:type="dxa"/>
            <w:vAlign w:val="bottom"/>
          </w:tcPr>
          <w:p>
            <w:pPr>
              <w:ind w:left="2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(51,431)</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115,133</w:t>
            </w:r>
          </w:p>
        </w:tc>
        <w:tc>
          <w:tcPr>
            <w:tcW w:w="200" w:type="dxa"/>
            <w:vAlign w:val="bottom"/>
          </w:tcPr>
          <w:p>
            <w:pPr>
              <w:spacing w:after="0"/>
              <w:rPr>
                <w:sz w:val="19"/>
                <w:szCs w:val="19"/>
                <w:color w:val="auto"/>
              </w:rPr>
            </w:pP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153,694</w:t>
            </w:r>
          </w:p>
        </w:tc>
        <w:tc>
          <w:tcPr>
            <w:tcW w:w="120" w:type="dxa"/>
            <w:vAlign w:val="bottom"/>
          </w:tcPr>
          <w:p>
            <w:pPr>
              <w:spacing w:after="0"/>
              <w:rPr>
                <w:sz w:val="19"/>
                <w:szCs w:val="19"/>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(46,146)</w:t>
            </w:r>
          </w:p>
        </w:tc>
        <w:tc>
          <w:tcPr>
            <w:tcW w:w="100" w:type="dxa"/>
            <w:vAlign w:val="bottom"/>
          </w:tcPr>
          <w:p>
            <w:pPr>
              <w:spacing w:after="0"/>
              <w:rPr>
                <w:sz w:val="19"/>
                <w:szCs w:val="19"/>
                <w:color w:val="auto"/>
              </w:rPr>
            </w:pP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107,548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Trademarks and trade names</w:t>
            </w: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13,870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w:t>
            </w:r>
          </w:p>
        </w:tc>
        <w:tc>
          <w:tcPr>
            <w:tcW w:w="10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(6,579)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7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7,291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8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13,570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w w:val="87"/>
              </w:rPr>
              <w:t>$</w:t>
            </w:r>
          </w:p>
        </w:tc>
        <w:tc>
          <w:tcPr>
            <w:tcW w:w="116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(5,968)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7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7,602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360"/>
              <w:spacing w:after="0" w:line="215" w:lineRule="exact"/>
              <w:rPr>
                <w:sz w:val="20"/>
                <w:szCs w:val="20"/>
                <w:color w:val="auto"/>
              </w:rPr>
            </w:pPr>
            <w:r>
              <w:rPr>
                <w:rFonts w:ascii="Calibri" w:cs="Calibri" w:eastAsia="Calibri" w:hAnsi="Calibri"/>
                <w:sz w:val="18"/>
                <w:szCs w:val="18"/>
                <w:color w:val="auto"/>
              </w:rPr>
              <w:t>Other fnite-life intangible assets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(4,075)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235</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4,221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fnite-life intangible assets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184,744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122,659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171,485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115,399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line="215" w:lineRule="exact"/>
              <w:rPr>
                <w:sz w:val="20"/>
                <w:szCs w:val="20"/>
                <w:color w:val="auto"/>
              </w:rPr>
            </w:pPr>
            <w:r>
              <w:rPr>
                <w:rFonts w:ascii="Calibri" w:cs="Calibri" w:eastAsia="Calibri" w:hAnsi="Calibri"/>
                <w:sz w:val="18"/>
                <w:szCs w:val="18"/>
                <w:color w:val="auto"/>
              </w:rPr>
              <w:t>Indefnite-life intangible assets</w:t>
            </w:r>
          </w:p>
        </w:tc>
        <w:tc>
          <w:tcPr>
            <w:tcW w:w="18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1,227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Total intangible assets</w:t>
            </w: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185,971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(62,085)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123,886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172,712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(56,086)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116,626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8"/>
        </w:trPr>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55"/>
              <w:spacing w:after="0"/>
              <w:rPr>
                <w:sz w:val="20"/>
                <w:szCs w:val="20"/>
                <w:color w:val="auto"/>
              </w:rPr>
            </w:pPr>
            <w:r>
              <w:rPr>
                <w:rFonts w:ascii="Calibri" w:cs="Calibri" w:eastAsia="Calibri" w:hAnsi="Calibri"/>
                <w:sz w:val="18"/>
                <w:szCs w:val="18"/>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7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7820" w:type="dxa"/>
            <w:vAlign w:val="bottom"/>
          </w:tcPr>
          <w:p>
            <w:pPr>
              <w:spacing w:after="0"/>
              <w:rPr>
                <w:sz w:val="20"/>
                <w:szCs w:val="20"/>
                <w:color w:val="auto"/>
              </w:rPr>
            </w:pPr>
            <w:r>
              <w:rPr>
                <w:rFonts w:ascii="Calibri" w:cs="Calibri" w:eastAsia="Calibri" w:hAnsi="Calibri"/>
                <w:sz w:val="18"/>
                <w:szCs w:val="18"/>
                <w:b w:val="1"/>
                <w:bCs w:val="1"/>
                <w:color w:val="auto"/>
              </w:rPr>
              <w:t>Note 8 – Debt</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24"/>
        </w:trPr>
        <w:tc>
          <w:tcPr>
            <w:tcW w:w="7820" w:type="dxa"/>
            <w:vAlign w:val="bottom"/>
          </w:tcPr>
          <w:p>
            <w:pPr>
              <w:spacing w:after="0"/>
              <w:rPr>
                <w:sz w:val="20"/>
                <w:szCs w:val="20"/>
                <w:color w:val="auto"/>
              </w:rPr>
            </w:pPr>
            <w:r>
              <w:rPr>
                <w:rFonts w:ascii="Calibri" w:cs="Calibri" w:eastAsia="Calibri" w:hAnsi="Calibri"/>
                <w:sz w:val="18"/>
                <w:szCs w:val="18"/>
                <w:color w:val="auto"/>
              </w:rPr>
              <w:t>Debt at September 29, 2024 and March 31, 2024 consisted of the following:</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9"/>
        </w:trPr>
        <w:tc>
          <w:tcPr>
            <w:tcW w:w="7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Calibri" w:cs="Calibri" w:eastAsia="Calibri" w:hAnsi="Calibri"/>
                <w:sz w:val="18"/>
                <w:szCs w:val="18"/>
                <w:b w:val="1"/>
                <w:bCs w:val="1"/>
                <w:color w:val="auto"/>
              </w:rPr>
              <w:t>September 29,</w:t>
            </w:r>
          </w:p>
        </w:tc>
        <w:tc>
          <w:tcPr>
            <w:tcW w:w="24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March 31,</w:t>
            </w:r>
          </w:p>
        </w:tc>
      </w:tr>
      <w:tr>
        <w:trPr>
          <w:trHeight w:val="215"/>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490"/>
              <w:spacing w:after="0" w:line="215" w:lineRule="exact"/>
              <w:rPr>
                <w:sz w:val="20"/>
                <w:szCs w:val="20"/>
                <w:color w:val="auto"/>
              </w:rPr>
            </w:pPr>
            <w:r>
              <w:rPr>
                <w:rFonts w:ascii="Calibri" w:cs="Calibri" w:eastAsia="Calibri" w:hAnsi="Calibri"/>
                <w:sz w:val="18"/>
                <w:szCs w:val="18"/>
                <w:b w:val="1"/>
                <w:bCs w:val="1"/>
                <w:color w:val="auto"/>
              </w:rPr>
              <w:t>2024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0"/>
              <w:spacing w:after="0" w:line="215" w:lineRule="exact"/>
              <w:rPr>
                <w:sz w:val="20"/>
                <w:szCs w:val="20"/>
                <w:color w:val="auto"/>
              </w:rPr>
            </w:pPr>
            <w:r>
              <w:rPr>
                <w:rFonts w:ascii="Calibri" w:cs="Calibri" w:eastAsia="Calibri" w:hAnsi="Calibri"/>
                <w:sz w:val="18"/>
                <w:szCs w:val="18"/>
                <w:b w:val="1"/>
                <w:bCs w:val="1"/>
                <w:color w:val="auto"/>
              </w:rPr>
              <w:t>2024</w:t>
            </w:r>
          </w:p>
        </w:tc>
      </w:tr>
      <w:tr>
        <w:trPr>
          <w:trHeight w:val="37"/>
        </w:trPr>
        <w:tc>
          <w:tcPr>
            <w:tcW w:w="78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3"/>
        </w:trPr>
        <w:tc>
          <w:tcPr>
            <w:tcW w:w="7820" w:type="dxa"/>
            <w:vAlign w:val="bottom"/>
            <w:tcBorders>
              <w:bottom w:val="single" w:sz="8" w:color="CCEEFF"/>
            </w:tcBorders>
            <w:shd w:val="clear" w:color="auto" w:fill="CCEEFF"/>
          </w:tcPr>
          <w:p>
            <w:pPr>
              <w:ind w:left="20"/>
              <w:spacing w:after="0" w:line="150" w:lineRule="exact"/>
              <w:rPr>
                <w:sz w:val="20"/>
                <w:szCs w:val="20"/>
                <w:color w:val="auto"/>
              </w:rPr>
            </w:pPr>
            <w:r>
              <w:rPr>
                <w:rFonts w:ascii="Calibri" w:cs="Calibri" w:eastAsia="Calibri" w:hAnsi="Calibri"/>
                <w:sz w:val="14"/>
                <w:szCs w:val="14"/>
                <w:b w:val="1"/>
                <w:bCs w:val="1"/>
                <w:color w:val="auto"/>
              </w:rPr>
              <w:t>(In thousands)</w:t>
            </w:r>
          </w:p>
        </w:tc>
        <w:tc>
          <w:tcPr>
            <w:tcW w:w="1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22"/>
        </w:trPr>
        <w:tc>
          <w:tcPr>
            <w:tcW w:w="7820" w:type="dxa"/>
            <w:vAlign w:val="bottom"/>
          </w:tcPr>
          <w:p>
            <w:pPr>
              <w:ind w:left="20"/>
              <w:spacing w:after="0" w:line="215" w:lineRule="exact"/>
              <w:rPr>
                <w:sz w:val="20"/>
                <w:szCs w:val="20"/>
                <w:color w:val="auto"/>
              </w:rPr>
            </w:pPr>
            <w:r>
              <w:rPr>
                <w:rFonts w:ascii="Calibri" w:cs="Calibri" w:eastAsia="Calibri" w:hAnsi="Calibri"/>
                <w:sz w:val="18"/>
                <w:szCs w:val="18"/>
                <w:color w:val="auto"/>
              </w:rPr>
              <w:t>Senior secured revolving loan</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104,000</w:t>
            </w:r>
          </w:p>
        </w:tc>
        <w:tc>
          <w:tcPr>
            <w:tcW w:w="180" w:type="dxa"/>
            <w:vAlign w:val="bottom"/>
          </w:tcPr>
          <w:p>
            <w:pPr>
              <w:spacing w:after="0"/>
              <w:rPr>
                <w:sz w:val="19"/>
                <w:szCs w:val="19"/>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99,000</w:t>
            </w:r>
          </w:p>
        </w:tc>
      </w:tr>
      <w:tr>
        <w:trPr>
          <w:trHeight w:val="237"/>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unamortzed debt issuance costs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(225)</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(269)</w:t>
            </w:r>
          </w:p>
        </w:tc>
      </w:tr>
      <w:tr>
        <w:trPr>
          <w:trHeight w:val="216"/>
        </w:trPr>
        <w:tc>
          <w:tcPr>
            <w:tcW w:w="7820" w:type="dxa"/>
            <w:vAlign w:val="bottom"/>
          </w:tcPr>
          <w:p>
            <w:pPr>
              <w:ind w:left="140"/>
              <w:spacing w:after="0" w:line="199" w:lineRule="exact"/>
              <w:rPr>
                <w:sz w:val="20"/>
                <w:szCs w:val="20"/>
                <w:color w:val="auto"/>
              </w:rPr>
            </w:pPr>
            <w:r>
              <w:rPr>
                <w:rFonts w:ascii="Calibri" w:cs="Calibri" w:eastAsia="Calibri" w:hAnsi="Calibri"/>
                <w:sz w:val="18"/>
                <w:szCs w:val="18"/>
                <w:color w:val="auto"/>
              </w:rPr>
              <w:t>Total debt, net of debt issuance costs</w:t>
            </w:r>
          </w:p>
        </w:tc>
        <w:tc>
          <w:tcPr>
            <w:tcW w:w="1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103,775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98,731</w:t>
            </w:r>
          </w:p>
        </w:tc>
      </w:tr>
      <w:tr>
        <w:trPr>
          <w:trHeight w:val="230"/>
        </w:trPr>
        <w:tc>
          <w:tcPr>
            <w:tcW w:w="7820" w:type="dxa"/>
            <w:vAlign w:val="bottom"/>
            <w:shd w:val="clear" w:color="auto" w:fill="CCEEFF"/>
          </w:tcPr>
          <w:p>
            <w:pPr>
              <w:ind w:left="140"/>
              <w:spacing w:after="0"/>
              <w:rPr>
                <w:sz w:val="20"/>
                <w:szCs w:val="20"/>
                <w:color w:val="auto"/>
              </w:rPr>
            </w:pPr>
            <w:r>
              <w:rPr>
                <w:rFonts w:ascii="Calibri" w:cs="Calibri" w:eastAsia="Calibri" w:hAnsi="Calibri"/>
                <w:sz w:val="18"/>
                <w:szCs w:val="18"/>
                <w:color w:val="auto"/>
              </w:rPr>
              <w:t>Less: current porton of long-term debt</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(9,913)</w:t>
            </w:r>
          </w:p>
        </w:tc>
      </w:tr>
      <w:tr>
        <w:trPr>
          <w:trHeight w:val="229"/>
        </w:trPr>
        <w:tc>
          <w:tcPr>
            <w:tcW w:w="7820" w:type="dxa"/>
            <w:vAlign w:val="bottom"/>
          </w:tcPr>
          <w:p>
            <w:pPr>
              <w:ind w:left="20"/>
              <w:spacing w:after="0"/>
              <w:rPr>
                <w:sz w:val="20"/>
                <w:szCs w:val="20"/>
                <w:color w:val="auto"/>
              </w:rPr>
            </w:pPr>
            <w:r>
              <w:rPr>
                <w:rFonts w:ascii="Calibri" w:cs="Calibri" w:eastAsia="Calibri" w:hAnsi="Calibri"/>
                <w:sz w:val="18"/>
                <w:szCs w:val="18"/>
                <w:color w:val="auto"/>
              </w:rPr>
              <w:t>Total long-term debt</w:t>
            </w: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93,862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88,818</w:t>
            </w:r>
          </w:p>
        </w:tc>
      </w:tr>
      <w:tr>
        <w:trPr>
          <w:trHeight w:val="21"/>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We were in compliance with all covenants of our credit agreement as of September 29, 2024.</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9 – Income Taxes</w:t>
      </w:r>
    </w:p>
    <w:p>
      <w:pPr>
        <w:spacing w:after="0" w:line="109"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We are subject to U.S. federal income tax as well as income tax of multple state jurisdictons. The tax years prior to our fscal year ended March 28, 2021 are closed to examinaton by the Internal Revenue Service, and with few exceptons, state and local income tax jurisdictons. Our efectve income tax rate was 26% for the six months ended September 29, 2024, compared to 27% for the six months ended October 1, 2023. The efectve tax rate is impacted by projected levels of annual taxable income, permanent items, and state taxes.</w:t>
      </w:r>
    </w:p>
    <w:p>
      <w:pPr>
        <w:spacing w:after="0" w:line="3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10 – Share-Based Compensaton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Performance-Based Restricted Stock Units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Our Board of Directors (the “Board”) approved a performance-based equity compensaton arrangement for our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executve ofcers during the frst quarters of each of fscal 2025 and fscal 2024. These performance-based arrangements provide for the grant of performance-based restricted stock units that represent a possible future issuance of restricted shares of our common stock based on a pre-tax income target for the applicable fscal year. The actual number of restricted shares to be issued to each executve ofcer is determined when our fnal fnancial informaton becomes available afer the applicable fscal year and will be between zero shares and 76,137 shares in the aggregate for fscal 2025. The restricted shares issued, if any, will fully vest approximately two years afer the last day of the fscal year on which the performance is based. We are recording the compensaton expense for the outstanding performance share units and the converted restricted stock over the life of the awards.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represents the restricted stock actvity for the six months ended September 29,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34"/>
              <w:spacing w:after="0"/>
              <w:rPr>
                <w:sz w:val="20"/>
                <w:szCs w:val="20"/>
                <w:color w:val="auto"/>
              </w:rPr>
            </w:pPr>
            <w:r>
              <w:rPr>
                <w:rFonts w:ascii="Calibri" w:cs="Calibri" w:eastAsia="Calibri" w:hAnsi="Calibri"/>
                <w:sz w:val="16"/>
                <w:szCs w:val="16"/>
                <w:b w:val="1"/>
                <w:bCs w:val="1"/>
                <w:color w:val="auto"/>
              </w:rPr>
              <w:t>Weighted-</w:t>
            </w:r>
          </w:p>
        </w:tc>
      </w:tr>
      <w:tr>
        <w:trPr>
          <w:trHeight w:val="162"/>
        </w:trPr>
        <w:tc>
          <w:tcPr>
            <w:tcW w:w="7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14"/>
              <w:spacing w:after="0" w:line="162" w:lineRule="exact"/>
              <w:rPr>
                <w:sz w:val="20"/>
                <w:szCs w:val="20"/>
                <w:color w:val="auto"/>
              </w:rPr>
            </w:pPr>
            <w:r>
              <w:rPr>
                <w:rFonts w:ascii="Calibri" w:cs="Calibri" w:eastAsia="Calibri" w:hAnsi="Calibri"/>
                <w:sz w:val="16"/>
                <w:szCs w:val="16"/>
                <w:b w:val="1"/>
                <w:bCs w:val="1"/>
                <w:color w:val="auto"/>
                <w:w w:val="99"/>
              </w:rPr>
              <w:t>Average Grant</w:t>
            </w:r>
          </w:p>
        </w:tc>
      </w:tr>
      <w:tr>
        <w:trPr>
          <w:trHeight w:val="194"/>
        </w:trPr>
        <w:tc>
          <w:tcPr>
            <w:tcW w:w="7880" w:type="dxa"/>
            <w:vAlign w:val="bottom"/>
          </w:tcPr>
          <w:p>
            <w:pPr>
              <w:spacing w:after="0"/>
              <w:rPr>
                <w:sz w:val="16"/>
                <w:szCs w:val="16"/>
                <w:color w:val="auto"/>
              </w:rPr>
            </w:pPr>
          </w:p>
        </w:tc>
        <w:tc>
          <w:tcPr>
            <w:tcW w:w="1420" w:type="dxa"/>
            <w:vAlign w:val="bottom"/>
            <w:gridSpan w:val="2"/>
          </w:tcPr>
          <w:p>
            <w:pPr>
              <w:ind w:left="440"/>
              <w:spacing w:after="0" w:line="193" w:lineRule="exact"/>
              <w:rPr>
                <w:sz w:val="20"/>
                <w:szCs w:val="20"/>
                <w:color w:val="auto"/>
              </w:rPr>
            </w:pPr>
            <w:r>
              <w:rPr>
                <w:rFonts w:ascii="Calibri" w:cs="Calibri" w:eastAsia="Calibri" w:hAnsi="Calibri"/>
                <w:sz w:val="16"/>
                <w:szCs w:val="16"/>
                <w:b w:val="1"/>
                <w:bCs w:val="1"/>
                <w:color w:val="auto"/>
              </w:rPr>
              <w:t>Shares</w:t>
            </w:r>
          </w:p>
        </w:tc>
        <w:tc>
          <w:tcPr>
            <w:tcW w:w="220" w:type="dxa"/>
            <w:vAlign w:val="bottom"/>
          </w:tcPr>
          <w:p>
            <w:pPr>
              <w:spacing w:after="0"/>
              <w:rPr>
                <w:sz w:val="16"/>
                <w:szCs w:val="16"/>
                <w:color w:val="auto"/>
              </w:rPr>
            </w:pPr>
          </w:p>
        </w:tc>
        <w:tc>
          <w:tcPr>
            <w:tcW w:w="1440" w:type="dxa"/>
            <w:vAlign w:val="bottom"/>
          </w:tcPr>
          <w:p>
            <w:pPr>
              <w:jc w:val="center"/>
              <w:ind w:right="134"/>
              <w:spacing w:after="0" w:line="193" w:lineRule="exact"/>
              <w:rPr>
                <w:sz w:val="20"/>
                <w:szCs w:val="20"/>
                <w:color w:val="auto"/>
              </w:rPr>
            </w:pPr>
            <w:r>
              <w:rPr>
                <w:rFonts w:ascii="Calibri" w:cs="Calibri" w:eastAsia="Calibri" w:hAnsi="Calibri"/>
                <w:sz w:val="16"/>
                <w:szCs w:val="16"/>
                <w:b w:val="1"/>
                <w:bCs w:val="1"/>
                <w:color w:val="auto"/>
              </w:rPr>
              <w:t>Date Fair Value</w:t>
            </w:r>
          </w:p>
        </w:tc>
      </w:tr>
      <w:tr>
        <w:trPr>
          <w:trHeight w:val="28"/>
        </w:trPr>
        <w:tc>
          <w:tcPr>
            <w:tcW w:w="78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88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Unvested at beginning of period</w:t>
            </w:r>
          </w:p>
        </w:tc>
        <w:tc>
          <w:tcPr>
            <w:tcW w:w="13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145,477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40.33</w:t>
            </w:r>
          </w:p>
        </w:tc>
      </w:tr>
      <w:tr>
        <w:trPr>
          <w:trHeight w:val="222"/>
        </w:trPr>
        <w:tc>
          <w:tcPr>
            <w:tcW w:w="7880" w:type="dxa"/>
            <w:vAlign w:val="bottom"/>
          </w:tcPr>
          <w:p>
            <w:pPr>
              <w:ind w:left="20"/>
              <w:spacing w:after="0" w:line="215" w:lineRule="exact"/>
              <w:rPr>
                <w:sz w:val="20"/>
                <w:szCs w:val="20"/>
                <w:color w:val="auto"/>
              </w:rPr>
            </w:pPr>
            <w:r>
              <w:rPr>
                <w:rFonts w:ascii="Calibri" w:cs="Calibri" w:eastAsia="Calibri" w:hAnsi="Calibri"/>
                <w:sz w:val="18"/>
                <w:szCs w:val="18"/>
                <w:color w:val="auto"/>
              </w:rPr>
              <w:t>Granted</w:t>
            </w: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75,428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76.60</w:t>
            </w:r>
          </w:p>
        </w:tc>
      </w:tr>
      <w:tr>
        <w:trPr>
          <w:trHeight w:val="237"/>
        </w:trPr>
        <w:tc>
          <w:tcPr>
            <w:tcW w:w="78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(83,658)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38.31</w:t>
            </w:r>
          </w:p>
        </w:tc>
      </w:tr>
      <w:tr>
        <w:trPr>
          <w:trHeight w:val="216"/>
        </w:trPr>
        <w:tc>
          <w:tcPr>
            <w:tcW w:w="7880" w:type="dxa"/>
            <w:vAlign w:val="bottom"/>
          </w:tcPr>
          <w:p>
            <w:pPr>
              <w:ind w:left="20"/>
              <w:spacing w:after="0" w:line="195" w:lineRule="exact"/>
              <w:rPr>
                <w:sz w:val="20"/>
                <w:szCs w:val="20"/>
                <w:color w:val="auto"/>
              </w:rPr>
            </w:pPr>
            <w:r>
              <w:rPr>
                <w:rFonts w:ascii="Calibri" w:cs="Calibri" w:eastAsia="Calibri" w:hAnsi="Calibri"/>
                <w:sz w:val="18"/>
                <w:szCs w:val="18"/>
                <w:color w:val="auto"/>
              </w:rPr>
              <w:t>Unvested at end of period</w:t>
            </w: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137,247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61.49</w:t>
            </w:r>
          </w:p>
        </w:tc>
      </w:tr>
      <w:tr>
        <w:trPr>
          <w:trHeight w:val="27"/>
        </w:trPr>
        <w:tc>
          <w:tcPr>
            <w:tcW w:w="78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spacing w:after="0" w:line="228" w:lineRule="auto"/>
        <w:rPr>
          <w:sz w:val="20"/>
          <w:szCs w:val="20"/>
          <w:color w:val="auto"/>
        </w:rPr>
      </w:pPr>
      <w:r>
        <w:rPr>
          <w:rFonts w:ascii="Calibri" w:cs="Calibri" w:eastAsia="Calibri" w:hAnsi="Calibri"/>
          <w:sz w:val="18"/>
          <w:szCs w:val="18"/>
          <w:color w:val="auto"/>
        </w:rPr>
        <w:t>We recorded compensaton expense related to performance share units and restricted stock of $1.5 million and $2.6 million for the three and six months ended September 29, 2024, respectvely. We recorded compensaton expense related to performance share units and restricted stock of $1.0 million and $1.6 million for the three and six months ended October 1, 2023, respectvely. Substantally all of the compensaton expense was recorded in selling, general and administratve expenses in the condensed consolidated statements of income.</w:t>
      </w:r>
    </w:p>
    <w:p>
      <w:pPr>
        <w:spacing w:after="0" w:line="110"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b w:val="1"/>
          <w:bCs w:val="1"/>
          <w:i w:val="1"/>
          <w:iCs w:val="1"/>
          <w:color w:val="auto"/>
        </w:rPr>
        <w:t>Restricted Stock Awards</w:t>
      </w:r>
      <w:r>
        <w:rPr>
          <w:rFonts w:ascii="Calibri" w:cs="Calibri" w:eastAsia="Calibri" w:hAnsi="Calibri"/>
          <w:sz w:val="18"/>
          <w:szCs w:val="18"/>
          <w:i w:val="1"/>
          <w:iCs w:val="1"/>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As part of their retainer, our directors, other than the Chief Executve Ofcer, receive restricted stock for their Board services.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restricted stock awards are generally expensed over a one-year vestng period, based on the market value on the date of grant. As of September 29, 2024, there were 6,734 shares of restricted stock with an average grant date fair value of $103.90 outstanding under this program. Compensaton expense for the three and six months ended September 29, 2024 related to restricted stock awards to the Board was $0.2 million and $0.3 million, respectvely. Compensaton expense for the three and six months ended October 1, 2023 related to restricted stock awards to the Board was $0.1 million and $0.2 million, respectvely.</w:t>
      </w:r>
    </w:p>
    <w:p>
      <w:pPr>
        <w:spacing w:after="0" w:line="3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color w:val="auto"/>
        </w:rPr>
        <w:t>Note 11 – Share Repurchase Program</w:t>
      </w:r>
    </w:p>
    <w:p>
      <w:pPr>
        <w:spacing w:after="0" w:line="96" w:lineRule="exact"/>
        <w:rPr>
          <w:sz w:val="20"/>
          <w:szCs w:val="20"/>
          <w:color w:val="auto"/>
        </w:rPr>
      </w:pPr>
    </w:p>
    <w:p>
      <w:pPr>
        <w:ind w:right="100"/>
        <w:spacing w:after="0" w:line="223"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shares. The shares may be repurchased on the open market or in privately negotated transactons subject to applicable securites laws and regulatons. Upon purchase of the shares, we reduce our common stock for the par value of the shares with the excess applied against additonal paid-in capital. During the three months ended September 29, 2024, no shares were repurchased, and during the six months ended September 29, 2024, we repurchased 105,541 shares at an aggregate purchase price of $9.1 million. During the three and six months ended October 1, 2023, we repurchased 167,796 shares at an aggregate purchase price of $9.8 million. As of September 29, 2024, 831,946 shares remained available to be repurchased under the share repurchase program.</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12 – Commitments and Contngencies</w:t>
      </w:r>
    </w:p>
    <w:p>
      <w:pPr>
        <w:spacing w:after="0" w:line="9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 xml:space="preserve">Environmental Remediaton. </w:t>
      </w:r>
      <w:r>
        <w:rPr>
          <w:rFonts w:ascii="Calibri" w:cs="Calibri" w:eastAsia="Calibri" w:hAnsi="Calibri"/>
          <w:sz w:val="18"/>
          <w:szCs w:val="18"/>
          <w:color w:val="auto"/>
        </w:rPr>
        <w:t>In the fourth quarter of fscal 2024, we recorded a liability of $7.7 million related to estmated remediaton expenses associated</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with perchlorinated biphenyls ("PCBs") discovered in the soil at our Rosemount, MN facility during our expansion project. We acquired the property, which had prior heavy industrial use, in fscal 2012. While the source of the PCBs is unknown, we have never brought PCBs onto the property or used PCBs on the site. The liability is not discounted as management expects to incur these expenses within the next twelve months. Given the many uncertaintes involved in assessing environmental claims, our reserves may prove to be insufcient. While it is possible that additonal expense related to the remediaton will be incurred in future periods if currently unknown issues arise, we are unable to estmate the extent of any further fnancial impact. No expenses were charged against this liability during the three and six months ended September 29, 2024.</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Note 13 – Segment Informaton</w:t>
      </w:r>
    </w:p>
    <w:p>
      <w:pPr>
        <w:spacing w:after="0" w:line="109" w:lineRule="exact"/>
        <w:rPr>
          <w:sz w:val="20"/>
          <w:szCs w:val="20"/>
          <w:color w:val="auto"/>
        </w:rPr>
      </w:pPr>
    </w:p>
    <w:p>
      <w:pPr>
        <w:ind w:right="220"/>
        <w:spacing w:after="0" w:line="235" w:lineRule="auto"/>
        <w:rPr>
          <w:rFonts w:ascii="Calibri" w:cs="Calibri" w:eastAsia="Calibri" w:hAnsi="Calibri"/>
          <w:sz w:val="18"/>
          <w:szCs w:val="18"/>
          <w:color w:val="auto"/>
        </w:rPr>
      </w:pPr>
      <w:r>
        <w:rPr>
          <w:rFonts w:ascii="Calibri" w:cs="Calibri" w:eastAsia="Calibri" w:hAnsi="Calibri"/>
          <w:sz w:val="18"/>
          <w:szCs w:val="18"/>
          <w:color w:val="auto"/>
        </w:rPr>
        <w:t xml:space="preserve">We have three reportable segments: Water Treatment, Industrial, and Health and Nutriton. The accountng policies of the segments are the same as those described in the summary of signifcant accountng policies in our </w:t>
      </w:r>
      <w:hyperlink r:id="rId18">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auto"/>
        </w:rPr>
        <w:t>.</w:t>
      </w:r>
    </w:p>
    <w:p>
      <w:pPr>
        <w:spacing w:after="0" w:line="110"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evaluate performance based on proft or loss from operatons before income taxes not including nonrecurring gains and losses. Reportable segments are defned primarily by product and type of customer. Segments are responsible for the sales, marketng and development of their products and services. We allocate certain corporate expenses to our operatng segments. There are no intersegment sales and no operatng segments have been aggregated. No single customer’s revenues amounted to 10% or more of our total revenue. Sales are primarily within the United States and all assets are located within the United States.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Calibri" w:cs="Calibri" w:eastAsia="Calibri" w:hAnsi="Calibri"/>
                <w:sz w:val="18"/>
                <w:szCs w:val="18"/>
                <w:b w:val="1"/>
                <w:bCs w:val="1"/>
                <w:color w:val="auto"/>
                <w:w w:val="93"/>
              </w:rPr>
              <w:t>Water</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Calibri" w:cs="Calibri" w:eastAsia="Calibri" w:hAnsi="Calibri"/>
                <w:sz w:val="18"/>
                <w:szCs w:val="18"/>
                <w:b w:val="1"/>
                <w:bCs w:val="1"/>
                <w:color w:val="auto"/>
                <w:w w:val="97"/>
              </w:rPr>
              <w:t>Health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5600" w:type="dxa"/>
            <w:vAlign w:val="bottom"/>
          </w:tcPr>
          <w:p>
            <w:pPr>
              <w:ind w:left="20"/>
              <w:spacing w:after="0"/>
              <w:rPr>
                <w:sz w:val="20"/>
                <w:szCs w:val="20"/>
                <w:color w:val="auto"/>
              </w:rPr>
            </w:pPr>
            <w:r>
              <w:rPr>
                <w:rFonts w:ascii="Calibri" w:cs="Calibri" w:eastAsia="Calibri" w:hAnsi="Calibri"/>
                <w:sz w:val="14"/>
                <w:szCs w:val="14"/>
                <w:b w:val="1"/>
                <w:bCs w:val="1"/>
                <w:color w:val="auto"/>
              </w:rPr>
              <w:t>(In thousands)</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line="215" w:lineRule="exact"/>
              <w:rPr>
                <w:sz w:val="20"/>
                <w:szCs w:val="20"/>
                <w:color w:val="auto"/>
              </w:rPr>
            </w:pPr>
            <w:r>
              <w:rPr>
                <w:rFonts w:ascii="Calibri" w:cs="Calibri" w:eastAsia="Calibri" w:hAnsi="Calibri"/>
                <w:sz w:val="18"/>
                <w:szCs w:val="18"/>
                <w:b w:val="1"/>
                <w:bCs w:val="1"/>
                <w:color w:val="auto"/>
                <w:w w:val="96"/>
              </w:rPr>
              <w:t>Treatment</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Calibri" w:cs="Calibri" w:eastAsia="Calibri" w:hAnsi="Calibri"/>
                <w:sz w:val="18"/>
                <w:szCs w:val="18"/>
                <w:b w:val="1"/>
                <w:bCs w:val="1"/>
                <w:color w:val="auto"/>
              </w:rPr>
              <w:t>Industrial</w:t>
            </w:r>
          </w:p>
        </w:tc>
        <w:tc>
          <w:tcPr>
            <w:tcW w:w="200" w:type="dxa"/>
            <w:vAlign w:val="bottom"/>
          </w:tcPr>
          <w:p>
            <w:pPr>
              <w:spacing w:after="0"/>
              <w:rPr>
                <w:sz w:val="19"/>
                <w:szCs w:val="19"/>
                <w:color w:val="auto"/>
              </w:rPr>
            </w:pPr>
          </w:p>
        </w:tc>
        <w:tc>
          <w:tcPr>
            <w:tcW w:w="1280" w:type="dxa"/>
            <w:vAlign w:val="bottom"/>
            <w:gridSpan w:val="2"/>
          </w:tcPr>
          <w:p>
            <w:pPr>
              <w:jc w:val="center"/>
              <w:ind w:right="340"/>
              <w:spacing w:after="0" w:line="215" w:lineRule="exact"/>
              <w:rPr>
                <w:sz w:val="20"/>
                <w:szCs w:val="20"/>
                <w:color w:val="auto"/>
              </w:rPr>
            </w:pPr>
            <w:r>
              <w:rPr>
                <w:rFonts w:ascii="Calibri" w:cs="Calibri" w:eastAsia="Calibri" w:hAnsi="Calibri"/>
                <w:sz w:val="18"/>
                <w:szCs w:val="18"/>
                <w:b w:val="1"/>
                <w:bCs w:val="1"/>
                <w:color w:val="auto"/>
              </w:rPr>
              <w:t>Nutriton</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Total</w:t>
            </w:r>
          </w:p>
        </w:tc>
      </w:tr>
      <w:tr>
        <w:trPr>
          <w:trHeight w:val="23"/>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line="195" w:lineRule="exact"/>
              <w:rPr>
                <w:sz w:val="20"/>
                <w:szCs w:val="20"/>
                <w:color w:val="auto"/>
              </w:rPr>
            </w:pPr>
            <w:r>
              <w:rPr>
                <w:rFonts w:ascii="Calibri" w:cs="Calibri" w:eastAsia="Calibri" w:hAnsi="Calibri"/>
                <w:sz w:val="18"/>
                <w:szCs w:val="18"/>
                <w:color w:val="auto"/>
              </w:rPr>
              <w:t>Three months ended September 29, 2024: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124,528</w:t>
            </w:r>
          </w:p>
        </w:tc>
        <w:tc>
          <w:tcPr>
            <w:tcW w:w="10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89,936</w:t>
            </w:r>
          </w:p>
        </w:tc>
        <w:tc>
          <w:tcPr>
            <w:tcW w:w="1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32,565</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247,029</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35,590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18,268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6,364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60,222</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15,512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6,952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4,013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26,477</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20,078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11,316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2,351</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33,745</w:t>
            </w:r>
          </w:p>
        </w:tc>
      </w:tr>
      <w:tr>
        <w:trPr>
          <w:trHeight w:val="222"/>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Three months ended October 1, 2023:</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100,925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98,535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37,066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236,526</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29,308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17,844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6,734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53,886</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10,145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6,806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3,944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20,895</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19,163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11,038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2,790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32,991</w:t>
            </w:r>
          </w:p>
        </w:tc>
      </w:tr>
      <w:tr>
        <w:trPr>
          <w:trHeight w:val="237"/>
        </w:trPr>
        <w:tc>
          <w:tcPr>
            <w:tcW w:w="560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Six months ended September 29, 2024:</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Sales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241,704</w:t>
            </w:r>
          </w:p>
        </w:tc>
        <w:tc>
          <w:tcPr>
            <w:tcW w:w="100" w:type="dxa"/>
            <w:vAlign w:val="bottom"/>
          </w:tcPr>
          <w:p>
            <w:pPr>
              <w:spacing w:after="0"/>
              <w:rPr>
                <w:sz w:val="19"/>
                <w:szCs w:val="19"/>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193,138</w:t>
            </w:r>
          </w:p>
        </w:tc>
        <w:tc>
          <w:tcPr>
            <w:tcW w:w="100" w:type="dxa"/>
            <w:vAlign w:val="bottom"/>
          </w:tcPr>
          <w:p>
            <w:pPr>
              <w:spacing w:after="0"/>
              <w:rPr>
                <w:sz w:val="19"/>
                <w:szCs w:val="19"/>
                <w:color w:val="auto"/>
              </w:rPr>
            </w:pPr>
          </w:p>
        </w:tc>
        <w:tc>
          <w:tcPr>
            <w:tcW w:w="2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68,066</w:t>
            </w:r>
          </w:p>
        </w:tc>
        <w:tc>
          <w:tcPr>
            <w:tcW w:w="140" w:type="dxa"/>
            <w:vAlign w:val="bottom"/>
          </w:tcPr>
          <w:p>
            <w:pPr>
              <w:spacing w:after="0"/>
              <w:rPr>
                <w:sz w:val="19"/>
                <w:szCs w:val="19"/>
                <w:color w:val="auto"/>
              </w:rPr>
            </w:pP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502,908</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Gross proft</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70,545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40,144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14,188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124,877</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29,678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13,591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8,072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51,341</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Operatng income</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40,867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26,553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6,116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73,536</w:t>
            </w:r>
          </w:p>
        </w:tc>
      </w:tr>
      <w:tr>
        <w:trPr>
          <w:trHeight w:val="222"/>
        </w:trPr>
        <w:tc>
          <w:tcPr>
            <w:tcW w:w="5600" w:type="dxa"/>
            <w:vAlign w:val="bottom"/>
          </w:tcPr>
          <w:p>
            <w:pPr>
              <w:ind w:left="20"/>
              <w:spacing w:after="0" w:line="215" w:lineRule="exact"/>
              <w:rPr>
                <w:sz w:val="20"/>
                <w:szCs w:val="20"/>
                <w:color w:val="auto"/>
              </w:rPr>
            </w:pPr>
            <w:r>
              <w:rPr>
                <w:rFonts w:ascii="Calibri" w:cs="Calibri" w:eastAsia="Calibri" w:hAnsi="Calibri"/>
                <w:sz w:val="18"/>
                <w:szCs w:val="18"/>
                <w:color w:val="auto"/>
              </w:rPr>
              <w:t>Six months ended October 1, 2023:</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Sales</w:t>
            </w: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194,576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Calibri" w:cs="Calibri" w:eastAsia="Calibri" w:hAnsi="Calibri"/>
                <w:sz w:val="18"/>
                <w:szCs w:val="18"/>
                <w:color w:val="auto"/>
                <w:w w:val="87"/>
              </w:rPr>
              <w:t>$</w:t>
            </w: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219,408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73,662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487,646</w:t>
            </w:r>
          </w:p>
        </w:tc>
      </w:tr>
      <w:tr>
        <w:trPr>
          <w:trHeight w:val="222"/>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Gross proft</w:t>
            </w: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55,716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37,150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13,011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105,877</w:t>
            </w:r>
          </w:p>
        </w:tc>
      </w:tr>
      <w:tr>
        <w:trPr>
          <w:trHeight w:val="237"/>
        </w:trPr>
        <w:tc>
          <w:tcPr>
            <w:tcW w:w="5600" w:type="dxa"/>
            <w:vAlign w:val="bottom"/>
            <w:shd w:val="clear" w:color="auto" w:fill="CCEEFF"/>
          </w:tcPr>
          <w:p>
            <w:pPr>
              <w:ind w:left="360"/>
              <w:spacing w:after="0"/>
              <w:rPr>
                <w:sz w:val="20"/>
                <w:szCs w:val="20"/>
                <w:color w:val="auto"/>
              </w:rPr>
            </w:pPr>
            <w:r>
              <w:rPr>
                <w:rFonts w:ascii="Calibri" w:cs="Calibri" w:eastAsia="Calibri" w:hAnsi="Calibri"/>
                <w:sz w:val="18"/>
                <w:szCs w:val="18"/>
                <w:color w:val="auto"/>
              </w:rPr>
              <w:t>Selling, general and administratve expenses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19,271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13,381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7,747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40,399</w:t>
            </w:r>
          </w:p>
        </w:tc>
      </w:tr>
      <w:tr>
        <w:trPr>
          <w:trHeight w:val="215"/>
        </w:trPr>
        <w:tc>
          <w:tcPr>
            <w:tcW w:w="5600" w:type="dxa"/>
            <w:vAlign w:val="bottom"/>
          </w:tcPr>
          <w:p>
            <w:pPr>
              <w:ind w:left="360"/>
              <w:spacing w:after="0" w:line="215" w:lineRule="exact"/>
              <w:rPr>
                <w:sz w:val="20"/>
                <w:szCs w:val="20"/>
                <w:color w:val="auto"/>
              </w:rPr>
            </w:pPr>
            <w:r>
              <w:rPr>
                <w:rFonts w:ascii="Calibri" w:cs="Calibri" w:eastAsia="Calibri" w:hAnsi="Calibri"/>
                <w:sz w:val="18"/>
                <w:szCs w:val="18"/>
                <w:color w:val="auto"/>
              </w:rPr>
              <w:t>Operatng income</w:t>
            </w: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36,445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23,769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5,264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65,478</w:t>
            </w: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color w:val="auto"/>
        </w:rPr>
        <w:t>No signifcant changes to identfable assets by segment occurred during the six months ended September 29, 2024.</w:t>
      </w:r>
    </w:p>
    <w:p>
      <w:pPr>
        <w:spacing w:after="0" w:line="26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b w:val="1"/>
          <w:bCs w:val="1"/>
          <w:color w:val="auto"/>
        </w:rPr>
        <w:t>Note 14 – Subsequent Events</w:t>
      </w:r>
    </w:p>
    <w:p>
      <w:pPr>
        <w:spacing w:after="0" w:line="24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October 30, 2024, we acquired substantally all the assets of Waterguard, Inc. ("Water Guard") for $18 million, under the terms of an asset purchase agreement with Water Guard and its shareholders. Water Guard is a distributor of water treatment chemicals and equipment serving customers primarily throughout North Carolina. The results of operatons and the assets, including goodwill associated with this acquisiton, if any, will be included as part of our Water Treatment segment from the date of acquisiton forward. The purchase accountng for this acquisiton has not yet been completed.</w:t>
      </w:r>
    </w:p>
    <w:p>
      <w:pPr>
        <w:spacing w:after="0" w:line="269" w:lineRule="exact"/>
        <w:rPr>
          <w:sz w:val="20"/>
          <w:szCs w:val="20"/>
          <w:color w:val="auto"/>
        </w:rPr>
      </w:pPr>
    </w:p>
    <w:p>
      <w:pPr>
        <w:jc w:val="center"/>
        <w:ind w:right="-13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98" w:right="479" w:bottom="1440" w:gutter="0" w:footer="0" w:header="0"/>
        </w:sectPr>
      </w:pPr>
    </w:p>
    <w:bookmarkStart w:id="15" w:name="page16"/>
    <w:bookmarkEnd w:id="15"/>
    <w:p>
      <w:pPr>
        <w:spacing w:after="0"/>
        <w:tabs>
          <w:tab w:leader="none" w:pos="68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MANAGEMENT’S DISCUSSION AND ANALYSIS OF FINANCIAL CONDITION AND RESULTS OF OPERATIONS</w:t>
      </w:r>
    </w:p>
    <w:p>
      <w:pPr>
        <w:spacing w:after="0" w:line="244" w:lineRule="exact"/>
        <w:rPr>
          <w:sz w:val="20"/>
          <w:szCs w:val="20"/>
          <w:color w:val="auto"/>
        </w:rPr>
      </w:pPr>
    </w:p>
    <w:p>
      <w:pPr>
        <w:ind w:right="80"/>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following is a discussion and analysis of our fnancial conditon and results of operatons for the six months ended September 29, 2024 as compared to the similar period ended October 1, 2023. This discussion should be read in conjuncton with the condensed consolidated fnancial statements and notes to </w:t>
      </w:r>
      <w:hyperlink r:id="rId18">
        <w:r>
          <w:rPr>
            <w:rFonts w:ascii="Calibri" w:cs="Calibri" w:eastAsia="Calibri" w:hAnsi="Calibri"/>
            <w:sz w:val="18"/>
            <w:szCs w:val="18"/>
            <w:color w:val="auto"/>
          </w:rPr>
          <w:t xml:space="preserve">condensed consolidated fnancial statements included in this quarterly report on Form 10-Q and Item 8 of our </w:t>
        </w:r>
        <w:r>
          <w:rPr>
            <w:rFonts w:ascii="Calibri" w:cs="Calibri" w:eastAsia="Calibri" w:hAnsi="Calibri"/>
            <w:sz w:val="18"/>
            <w:szCs w:val="18"/>
            <w:u w:val="single" w:color="auto"/>
            <w:color w:val="0000FF"/>
          </w:rPr>
          <w:t>Annual Report on Form 10-K for the fscal year</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ended March 31, 2024</w:t>
        </w:r>
        <w:r>
          <w:rPr>
            <w:rFonts w:ascii="Calibri" w:cs="Calibri" w:eastAsia="Calibri" w:hAnsi="Calibri"/>
            <w:sz w:val="18"/>
            <w:szCs w:val="18"/>
            <w:color w:val="000000"/>
          </w:rPr>
          <w:t>.</w:t>
        </w:r>
      </w:hyperlink>
    </w:p>
    <w:p>
      <w:pPr>
        <w:spacing w:after="0" w:line="25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Overview</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derive substantally all of our revenues from the sale of chemicals and specialty ingredients to our customers in a wide variety of industries. We began our operatons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Business Acquisitons</w:t>
      </w:r>
    </w:p>
    <w:p>
      <w:pPr>
        <w:spacing w:after="0" w:line="96" w:lineRule="exact"/>
        <w:rPr>
          <w:sz w:val="20"/>
          <w:szCs w:val="20"/>
          <w:color w:val="auto"/>
        </w:rPr>
      </w:pPr>
    </w:p>
    <w:p>
      <w:pPr>
        <w:jc w:val="both"/>
        <w:ind w:right="280"/>
        <w:spacing w:after="0" w:line="230" w:lineRule="auto"/>
        <w:rPr>
          <w:sz w:val="20"/>
          <w:szCs w:val="20"/>
          <w:color w:val="auto"/>
        </w:rPr>
      </w:pPr>
      <w:r>
        <w:rPr>
          <w:rFonts w:ascii="Calibri" w:cs="Calibri" w:eastAsia="Calibri" w:hAnsi="Calibri"/>
          <w:sz w:val="18"/>
          <w:szCs w:val="18"/>
          <w:color w:val="auto"/>
        </w:rPr>
        <w:t>On June 28, 2024, we acquired substantally all the assets of Woford Water Service, Inc. ("Woford") for $3.4 million. Woford distributed water treatment chemicals and equipment to customers mainly in Mississippi. The results of operatons since the acquisiton date and the assets are included in our Water Treatment segment.</w:t>
      </w:r>
    </w:p>
    <w:p>
      <w:pPr>
        <w:spacing w:after="0" w:line="23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On June 3, 2024, we acquired substantally all the assets of Intercoastal Trading, Inc. and certain related enttes ("Intercoastal") for $22.0 million. Intercoastal distributes water treatment chemicals and equipment to its customers in Maryland, Delaware and Virginia. The results of operatons since the acquisiton date and the assets are included in our Water Treatment segment.</w:t>
      </w:r>
    </w:p>
    <w:p>
      <w:pPr>
        <w:spacing w:after="0" w:line="97" w:lineRule="exact"/>
        <w:rPr>
          <w:sz w:val="20"/>
          <w:szCs w:val="20"/>
          <w:color w:val="auto"/>
        </w:rPr>
      </w:pPr>
    </w:p>
    <w:p>
      <w:pPr>
        <w:ind w:right="520"/>
        <w:spacing w:after="0" w:line="225" w:lineRule="auto"/>
        <w:rPr>
          <w:sz w:val="20"/>
          <w:szCs w:val="20"/>
          <w:color w:val="auto"/>
        </w:rPr>
      </w:pPr>
      <w:r>
        <w:rPr>
          <w:rFonts w:ascii="Calibri" w:cs="Calibri" w:eastAsia="Calibri" w:hAnsi="Calibri"/>
          <w:sz w:val="18"/>
          <w:szCs w:val="18"/>
          <w:color w:val="auto"/>
        </w:rPr>
        <w:t>In the fourth quarter of fscal 2024, we acquired substantally all the assets of Industrial Research Corporaton ("Industrial Research") for $4.6 million. Industrial Research was a distributor of water treatment chemicals and equipment for its customers in central to northern Louisiana, eastern Texas and southern Arkansas. The results of operatons since the acquisiton and the assets are included in our Water Treatment segment.</w:t>
      </w:r>
    </w:p>
    <w:p>
      <w:pPr>
        <w:spacing w:after="0" w:line="111" w:lineRule="exact"/>
        <w:rPr>
          <w:sz w:val="20"/>
          <w:szCs w:val="20"/>
          <w:color w:val="auto"/>
        </w:rPr>
      </w:pPr>
    </w:p>
    <w:p>
      <w:pPr>
        <w:ind w:right="40"/>
        <w:spacing w:after="0" w:line="239" w:lineRule="auto"/>
        <w:rPr>
          <w:sz w:val="20"/>
          <w:szCs w:val="20"/>
          <w:color w:val="auto"/>
        </w:rPr>
      </w:pPr>
      <w:r>
        <w:rPr>
          <w:rFonts w:ascii="Calibri" w:cs="Calibri" w:eastAsia="Calibri" w:hAnsi="Calibri"/>
          <w:sz w:val="17"/>
          <w:szCs w:val="17"/>
          <w:color w:val="auto"/>
        </w:rPr>
        <w:t>In the third quarter of fscal 2024, we acquired substantally all the assets of Miami Products &amp; Chemical Company ("Miami Products") for $15.5 million. Miami Products is a bleach manufacturer and distributor serving customers primarily throughout Ohio and the surrounding region. The results of operatons and the assets, including goodwill associated with this acquisiton, are included as part of our Water Treatment segment from the date of acquisiton forward.</w:t>
      </w:r>
    </w:p>
    <w:p>
      <w:pPr>
        <w:spacing w:after="0" w:line="109" w:lineRule="exact"/>
        <w:rPr>
          <w:sz w:val="20"/>
          <w:szCs w:val="20"/>
          <w:color w:val="auto"/>
        </w:rPr>
      </w:pPr>
    </w:p>
    <w:p>
      <w:pPr>
        <w:ind w:right="120"/>
        <w:spacing w:after="0" w:line="226" w:lineRule="auto"/>
        <w:rPr>
          <w:sz w:val="20"/>
          <w:szCs w:val="20"/>
          <w:color w:val="auto"/>
        </w:rPr>
      </w:pPr>
      <w:r>
        <w:rPr>
          <w:rFonts w:ascii="Calibri" w:cs="Calibri" w:eastAsia="Calibri" w:hAnsi="Calibri"/>
          <w:sz w:val="18"/>
          <w:szCs w:val="18"/>
          <w:color w:val="auto"/>
        </w:rPr>
        <w:t>In the third quarter of fscal 2024, we acquired substantally all the assets of Water Solutons Unlimited, Inc. ("Water Solutons") for $60 million and an additonal amount to be paid afer three years based on achieving certain targets. The total purchase price was estmated to be $70.7 million, including the estmated potental earnout to be paid of $10.7 million. Water Solutons is a manufacturer and distributor of water treatment chemicals serving customers primarily throughout Indiana, Illinois and Michigan. The results of operatons and the assets, including goodwill associated with this acquisiton, are included as part of our Water Treatment segment from the date of acquisiton forward.</w:t>
      </w:r>
    </w:p>
    <w:p>
      <w:pPr>
        <w:spacing w:after="0" w:line="9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In the second quarter of fscal 2024, we acquired substantally all the assets of EcoTech Enterprises, Inc. ("EcoTech") for $3.4 million. EcoTech was a manufacturer and distributor of water treatment chemicals serving customers throughout Arkansas and surrounding states. The results of operatons and the assets are included as part of our Water Treatment segment from the date of acquisiton forward.</w:t>
      </w:r>
    </w:p>
    <w:p>
      <w:pPr>
        <w:spacing w:after="0" w:line="111"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color w:val="auto"/>
        </w:rPr>
        <w:t>The aggregate annual revenue of these six businesses acquired in fscal 2024 and fscal 2025 totaled approximately $85 million, as determined using the applicable twelve-month period preceding each respectve acquisiton date.</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9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have in place a share repurchase program for up to 2.6 million shares of our common shares. As of September 29, 2024, 831,946 shares remain available to be repurchased under this program.</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Financial Results</w:t>
      </w:r>
    </w:p>
    <w:p>
      <w:pPr>
        <w:spacing w:after="0" w:line="9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focus on total proftability dollars when evaluatng our fnancial results as opposed to proftability as a percentage of sales, as sales dollars tend to fuctuate as raw material prices rise and fall, partcularly in our Water Treatment and Industrial segments. The costs for certain of our raw materials can rise or fall rapidly, causing fuctuatons in gross proft as a percentage of sales.</w:t>
      </w:r>
    </w:p>
    <w:p>
      <w:pPr>
        <w:spacing w:after="0" w:line="246"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We use the last in, frst out (“LIFO”) method of valuing the majority of our inventory in our Water Treatment and Industrial segments, which causes the most recent product costs to be recognized in our income statement. The LIFO inventory</w:t>
      </w:r>
    </w:p>
    <w:p>
      <w:pPr>
        <w:spacing w:after="0" w:line="2"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valuaton method and the resultng cost of sales are consistent with our business practces of pricing to current chemical raw material prices. Inventories in our Health and Nutriton segment are valued using the frst-in, frst-out (“FIFO”) method.</w:t>
      </w:r>
    </w:p>
    <w:p>
      <w:pPr>
        <w:spacing w:after="0" w:line="245" w:lineRule="exact"/>
        <w:rPr>
          <w:sz w:val="20"/>
          <w:szCs w:val="20"/>
          <w:color w:val="auto"/>
        </w:rPr>
      </w:pPr>
    </w:p>
    <w:p>
      <w:pPr>
        <w:ind w:right="20"/>
        <w:spacing w:after="0" w:line="229" w:lineRule="auto"/>
        <w:rPr>
          <w:sz w:val="20"/>
          <w:szCs w:val="20"/>
          <w:color w:val="auto"/>
        </w:rPr>
      </w:pPr>
      <w:r>
        <w:rPr>
          <w:rFonts w:ascii="Calibri" w:cs="Calibri" w:eastAsia="Calibri" w:hAnsi="Calibri"/>
          <w:sz w:val="18"/>
          <w:szCs w:val="18"/>
          <w:color w:val="auto"/>
        </w:rPr>
        <w:t>We disclose the sales of our bulk commodity products as a percentage of total sales dollars for our Water Treatment and Industrial segments. Our defniton of bulk commodity products includes products that we do not modify in any way, but receive, store, and ship from our facilites, or direct ship to our customers in large quanttes. We disclose the percentage of our overall sales that consist of sales of bulk commodity products as these products are generally distributed and we do not add signifcant value to these products in comparison to our non-bulk products. Sales of these products are generally highly compettve and price sensitve. As a result, bulk commodity products generally have our lowest margins.</w:t>
      </w: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Results of Operatons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the percentage relatonship of certain items to sales for the period indicated:</w:t>
      </w:r>
    </w:p>
    <w:p>
      <w:pPr>
        <w:sectPr>
          <w:pgSz w:w="11900" w:h="16838" w:orient="portrait"/>
          <w:cols w:equalWidth="0" w:num="1">
            <w:col w:w="11240"/>
          </w:cols>
          <w:pgMar w:left="320" w:top="88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0"/>
        </w:trPr>
        <w:tc>
          <w:tcPr>
            <w:tcW w:w="4480" w:type="dxa"/>
            <w:vAlign w:val="bottom"/>
          </w:tcPr>
          <w:p>
            <w:pPr>
              <w:spacing w:after="0"/>
              <w:rPr>
                <w:sz w:val="19"/>
                <w:szCs w:val="19"/>
                <w:color w:val="auto"/>
              </w:rPr>
            </w:pPr>
          </w:p>
        </w:tc>
        <w:tc>
          <w:tcPr>
            <w:tcW w:w="3400" w:type="dxa"/>
            <w:vAlign w:val="bottom"/>
            <w:gridSpan w:val="4"/>
          </w:tcPr>
          <w:p>
            <w:pPr>
              <w:ind w:left="900"/>
              <w:spacing w:after="0"/>
              <w:rPr>
                <w:sz w:val="20"/>
                <w:szCs w:val="20"/>
                <w:color w:val="auto"/>
              </w:rPr>
            </w:pPr>
            <w:r>
              <w:rPr>
                <w:rFonts w:ascii="Calibri" w:cs="Calibri" w:eastAsia="Calibri" w:hAnsi="Calibri"/>
                <w:sz w:val="18"/>
                <w:szCs w:val="18"/>
                <w:b w:val="1"/>
                <w:bCs w:val="1"/>
                <w:color w:val="auto"/>
              </w:rPr>
              <w:t>Three Months Ended</w:t>
            </w:r>
          </w:p>
        </w:tc>
        <w:tc>
          <w:tcPr>
            <w:tcW w:w="3360" w:type="dxa"/>
            <w:vAlign w:val="bottom"/>
            <w:gridSpan w:val="3"/>
          </w:tcPr>
          <w:p>
            <w:pPr>
              <w:jc w:val="right"/>
              <w:ind w:right="930"/>
              <w:spacing w:after="0"/>
              <w:rPr>
                <w:sz w:val="20"/>
                <w:szCs w:val="20"/>
                <w:color w:val="auto"/>
              </w:rPr>
            </w:pPr>
            <w:r>
              <w:rPr>
                <w:rFonts w:ascii="Calibri" w:cs="Calibri" w:eastAsia="Calibri" w:hAnsi="Calibri"/>
                <w:sz w:val="18"/>
                <w:szCs w:val="18"/>
                <w:b w:val="1"/>
                <w:bCs w:val="1"/>
                <w:color w:val="auto"/>
              </w:rPr>
              <w:t>Six Months Ended</w:t>
            </w:r>
          </w:p>
        </w:tc>
      </w:tr>
      <w:tr>
        <w:trPr>
          <w:trHeight w:val="23"/>
        </w:trPr>
        <w:tc>
          <w:tcPr>
            <w:tcW w:w="44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80"/>
              <w:spacing w:after="0" w:line="215" w:lineRule="exact"/>
              <w:rPr>
                <w:sz w:val="20"/>
                <w:szCs w:val="20"/>
                <w:color w:val="auto"/>
              </w:rPr>
            </w:pPr>
            <w:r>
              <w:rPr>
                <w:rFonts w:ascii="Calibri" w:cs="Calibri" w:eastAsia="Calibri" w:hAnsi="Calibri"/>
                <w:sz w:val="18"/>
                <w:szCs w:val="18"/>
                <w:b w:val="1"/>
                <w:bCs w:val="1"/>
                <w:color w:val="auto"/>
              </w:rPr>
              <w:t>September 29, 2024</w:t>
            </w:r>
          </w:p>
        </w:tc>
        <w:tc>
          <w:tcPr>
            <w:tcW w:w="158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b w:val="1"/>
                <w:bCs w:val="1"/>
                <w:color w:val="auto"/>
              </w:rPr>
              <w:t>October 1, 2023</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60"/>
              <w:spacing w:after="0" w:line="215" w:lineRule="exact"/>
              <w:rPr>
                <w:sz w:val="20"/>
                <w:szCs w:val="20"/>
                <w:color w:val="auto"/>
              </w:rPr>
            </w:pPr>
            <w:r>
              <w:rPr>
                <w:rFonts w:ascii="Calibri" w:cs="Calibri" w:eastAsia="Calibri" w:hAnsi="Calibri"/>
                <w:sz w:val="18"/>
                <w:szCs w:val="18"/>
                <w:b w:val="1"/>
                <w:bCs w:val="1"/>
                <w:color w:val="auto"/>
              </w:rPr>
              <w:t>September 29, 2024</w:t>
            </w:r>
          </w:p>
        </w:tc>
        <w:tc>
          <w:tcPr>
            <w:tcW w:w="1600" w:type="dxa"/>
            <w:vAlign w:val="bottom"/>
            <w:shd w:val="clear" w:color="auto" w:fill="CCEEFF"/>
          </w:tcPr>
          <w:p>
            <w:pPr>
              <w:jc w:val="right"/>
              <w:ind w:right="130"/>
              <w:spacing w:after="0" w:line="215" w:lineRule="exact"/>
              <w:rPr>
                <w:sz w:val="20"/>
                <w:szCs w:val="20"/>
                <w:color w:val="auto"/>
              </w:rPr>
            </w:pPr>
            <w:r>
              <w:rPr>
                <w:rFonts w:ascii="Calibri" w:cs="Calibri" w:eastAsia="Calibri" w:hAnsi="Calibri"/>
                <w:sz w:val="18"/>
                <w:szCs w:val="18"/>
                <w:b w:val="1"/>
                <w:bCs w:val="1"/>
                <w:color w:val="auto"/>
              </w:rPr>
              <w:t>October 1, 2023</w:t>
            </w:r>
          </w:p>
        </w:tc>
      </w:tr>
      <w:tr>
        <w:trPr>
          <w:trHeight w:val="216"/>
        </w:trPr>
        <w:tc>
          <w:tcPr>
            <w:tcW w:w="4480" w:type="dxa"/>
            <w:vAlign w:val="bottom"/>
          </w:tcPr>
          <w:p>
            <w:pPr>
              <w:ind w:left="20"/>
              <w:spacing w:after="0" w:line="195" w:lineRule="exact"/>
              <w:rPr>
                <w:sz w:val="20"/>
                <w:szCs w:val="20"/>
                <w:color w:val="auto"/>
              </w:rPr>
            </w:pPr>
            <w:r>
              <w:rPr>
                <w:rFonts w:ascii="Calibri" w:cs="Calibri" w:eastAsia="Calibri" w:hAnsi="Calibri"/>
                <w:sz w:val="18"/>
                <w:szCs w:val="18"/>
                <w:color w:val="auto"/>
              </w:rPr>
              <w:t>Sales</w:t>
            </w: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20" w:type="dxa"/>
            <w:vAlign w:val="bottom"/>
          </w:tcPr>
          <w:p>
            <w:pPr>
              <w:spacing w:after="0"/>
              <w:rPr>
                <w:sz w:val="18"/>
                <w:szCs w:val="18"/>
                <w:color w:val="auto"/>
              </w:rPr>
            </w:pPr>
          </w:p>
        </w:tc>
        <w:tc>
          <w:tcPr>
            <w:tcW w:w="158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c>
          <w:tcPr>
            <w:tcW w:w="160" w:type="dxa"/>
            <w:vAlign w:val="bottom"/>
          </w:tcPr>
          <w:p>
            <w:pPr>
              <w:spacing w:after="0"/>
              <w:rPr>
                <w:sz w:val="18"/>
                <w:szCs w:val="18"/>
                <w:color w:val="auto"/>
              </w:rPr>
            </w:pPr>
          </w:p>
        </w:tc>
        <w:tc>
          <w:tcPr>
            <w:tcW w:w="1600" w:type="dxa"/>
            <w:vAlign w:val="bottom"/>
            <w:tcBorders>
              <w:top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100.0 %</w:t>
            </w:r>
          </w:p>
        </w:tc>
      </w:tr>
      <w:tr>
        <w:trPr>
          <w:trHeight w:val="237"/>
        </w:trPr>
        <w:tc>
          <w:tcPr>
            <w:tcW w:w="4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Cost of sales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(75.6)%</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(77.2)%</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(75.2)%</w:t>
            </w:r>
          </w:p>
        </w:tc>
        <w:tc>
          <w:tcPr>
            <w:tcW w:w="16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(78.3)%</w:t>
            </w:r>
          </w:p>
        </w:tc>
      </w:tr>
      <w:tr>
        <w:trPr>
          <w:trHeight w:val="216"/>
        </w:trPr>
        <w:tc>
          <w:tcPr>
            <w:tcW w:w="4480" w:type="dxa"/>
            <w:vAlign w:val="bottom"/>
          </w:tcPr>
          <w:p>
            <w:pPr>
              <w:ind w:left="20"/>
              <w:spacing w:after="0" w:line="195" w:lineRule="exact"/>
              <w:rPr>
                <w:sz w:val="20"/>
                <w:szCs w:val="20"/>
                <w:color w:val="auto"/>
              </w:rPr>
            </w:pPr>
            <w:r>
              <w:rPr>
                <w:rFonts w:ascii="Calibri" w:cs="Calibri" w:eastAsia="Calibri" w:hAnsi="Calibri"/>
                <w:sz w:val="18"/>
                <w:szCs w:val="18"/>
                <w:color w:val="auto"/>
              </w:rPr>
              <w:t>Gross proft</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24.4 %</w:t>
            </w:r>
          </w:p>
        </w:tc>
        <w:tc>
          <w:tcPr>
            <w:tcW w:w="12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22.8 %</w:t>
            </w:r>
          </w:p>
        </w:tc>
        <w:tc>
          <w:tcPr>
            <w:tcW w:w="10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24.8 %</w:t>
            </w:r>
          </w:p>
        </w:tc>
        <w:tc>
          <w:tcPr>
            <w:tcW w:w="16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21.7 %</w:t>
            </w:r>
          </w:p>
        </w:tc>
      </w:tr>
      <w:tr>
        <w:trPr>
          <w:trHeight w:val="237"/>
        </w:trPr>
        <w:tc>
          <w:tcPr>
            <w:tcW w:w="4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Selling, general and administratve expenses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(10.7)%</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(8.8)%</w:t>
            </w:r>
          </w:p>
        </w:tc>
        <w:tc>
          <w:tcPr>
            <w:tcW w:w="10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(10.2)%</w:t>
            </w:r>
          </w:p>
        </w:tc>
        <w:tc>
          <w:tcPr>
            <w:tcW w:w="16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(8.3)%</w:t>
            </w:r>
          </w:p>
        </w:tc>
      </w:tr>
      <w:tr>
        <w:trPr>
          <w:trHeight w:val="216"/>
        </w:trPr>
        <w:tc>
          <w:tcPr>
            <w:tcW w:w="4480" w:type="dxa"/>
            <w:vAlign w:val="bottom"/>
          </w:tcPr>
          <w:p>
            <w:pPr>
              <w:ind w:left="20"/>
              <w:spacing w:after="0" w:line="195" w:lineRule="exact"/>
              <w:rPr>
                <w:sz w:val="20"/>
                <w:szCs w:val="20"/>
                <w:color w:val="auto"/>
              </w:rPr>
            </w:pPr>
            <w:r>
              <w:rPr>
                <w:rFonts w:ascii="Calibri" w:cs="Calibri" w:eastAsia="Calibri" w:hAnsi="Calibri"/>
                <w:sz w:val="18"/>
                <w:szCs w:val="18"/>
                <w:color w:val="auto"/>
              </w:rPr>
              <w:t>Operatng income</w:t>
            </w: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13.7 %</w:t>
            </w:r>
          </w:p>
        </w:tc>
        <w:tc>
          <w:tcPr>
            <w:tcW w:w="120" w:type="dxa"/>
            <w:vAlign w:val="bottom"/>
          </w:tcPr>
          <w:p>
            <w:pPr>
              <w:spacing w:after="0"/>
              <w:rPr>
                <w:sz w:val="18"/>
                <w:szCs w:val="18"/>
                <w:color w:val="auto"/>
              </w:rPr>
            </w:pPr>
          </w:p>
        </w:tc>
        <w:tc>
          <w:tcPr>
            <w:tcW w:w="1580" w:type="dxa"/>
            <w:vAlign w:val="bottom"/>
          </w:tcPr>
          <w:p>
            <w:pPr>
              <w:jc w:val="right"/>
              <w:spacing w:after="0" w:line="215" w:lineRule="exact"/>
              <w:rPr>
                <w:sz w:val="20"/>
                <w:szCs w:val="20"/>
                <w:color w:val="auto"/>
              </w:rPr>
            </w:pPr>
            <w:r>
              <w:rPr>
                <w:rFonts w:ascii="Calibri" w:cs="Calibri" w:eastAsia="Calibri" w:hAnsi="Calibri"/>
                <w:sz w:val="18"/>
                <w:szCs w:val="18"/>
                <w:color w:val="auto"/>
              </w:rPr>
              <w:t>14.0 %</w:t>
            </w:r>
          </w:p>
        </w:tc>
        <w:tc>
          <w:tcPr>
            <w:tcW w:w="10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14.6 %</w:t>
            </w:r>
          </w:p>
        </w:tc>
        <w:tc>
          <w:tcPr>
            <w:tcW w:w="16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13.4 %</w:t>
            </w:r>
          </w:p>
        </w:tc>
      </w:tr>
      <w:tr>
        <w:trPr>
          <w:trHeight w:val="237"/>
        </w:trPr>
        <w:tc>
          <w:tcPr>
            <w:tcW w:w="448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Interest expense, net</w:t>
            </w: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(0.3)%</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(0.5)%</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Calibri" w:cs="Calibri" w:eastAsia="Calibri" w:hAnsi="Calibri"/>
                <w:sz w:val="18"/>
                <w:szCs w:val="18"/>
                <w:color w:val="auto"/>
              </w:rPr>
              <w:t>(0.4)%</w:t>
            </w:r>
          </w:p>
        </w:tc>
      </w:tr>
      <w:tr>
        <w:trPr>
          <w:trHeight w:val="223"/>
        </w:trPr>
        <w:tc>
          <w:tcPr>
            <w:tcW w:w="44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Other (expense) income</w:t>
            </w: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0.2 %</w:t>
            </w: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 %</w:t>
            </w:r>
          </w:p>
        </w:tc>
      </w:tr>
      <w:tr>
        <w:trPr>
          <w:trHeight w:val="230"/>
        </w:trPr>
        <w:tc>
          <w:tcPr>
            <w:tcW w:w="4480" w:type="dxa"/>
            <w:vAlign w:val="bottom"/>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Income before income taxes</w:t>
            </w: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13.4 %</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14.3 %</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13.0 %</w:t>
            </w:r>
          </w:p>
        </w:tc>
      </w:tr>
      <w:tr>
        <w:trPr>
          <w:trHeight w:val="223"/>
        </w:trPr>
        <w:tc>
          <w:tcPr>
            <w:tcW w:w="4480" w:type="dxa"/>
            <w:vAlign w:val="bottom"/>
            <w:tcBorders>
              <w:bottom w:val="single" w:sz="8" w:color="CCEEFF"/>
            </w:tcBorders>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w:t>
            </w:r>
          </w:p>
        </w:tc>
        <w:tc>
          <w:tcPr>
            <w:tcW w:w="16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(3.5)%</w:t>
            </w:r>
          </w:p>
        </w:tc>
      </w:tr>
      <w:tr>
        <w:trPr>
          <w:trHeight w:val="248"/>
        </w:trPr>
        <w:tc>
          <w:tcPr>
            <w:tcW w:w="4480" w:type="dxa"/>
            <w:vAlign w:val="bottom"/>
            <w:tcBorders>
              <w:bottom w:val="single" w:sz="8" w:color="CCEEFF"/>
            </w:tcBorders>
            <w:shd w:val="clear" w:color="auto" w:fill="CCEEFF"/>
          </w:tcPr>
          <w:p>
            <w:pPr>
              <w:ind w:left="20"/>
              <w:spacing w:after="0" w:line="202" w:lineRule="exact"/>
              <w:rPr>
                <w:sz w:val="20"/>
                <w:szCs w:val="20"/>
                <w:color w:val="auto"/>
              </w:rPr>
            </w:pPr>
            <w:r>
              <w:rPr>
                <w:rFonts w:ascii="Calibri" w:cs="Calibri" w:eastAsia="Calibri" w:hAnsi="Calibri"/>
                <w:sz w:val="18"/>
                <w:szCs w:val="18"/>
                <w:color w:val="auto"/>
              </w:rPr>
              <w:t>Net income</w:t>
            </w: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9.9 %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10.6 %</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9.5 %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Three Months Ended September 29, 2024 Compared to Three Months Ended October 1, 2023</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163" w:lineRule="exact"/>
        <w:rPr>
          <w:sz w:val="20"/>
          <w:szCs w:val="20"/>
          <w:color w:val="auto"/>
        </w:rPr>
      </w:pPr>
    </w:p>
    <w:p>
      <w:pPr>
        <w:jc w:val="both"/>
        <w:ind w:right="460"/>
        <w:spacing w:after="0" w:line="258" w:lineRule="auto"/>
        <w:rPr>
          <w:sz w:val="20"/>
          <w:szCs w:val="20"/>
          <w:color w:val="auto"/>
        </w:rPr>
      </w:pPr>
      <w:r>
        <w:rPr>
          <w:rFonts w:ascii="Calibri" w:cs="Calibri" w:eastAsia="Calibri" w:hAnsi="Calibri"/>
          <w:sz w:val="17"/>
          <w:szCs w:val="17"/>
          <w:color w:val="auto"/>
        </w:rPr>
        <w:t>Sales were $247.0 million for the three months ended September 29, 2024, an increase of $10.5 million, or 4%, from sales of $236.5 million in the same period a year ago. Increased sales in our Water Treatment segment more than ofset sales sofness in our Industrial and Health and Nutriton segments.</w:t>
      </w:r>
    </w:p>
    <w:p>
      <w:pPr>
        <w:spacing w:after="0" w:line="229" w:lineRule="exact"/>
        <w:rPr>
          <w:sz w:val="20"/>
          <w:szCs w:val="20"/>
          <w:color w:val="auto"/>
        </w:rPr>
      </w:pPr>
    </w:p>
    <w:p>
      <w:pPr>
        <w:ind w:right="100"/>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Water Treatment segment sales increased $23.6 million, or 23%, to $124.5 million for the three months ended September 29,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from sales of $100.9 million in the same period a year ago. Sales of bulk commodity products in the Water Treatment segment were approximately 8% of sales dollars for both the three months ended September 29, 2024 and in the same period a year ago. Sales increased as a result of added sales from acquired businesses.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decreased $8.6 million or 9%, to $89.9 million for the three months ended September 29, 2024, from sales of</w:t>
      </w:r>
    </w:p>
    <w:p>
      <w:pPr>
        <w:spacing w:after="0" w:line="1" w:lineRule="exact"/>
        <w:rPr>
          <w:sz w:val="20"/>
          <w:szCs w:val="20"/>
          <w:color w:val="auto"/>
        </w:rPr>
      </w:pPr>
    </w:p>
    <w:p>
      <w:pPr>
        <w:ind w:right="80"/>
        <w:spacing w:after="0" w:line="225" w:lineRule="auto"/>
        <w:rPr>
          <w:sz w:val="20"/>
          <w:szCs w:val="20"/>
          <w:color w:val="auto"/>
        </w:rPr>
      </w:pPr>
      <w:r>
        <w:rPr>
          <w:rFonts w:ascii="Calibri" w:cs="Calibri" w:eastAsia="Calibri" w:hAnsi="Calibri"/>
          <w:sz w:val="18"/>
          <w:szCs w:val="18"/>
          <w:color w:val="auto"/>
        </w:rPr>
        <w:t>$98.5 million in the same period a year ago. Sales of bulk commodity products in the Industrial segment were approximately 15% of sales dollars in the three months ended September 29, 2024 and 13% in the same period a year ago. Although overall volumes increased slightly year over year, sales decreased as a result of lower selling prices on certain products, driven by lower raw material costs and compettve pricing actons.</w:t>
      </w:r>
    </w:p>
    <w:p>
      <w:pPr>
        <w:spacing w:after="0" w:line="246" w:lineRule="exact"/>
        <w:rPr>
          <w:sz w:val="20"/>
          <w:szCs w:val="20"/>
          <w:color w:val="auto"/>
        </w:rPr>
      </w:pPr>
    </w:p>
    <w:p>
      <w:pPr>
        <w:jc w:val="both"/>
        <w:ind w:right="60"/>
        <w:spacing w:after="0" w:line="225" w:lineRule="auto"/>
        <w:rPr>
          <w:sz w:val="20"/>
          <w:szCs w:val="20"/>
          <w:color w:val="auto"/>
        </w:rPr>
      </w:pPr>
      <w:r>
        <w:rPr>
          <w:rFonts w:ascii="Calibri" w:cs="Calibri" w:eastAsia="Calibri" w:hAnsi="Calibri"/>
          <w:sz w:val="18"/>
          <w:szCs w:val="18"/>
          <w:i w:val="1"/>
          <w:iCs w:val="1"/>
          <w:color w:val="auto"/>
        </w:rPr>
        <w:t xml:space="preserve">Health &amp; Nutriton Segment. </w:t>
      </w:r>
      <w:r>
        <w:rPr>
          <w:rFonts w:ascii="Calibri" w:cs="Calibri" w:eastAsia="Calibri" w:hAnsi="Calibri"/>
          <w:sz w:val="18"/>
          <w:szCs w:val="18"/>
          <w:color w:val="auto"/>
        </w:rPr>
        <w:t>Health and Nutriton segment sales decreased $4.5 million, or 12%, to $32.6 million for the three months ended September 29,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from sales of $37.1 million in the same period a year ago. Sales decreased due to lower sales of our manufactured products driven by reduced volumes and selling prices due to decreased demand for certain of our products.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163"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color w:val="auto"/>
        </w:rPr>
        <w:t>Gross proft increased $6.3 million, or 12%, to $60.2 million, or 24% of sales, for the three months ended September 29, 2024, from $53.9 million, or 23% of sales, in the same period a year ago. During the three months ended September 29, 2024, the</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LIFO reserve was unchanged, having no impact on gross proft. In the same quarter a year ago, the LIFO reserve decreased, and gross proft increased, by $3.2 million.</w:t>
      </w:r>
    </w:p>
    <w:p>
      <w:pPr>
        <w:spacing w:after="0" w:line="245" w:lineRule="exact"/>
        <w:rPr>
          <w:sz w:val="20"/>
          <w:szCs w:val="20"/>
          <w:color w:val="auto"/>
        </w:rPr>
      </w:pPr>
    </w:p>
    <w:p>
      <w:pPr>
        <w:ind w:right="100"/>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$6.3 million, or 22%, to $35.6 million, or 29% of sales, for the three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September 29, 2024, from $29.3 million, or 29% of sales, in the same period a year ago. During the three months ended September 29, 2024, the LIFO reserve was unchanged, having no impact on gross proft. In the same quarter a year ago, the LIFO reserve decreased, and gross proft increased, by $0.6 million. Gross proft increased as a result of increased sales from our acquired businesses.</w:t>
      </w:r>
    </w:p>
    <w:p>
      <w:pPr>
        <w:spacing w:after="0" w:line="232" w:lineRule="exact"/>
        <w:rPr>
          <w:sz w:val="20"/>
          <w:szCs w:val="20"/>
          <w:color w:val="auto"/>
        </w:rPr>
      </w:pPr>
    </w:p>
    <w:p>
      <w:pPr>
        <w:ind w:right="380"/>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increased $0.5 million, or 3%, to $18.3 million, or 20% of sales, for the three months 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September 29, 2024, from $17.8 million, or 18% of sales, in the same period a year ago. During the three months ended September 29, 2024, the LIFO reserve was unchanged, having no impact on gross proft. In the same quarter a year ago, the LIFO reserve decreased, and gross proft increased, by $2.6 million. Gross proft increased as a result of increased volumes of certain products and product mix changes.</w:t>
      </w:r>
    </w:p>
    <w:p>
      <w:pPr>
        <w:spacing w:after="0" w:line="232" w:lineRule="exact"/>
        <w:rPr>
          <w:sz w:val="20"/>
          <w:szCs w:val="20"/>
          <w:color w:val="auto"/>
        </w:rPr>
      </w:pPr>
    </w:p>
    <w:p>
      <w:pPr>
        <w:ind w:right="100"/>
        <w:spacing w:after="0" w:line="230" w:lineRule="auto"/>
        <w:rPr>
          <w:sz w:val="20"/>
          <w:szCs w:val="20"/>
          <w:color w:val="auto"/>
        </w:rPr>
      </w:pPr>
      <w:r>
        <w:rPr>
          <w:rFonts w:ascii="Calibri" w:cs="Calibri" w:eastAsia="Calibri" w:hAnsi="Calibri"/>
          <w:sz w:val="18"/>
          <w:szCs w:val="18"/>
          <w:i w:val="1"/>
          <w:iCs w:val="1"/>
          <w:color w:val="auto"/>
        </w:rPr>
        <w:t>Health and Nutriton Segment</w:t>
      </w:r>
      <w:r>
        <w:rPr>
          <w:rFonts w:ascii="Calibri" w:cs="Calibri" w:eastAsia="Calibri" w:hAnsi="Calibri"/>
          <w:sz w:val="18"/>
          <w:szCs w:val="18"/>
          <w:color w:val="auto"/>
        </w:rPr>
        <w:t>. Gross proft for our Health and Nutriton segment decreased $0.3 million, or 4%, to $6.4 million, or 20% of sales, for the three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September 29, 2024, from $6.7 million, or 18% of sales, in the same period a year ago. Gross proft decreased as a result of the decrease in sales.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163" w:lineRule="exact"/>
        <w:rPr>
          <w:sz w:val="20"/>
          <w:szCs w:val="20"/>
          <w:color w:val="auto"/>
        </w:rPr>
      </w:pPr>
    </w:p>
    <w:p>
      <w:pPr>
        <w:ind w:right="160"/>
        <w:spacing w:after="0" w:line="252" w:lineRule="auto"/>
        <w:rPr>
          <w:sz w:val="20"/>
          <w:szCs w:val="20"/>
          <w:color w:val="auto"/>
        </w:rPr>
      </w:pPr>
      <w:r>
        <w:rPr>
          <w:rFonts w:ascii="Calibri" w:cs="Calibri" w:eastAsia="Calibri" w:hAnsi="Calibri"/>
          <w:sz w:val="17"/>
          <w:szCs w:val="17"/>
          <w:color w:val="auto"/>
        </w:rPr>
        <w:t>Selling, general and administratve (“SG&amp;A”) expenses increased $5.6 million, or 27%, to $26.5 million, or 11% of sales, for the three months ended September 29, 2024, from $20.9 million, or 9% of sales, in the same period a year ago. Expenses increased primarily due to $3.8 million in added costs from the acquired businesses in our Water Treatment segment, including amortzaton of intangibles of $1.5 million. In additon, a year-over-year increase of $1.0 million in compensaton expense related to our non-qualifed deferred compensaton plan increased SG&amp;A expenses, with the ofset in other income.</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16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Operatng income increased $0.7 million, or 2%, to $33.7 million, or 14% of sales, for the three months ended September 29, 2024, from $33.0 million, or 14% of sales, in the same period a year ago due to the combined impact of the factors discussed above.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163"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Interest expense was $1.4 million for the three months ended September 29, 2024 and $0.7 million the same period a year ago. Interest expense increased due to an increase in outstanding borrowings in the current year as compared to a year ago as well as a slightly higher interest rate.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 (Expense)</w:t>
      </w:r>
    </w:p>
    <w:p>
      <w:pPr>
        <w:sectPr>
          <w:pgSz w:w="11900" w:h="16838" w:orient="portrait"/>
          <w:cols w:equalWidth="0" w:num="1">
            <w:col w:w="11240"/>
          </w:cols>
          <w:pgMar w:left="320" w:top="342" w:right="339" w:bottom="0" w:gutter="0" w:footer="0" w:header="0"/>
        </w:sectPr>
      </w:pPr>
    </w:p>
    <w:bookmarkStart w:id="17" w:name="page18"/>
    <w:bookmarkEnd w:id="17"/>
    <w:p>
      <w:pPr>
        <w:ind w:right="280"/>
        <w:spacing w:after="0" w:line="228" w:lineRule="auto"/>
        <w:rPr>
          <w:sz w:val="20"/>
          <w:szCs w:val="20"/>
          <w:color w:val="auto"/>
        </w:rPr>
      </w:pPr>
      <w:r>
        <w:rPr>
          <w:rFonts w:ascii="Calibri" w:cs="Calibri" w:eastAsia="Calibri" w:hAnsi="Calibri"/>
          <w:sz w:val="18"/>
          <w:szCs w:val="18"/>
          <w:color w:val="auto"/>
        </w:rPr>
        <w:t>Other income was $0.7 million for the three months ended September 29, 2024 compared to expense of $0.3 million in the same period a year ago. The current year income represents gains recorded on investments held for our non-qualifed deferred compensaton plan, while the prior year expense represented losses recorded on those investments. The amounts recorded as a gain were ofset by similar amounts recorded as an increase or decrease to compensaton expense within SG&amp;A expenses.</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Income Tax Provision</w:t>
      </w:r>
    </w:p>
    <w:p>
      <w:pPr>
        <w:spacing w:after="0" w:line="16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Our efectve income tax rate was 27% for both the three months ended September 29, 2024 and the three months ended October 1, 2023. The efectve tax rate is impacted by projected levels of annual taxable income, permanent items, and state taxes. Our efectve tax rate for the full year is expected to be approximately 26-27%.</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Six Months Ended September 29, 2024 Compared to Six Months Ended October 1, 2023</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Sales</w:t>
      </w:r>
    </w:p>
    <w:p>
      <w:pPr>
        <w:spacing w:after="0" w:line="16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Sales were $502.9 million for the six months ended September 29, 2024, an increase of $15.3 million, or 3%, from sales of $487.6 million in the same period a year ago. Increased sales in our Water Treatment segment more than ofset sales sofness in our Industrial and Health and Nutriton segments.</w:t>
      </w:r>
    </w:p>
    <w:p>
      <w:pPr>
        <w:spacing w:after="0" w:line="245" w:lineRule="exact"/>
        <w:rPr>
          <w:sz w:val="20"/>
          <w:szCs w:val="20"/>
          <w:color w:val="auto"/>
        </w:rPr>
      </w:pPr>
    </w:p>
    <w:p>
      <w:pPr>
        <w:ind w:right="100"/>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Water Treatment segment sales increased $47.1 million, or 24%, to $241.7 million for the six months ended September 29, 2024,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from sales of $194.6 million in the same period a year ago. Sales of bulk commodity products in the Water Treatment segment were approximately 9% of sales dollars in the six months ended September 29, 2024 and 8% in the same period a year ago. Sales increased as a result of added sales from acquired businesses.</w:t>
      </w:r>
    </w:p>
    <w:p>
      <w:pPr>
        <w:spacing w:after="0" w:line="245" w:lineRule="exact"/>
        <w:rPr>
          <w:sz w:val="20"/>
          <w:szCs w:val="20"/>
          <w:color w:val="auto"/>
        </w:rPr>
      </w:pPr>
    </w:p>
    <w:p>
      <w:pPr>
        <w:ind w:right="100"/>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Industrial segment sales decreased $26.3 million or 12%, to $193.1 million for the six months ended September 29, 2024, from sales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$219.4 million in the same period a year ago. Sales of bulk commodity products in the Industrial segment were approximately 14% of sales dollars in the six months ended September 29, 2024 and 13% in the same period of the prior year. Although overall volumes increased slightly year over year, sales decreased as a result of lower selling prices on certain of our products, driven by lower raw material costs and compettve pricing pressures.</w:t>
      </w:r>
    </w:p>
    <w:p>
      <w:pPr>
        <w:spacing w:after="0" w:line="232" w:lineRule="exact"/>
        <w:rPr>
          <w:sz w:val="20"/>
          <w:szCs w:val="20"/>
          <w:color w:val="auto"/>
        </w:rPr>
      </w:pPr>
    </w:p>
    <w:p>
      <w:pPr>
        <w:ind w:right="20"/>
        <w:spacing w:after="0" w:line="230" w:lineRule="auto"/>
        <w:rPr>
          <w:sz w:val="20"/>
          <w:szCs w:val="20"/>
          <w:color w:val="auto"/>
        </w:rPr>
      </w:pPr>
      <w:r>
        <w:rPr>
          <w:rFonts w:ascii="Calibri" w:cs="Calibri" w:eastAsia="Calibri" w:hAnsi="Calibri"/>
          <w:sz w:val="18"/>
          <w:szCs w:val="18"/>
          <w:i w:val="1"/>
          <w:iCs w:val="1"/>
          <w:color w:val="auto"/>
        </w:rPr>
        <w:t xml:space="preserve">Health &amp; Nutriton Segment. </w:t>
      </w:r>
      <w:r>
        <w:rPr>
          <w:rFonts w:ascii="Calibri" w:cs="Calibri" w:eastAsia="Calibri" w:hAnsi="Calibri"/>
          <w:sz w:val="18"/>
          <w:szCs w:val="18"/>
          <w:color w:val="auto"/>
        </w:rPr>
        <w:t>Health and Nutriton segment sales decreased $5.6 million, or 8%, to $68.1 million for the six months ended September 29,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from sales of $73.7 million in the same period a year ago. Sales decreased due to lower sales of our manufactured products, driven by reduced volumes and selling prices due to decreased demand for certain of our products, ofset somewhat by increased sales of our distributed products.</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Gross Proft</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Gross proft increased $19.0 million, or 18%, to $124.9 million, or 25% of sales, for the six months ended September 29, 2024, from $105.9 million, or 22% of sales, in the same period a year ago. During the six months ended September 29, 2024, the LIFO reserve increased, and gross proft decreased, by $0.4 million due primarily to an increase in our forecasted year-end quanttes. In the same quarter a year ago, the LIFO reserve decreased, and gross proft increased, by $3.4 million.</w:t>
      </w:r>
    </w:p>
    <w:p>
      <w:pPr>
        <w:spacing w:after="0" w:line="246" w:lineRule="exact"/>
        <w:rPr>
          <w:sz w:val="20"/>
          <w:szCs w:val="20"/>
          <w:color w:val="auto"/>
        </w:rPr>
      </w:pPr>
    </w:p>
    <w:p>
      <w:pPr>
        <w:spacing w:after="0" w:line="228" w:lineRule="auto"/>
        <w:rPr>
          <w:sz w:val="20"/>
          <w:szCs w:val="20"/>
          <w:color w:val="auto"/>
        </w:rPr>
      </w:pPr>
      <w:r>
        <w:rPr>
          <w:rFonts w:ascii="Calibri" w:cs="Calibri" w:eastAsia="Calibri" w:hAnsi="Calibri"/>
          <w:sz w:val="18"/>
          <w:szCs w:val="18"/>
          <w:i w:val="1"/>
          <w:iCs w:val="1"/>
          <w:color w:val="auto"/>
        </w:rPr>
        <w:t xml:space="preserve">Water Treatment Segment. </w:t>
      </w:r>
      <w:r>
        <w:rPr>
          <w:rFonts w:ascii="Calibri" w:cs="Calibri" w:eastAsia="Calibri" w:hAnsi="Calibri"/>
          <w:sz w:val="18"/>
          <w:szCs w:val="18"/>
          <w:color w:val="auto"/>
        </w:rPr>
        <w:t>Gross proft for the Water Treatment segment increased $14.8 million, or 27%, to $70.5 million, or 29% of sales, for the six months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ended September 29, 2024, from $55.7 million, or 29% of sales, in the same period a year ago. During the six months ended September 29, 2024, the LIFO reserve increased, and gross proft decreased, by $0.2 million. In the same quarter a year ago, the LIFO reserve decreased, and gross proft increased, by $0.5 million. Gross proft increased primarily as a result of increased sales from our acquired businesses.</w:t>
      </w:r>
    </w:p>
    <w:p>
      <w:pPr>
        <w:spacing w:after="0" w:line="232" w:lineRule="exact"/>
        <w:rPr>
          <w:sz w:val="20"/>
          <w:szCs w:val="20"/>
          <w:color w:val="auto"/>
        </w:rPr>
      </w:pPr>
    </w:p>
    <w:p>
      <w:pPr>
        <w:spacing w:after="0" w:line="228" w:lineRule="auto"/>
        <w:rPr>
          <w:sz w:val="20"/>
          <w:szCs w:val="20"/>
          <w:color w:val="auto"/>
        </w:rPr>
      </w:pPr>
      <w:r>
        <w:rPr>
          <w:rFonts w:ascii="Calibri" w:cs="Calibri" w:eastAsia="Calibri" w:hAnsi="Calibri"/>
          <w:sz w:val="18"/>
          <w:szCs w:val="18"/>
          <w:i w:val="1"/>
          <w:iCs w:val="1"/>
          <w:color w:val="auto"/>
        </w:rPr>
        <w:t xml:space="preserve">Industrial Segment. </w:t>
      </w:r>
      <w:r>
        <w:rPr>
          <w:rFonts w:ascii="Calibri" w:cs="Calibri" w:eastAsia="Calibri" w:hAnsi="Calibri"/>
          <w:sz w:val="18"/>
          <w:szCs w:val="18"/>
          <w:color w:val="auto"/>
        </w:rPr>
        <w:t>Gross proft for the Industrial segment increased $2.9 million, or 8% to $40.1 million, or 21% of sales, for the six months ended September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29, 2024, and $37.2 million, or 17% of sales, in the same period a year ago. During the six months ended September 29, 2024, the LIFO reserve increased, and gross proft decreased, by $0.2 million. In the same quarter a year ago, the LIFO reserve decreased, and gross proft increased, by $3.0 million. Gross proft increased as a result of increased volumes of certain products and product mix changes.</w:t>
      </w:r>
    </w:p>
    <w:p>
      <w:pPr>
        <w:spacing w:after="0" w:line="245" w:lineRule="exact"/>
        <w:rPr>
          <w:sz w:val="20"/>
          <w:szCs w:val="20"/>
          <w:color w:val="auto"/>
        </w:rPr>
      </w:pPr>
    </w:p>
    <w:p>
      <w:pPr>
        <w:ind w:right="260"/>
        <w:spacing w:after="0" w:line="225" w:lineRule="auto"/>
        <w:rPr>
          <w:sz w:val="20"/>
          <w:szCs w:val="20"/>
          <w:color w:val="auto"/>
        </w:rPr>
      </w:pPr>
      <w:r>
        <w:rPr>
          <w:rFonts w:ascii="Calibri" w:cs="Calibri" w:eastAsia="Calibri" w:hAnsi="Calibri"/>
          <w:sz w:val="18"/>
          <w:szCs w:val="18"/>
          <w:i w:val="1"/>
          <w:iCs w:val="1"/>
          <w:color w:val="auto"/>
        </w:rPr>
        <w:t>Health and Nutriton Segment</w:t>
      </w:r>
      <w:r>
        <w:rPr>
          <w:rFonts w:ascii="Calibri" w:cs="Calibri" w:eastAsia="Calibri" w:hAnsi="Calibri"/>
          <w:sz w:val="18"/>
          <w:szCs w:val="18"/>
          <w:color w:val="auto"/>
        </w:rPr>
        <w:t>. Gross proft for our Health and Nutriton segment increased $1.2 million, or 9%, to $14.2 million, or 21% of sales, for the six</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months ended September 29, 2024, from $13.0 million, or 18% of sales, in the same period a year ago. Gross proft increased as a result of product mix changes.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Selling, General and Administratve Expenses</w:t>
      </w:r>
    </w:p>
    <w:p>
      <w:pPr>
        <w:spacing w:after="0" w:line="163" w:lineRule="exact"/>
        <w:rPr>
          <w:sz w:val="20"/>
          <w:szCs w:val="20"/>
          <w:color w:val="auto"/>
        </w:rPr>
      </w:pPr>
    </w:p>
    <w:p>
      <w:pPr>
        <w:ind w:right="60"/>
        <w:spacing w:after="0" w:line="251" w:lineRule="auto"/>
        <w:rPr>
          <w:sz w:val="20"/>
          <w:szCs w:val="20"/>
          <w:color w:val="auto"/>
        </w:rPr>
      </w:pPr>
      <w:r>
        <w:rPr>
          <w:rFonts w:ascii="Calibri" w:cs="Calibri" w:eastAsia="Calibri" w:hAnsi="Calibri"/>
          <w:sz w:val="17"/>
          <w:szCs w:val="17"/>
          <w:color w:val="auto"/>
        </w:rPr>
        <w:t>Selling, general and administratve (“SG&amp;A”) expenses increased $10.9 million, or 27%, to $51.3 million, or 10% of sales, for the six months ended September 29, 2024, from $40.4 million, or 8% of sales, in the same period a year ago. Expenses increased primarily due to the $7.2 million in added costs from the acquired businesses in our Water treatment segment, including amortzaton of intangibles of $2.7 million. In additon, a year-over-year increase of $0.8 million in compensaton expense related to our non-qualifed deferred compensaton plan increased SG&amp;A expenses, with the ofset in Other Income. Variable pay increased $0.7 million driven by our increased stock price. Wages and other variable expenses increased primarily as a result of business growth.</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Operatng Income</w:t>
      </w:r>
    </w:p>
    <w:p>
      <w:pPr>
        <w:spacing w:after="0" w:line="16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Operatng income increased $8.0 million, or 12%, to $73.5 million, or 15% of sales, for the six months ended September 29, 2024, from $65.5 million, or 13% of sales, in the same period a year ago due to the combined impact of the factors discussed above.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Net</w:t>
      </w:r>
    </w:p>
    <w:p>
      <w:pPr>
        <w:spacing w:after="0" w:line="16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Interest expense was $2.7 million for the six months ended September 29, 2024 and $1.9 million the same period a year ago. Interest expense increased due to an increase in outstanding borrowings in the current year as compared to a year ago as well as a higher interest rate.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 (Expense)</w:t>
      </w:r>
    </w:p>
    <w:p>
      <w:pPr>
        <w:spacing w:after="0" w:line="150" w:lineRule="exact"/>
        <w:rPr>
          <w:sz w:val="20"/>
          <w:szCs w:val="20"/>
          <w:color w:val="auto"/>
        </w:rPr>
      </w:pPr>
    </w:p>
    <w:p>
      <w:pPr>
        <w:ind w:right="60"/>
        <w:spacing w:after="0" w:line="230" w:lineRule="auto"/>
        <w:rPr>
          <w:sz w:val="20"/>
          <w:szCs w:val="20"/>
          <w:color w:val="auto"/>
        </w:rPr>
      </w:pPr>
      <w:r>
        <w:rPr>
          <w:rFonts w:ascii="Calibri" w:cs="Calibri" w:eastAsia="Calibri" w:hAnsi="Calibri"/>
          <w:sz w:val="18"/>
          <w:szCs w:val="18"/>
          <w:color w:val="auto"/>
        </w:rPr>
        <w:t>Other income was $0.7 million for the six months ended September 29, 2024 compared to a nominal amount in the same period a year ago. The current year income represents gains recorded on investments held for our non-qualifed deferred compensaton plan. The amounts recorded as a gain were ofset by similar amounts recorded as an increase to compensaton expense within SG&amp;A expenses.</w:t>
      </w:r>
    </w:p>
    <w:p>
      <w:pPr>
        <w:sectPr>
          <w:pgSz w:w="11900" w:h="16838" w:orient="portrait"/>
          <w:cols w:equalWidth="0" w:num="1">
            <w:col w:w="11240"/>
          </w:cols>
          <w:pgMar w:left="320" w:top="117" w:right="339" w:bottom="0" w:gutter="0" w:footer="0" w:header="0"/>
        </w:sectPr>
      </w:pPr>
    </w:p>
    <w:bookmarkStart w:id="18" w:name="page19"/>
    <w:bookmarkEnd w:id="18"/>
    <w:p>
      <w:pPr>
        <w:spacing w:after="0"/>
        <w:rPr>
          <w:sz w:val="20"/>
          <w:szCs w:val="20"/>
          <w:color w:val="auto"/>
        </w:rPr>
      </w:pPr>
      <w:r>
        <w:rPr>
          <w:rFonts w:ascii="Calibri" w:cs="Calibri" w:eastAsia="Calibri" w:hAnsi="Calibri"/>
          <w:sz w:val="18"/>
          <w:szCs w:val="18"/>
          <w:i w:val="1"/>
          <w:iCs w:val="1"/>
          <w:color w:val="auto"/>
        </w:rPr>
        <w:t>Income Tax Provision</w:t>
      </w:r>
    </w:p>
    <w:p>
      <w:pPr>
        <w:spacing w:after="0" w:line="163"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7"/>
          <w:szCs w:val="17"/>
          <w:color w:val="auto"/>
        </w:rPr>
        <w:t>Our efectve income tax rate was 26% for the six months ended September 29, 2024 and 27% the six months ended October 1, 2023. The efectve tax rate in the frst six months of the current year was impacted by favorable tax provision adjustments recorded. The efectve tax rate is impacted by projected levels of annual taxable income, permanent items, and state taxes. Our efectve tax rate for the full year is currently expected to be approximately 26-27%.</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Cash was $7.5 million at September 29, 2024, an increase of $0.3 million as compared with the $7.2 million available as of March 31, 2024.</w:t>
      </w:r>
    </w:p>
    <w:p>
      <w:pPr>
        <w:spacing w:after="0" w:line="24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Cash provided by operatng actvites was $59.2 million for the six months ended September 29, 2024, compared to cash provided by operatng actvites of $92.6 million in the same period a year ago. The year-over-year decrease in cash provided by operatng actvites in the frst six months of the current year was primarily driven by unfavorable year-over-year changes in inventory and accounts payable, slightly ofset by increased net income compared to the same period a year ago. Due to the nature of our operatons, which includes purchases of large quanttes of bulk chemicals, the tming of purchases can result in signifcant changes in working capital investment and the resultng operatng cash fow.</w:t>
      </w:r>
    </w:p>
    <w:p>
      <w:pPr>
        <w:spacing w:after="0" w:line="24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Cash used in investng actvites was $46.3 million for the six months ended September 29, 2024, compared to $19.9 million in the same period a year ago. In the frst six months of the current year, we incurred acquisiton spending of $25.4 million, with the acquisitons of Intercoastal for $22.0 million and Woford for $3.4 million. Capital expenditures were $21.3 million for the six months ended September 29, 2024, compared to $16.9 million in the same period a year ago. In the frst six months of fscal 2025, we purchased a building in Texas for $2.5 million and had more investments in equipment and containers, resultng in an increase in overall capital expenditures compared to the prior year. In the prior year, we invested $5.1 million to complete an expansion of one of our Minnesota manufacturing facilites.</w:t>
      </w:r>
    </w:p>
    <w:p>
      <w:pPr>
        <w:spacing w:after="0" w:line="248"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Cash used in by fnancing actvites was $12.5 million for the six months ended September 29, 2024, compared to $69.3 million of cash used in fnancing actvites in the same period a year ago. Included in fnancing actvites in the frst six months of the current year were net debt proceeds of $5.0 million, compared to net debt payments of $52.0 million in the frst six months of the prior year. In additon, we repurchased $9.1 million of our common stock in the frst six months of the current year, compared to $9.8 million in the same period of the prior year.</w:t>
      </w:r>
    </w:p>
    <w:p>
      <w:pPr>
        <w:spacing w:after="0" w:line="246"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We expect our cash balances and funds available under our credit facility, discussed below, along with cash fows generated from operatons, will be sufcient to fund the cash requirements of our ongoing operatons for the foreseeable future.</w:t>
      </w:r>
    </w:p>
    <w:p>
      <w:pPr>
        <w:spacing w:after="0" w:line="245"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shares. The shares may be purchased on the open market or in privately negotated transactons subject to applicable securites laws and regulatons. The primary objectve of the share repurchase program is to ofset the impact of diluton from issuances relatng to employee and director equity grants and our employee stock purchase program. During the six months ended September 29, 2024, we repurchased 105,541 shares of common stock with an aggregate purchase price of $9.1 million. During the six months ended October 1, 2023,we repurchased 167,796 shares of common stock with an aggregate purchase price of $9.8 million. As of September 29, 2024, 831,946 shares remained available to be repurchased under the share repurchase program.</w:t>
      </w:r>
    </w:p>
    <w:p>
      <w:pPr>
        <w:spacing w:after="0" w:line="24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a second amended and restated credit agreement (the “Credit Agreement”) with U.S. Bank Natonal Associaton (“U.S. Bank”) as Sole Lead Arranger and Sole Book Runner, and other lenders from tme to tme party thereto (collectvely, the “Lenders”), whereby U.S. Bank is also serving as Administratve Agent. The Credit Agreement refnanced the revolving loan under our previous credit agreement with U.S. Bank and provides us with senior secured revolving credit facilites (the “Revolving Loan Facility”) totaling $250 million. The Revolving Loan Facility includes a $10 million leter of credit subfacility and $25 million swingline subfacility. The Revolving Loan Facility has a fve-year maturity date, maturing on April 30, 2027. The Revolving Loan Facility is secured by substantally all of our personal property assets and those of our subsidiaries. We may use the amount available under the Revolving Loan Facility for working capital, capital expenditures,</w:t>
      </w:r>
    </w:p>
    <w:p>
      <w:pPr>
        <w:spacing w:after="0" w:line="1" w:lineRule="exact"/>
        <w:rPr>
          <w:sz w:val="20"/>
          <w:szCs w:val="20"/>
          <w:color w:val="auto"/>
        </w:rPr>
      </w:pPr>
    </w:p>
    <w:p>
      <w:pPr>
        <w:spacing w:after="0"/>
        <w:rPr>
          <w:sz w:val="20"/>
          <w:szCs w:val="20"/>
          <w:color w:val="auto"/>
        </w:rPr>
      </w:pPr>
      <w:r>
        <w:rPr>
          <w:rFonts w:ascii="Calibri" w:cs="Calibri" w:eastAsia="Calibri" w:hAnsi="Calibri"/>
          <w:sz w:val="18"/>
          <w:szCs w:val="18"/>
          <w:color w:val="auto"/>
        </w:rPr>
        <w:t>share repurchases, restricted payments and acquisitons permited under the Credit Agreement, and other general corporate purposes.</w:t>
      </w:r>
    </w:p>
    <w:p>
      <w:pPr>
        <w:spacing w:after="0" w:line="244"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Borrowings under the Revolving Loan Facility bear interest at a rate per annum equal to one of the following, plus, in both cases, an applicable margin based upon our leverage rato: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Efectve Rate plus 0.5%, or (3) one-month Term SOFR for U.S. dollars plus 1.0%. The Term SOFR margin is between 0.85% and 1.35%, depending on our leverage rato. The base rate margin is between 0.00% and 0.35%, depending on our leverage rato. At September 29, 2024, the efectve interest rate on our borrowings was 4.5%.</w:t>
      </w:r>
    </w:p>
    <w:p>
      <w:pPr>
        <w:spacing w:after="0" w:line="2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paying interest on the outstanding principal under the Revolving Loan Facility, we are required to pay a commitment fee on the unutlized commitments thereunder. The commitment fee is between 0.15% and 0.25%, depending on our leverage rato.</w:t>
      </w:r>
    </w:p>
    <w:p>
      <w:pPr>
        <w:spacing w:after="0" w:line="245"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color w:val="auto"/>
        </w:rPr>
        <w:t>Debt issuance costs paid to the Lenders are being amortzed as interest expense over the term of the Credit Agreement. As of September 29, 2024, the unamortzed balance of these costs was $0.2 million, and is refected as a reducton of debt on our balance sheet.</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us to maintain (a) a minimum fxed charge coverage rato of 1.15 to 1.00 and (b) a maximum total cash fow leverage rato of 3.0 to 1.0. The Credit Agreement also contains other customary afrmatve and negatve covenants, including covenants that restrict our ability to incur additonal indebtedness, dispose of signifcant assets, make certain investments, including any acquisitons other than permited acquisitons, make certain payments, enter into sale and leaseback transactons, grant liens on our assets or enter into rate management transactons, subject to certain limitatons. We are permited to make distributons, pay dividends and repurchase shares so long as no default or event of default exists or would exist as a result thereof. We were in compliance with all covenants of the Credit Agreement as of September 29, 2024 and expect to remain in compliance with all covenants for the next 12 months.</w:t>
      </w:r>
    </w:p>
    <w:p>
      <w:pPr>
        <w:spacing w:after="0" w:line="24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46"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color w:val="auto"/>
        </w:rPr>
        <w:t>We have in place an interest rate swap agreement to manage the risk associated with a porton of our variable-rate long-term debt. We do not utlize derivatve instruments for speculatve purposes. The interest rate swap involves the exchange of fxed-rate and variable-rate payments without the exchange</w:t>
      </w:r>
    </w:p>
    <w:p>
      <w:pPr>
        <w:sectPr>
          <w:pgSz w:w="11900" w:h="16838" w:orient="portrait"/>
          <w:cols w:equalWidth="0" w:num="1">
            <w:col w:w="11240"/>
          </w:cols>
          <w:pgMar w:left="320" w:top="112" w:right="339" w:bottom="0" w:gutter="0" w:footer="0" w:header="0"/>
        </w:sectPr>
      </w:pPr>
    </w:p>
    <w:bookmarkStart w:id="19" w:name="page20"/>
    <w:bookmarkEnd w:id="19"/>
    <w:p>
      <w:pPr>
        <w:ind w:right="440"/>
        <w:spacing w:after="0" w:line="235" w:lineRule="auto"/>
        <w:rPr>
          <w:sz w:val="20"/>
          <w:szCs w:val="20"/>
          <w:color w:val="auto"/>
        </w:rPr>
      </w:pPr>
      <w:r>
        <w:rPr>
          <w:rFonts w:ascii="Calibri" w:cs="Calibri" w:eastAsia="Calibri" w:hAnsi="Calibri"/>
          <w:sz w:val="18"/>
          <w:szCs w:val="18"/>
          <w:color w:val="auto"/>
        </w:rPr>
        <w:t>of the underlying notonal amount on which the interest payments are calculated. The notonal amount of the swap agreement is $60 million, and it will terminate on May 1, 2027.</w:t>
      </w:r>
    </w:p>
    <w:p>
      <w:pPr>
        <w:spacing w:after="0" w:line="24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our growth strategy, we have acquired businesses and may pursue acquisitons or other strategic relatonships in the future that we believe will complement or expand our existng businesses or increase our customer base. We believe we could borrow additonal funds under our current or new credit facilites or sell equity for strategic reasons or to further strengthen our fnancial positon.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Critcal Accountng Estmates</w:t>
      </w:r>
    </w:p>
    <w:p>
      <w:pPr>
        <w:spacing w:after="0" w:line="163" w:lineRule="exact"/>
        <w:rPr>
          <w:sz w:val="20"/>
          <w:szCs w:val="20"/>
          <w:color w:val="auto"/>
        </w:rPr>
      </w:pPr>
    </w:p>
    <w:p>
      <w:pPr>
        <w:ind w:right="300"/>
        <w:spacing w:after="0" w:line="235" w:lineRule="auto"/>
        <w:rPr>
          <w:rFonts w:ascii="Calibri" w:cs="Calibri" w:eastAsia="Calibri" w:hAnsi="Calibri"/>
          <w:sz w:val="18"/>
          <w:szCs w:val="18"/>
          <w:color w:val="0000FF"/>
        </w:rPr>
      </w:pPr>
      <w:hyperlink r:id="rId18">
        <w:r>
          <w:rPr>
            <w:rFonts w:ascii="Calibri" w:cs="Calibri" w:eastAsia="Calibri" w:hAnsi="Calibri"/>
            <w:sz w:val="18"/>
            <w:szCs w:val="18"/>
            <w:color w:val="auto"/>
          </w:rPr>
          <w:t xml:space="preserve">There were no material changes in our critcal accountng estmates since the fling of our </w:t>
        </w:r>
        <w:r>
          <w:rPr>
            <w:rFonts w:ascii="Calibri" w:cs="Calibri" w:eastAsia="Calibri" w:hAnsi="Calibri"/>
            <w:sz w:val="18"/>
            <w:szCs w:val="18"/>
            <w:u w:val="single" w:color="auto"/>
            <w:color w:val="0000FF"/>
          </w:rPr>
          <w:t>Annual Report on Form 10-K for the fscal year ended March 31,</w:t>
        </w:r>
      </w:hyperlink>
      <w:r>
        <w:rPr>
          <w:rFonts w:ascii="Calibri" w:cs="Calibri" w:eastAsia="Calibri" w:hAnsi="Calibri"/>
          <w:sz w:val="18"/>
          <w:szCs w:val="18"/>
          <w:color w:val="auto"/>
        </w:rPr>
        <w:t xml:space="preserve"> </w:t>
      </w:r>
      <w:hyperlink r:id="rId18">
        <w:r>
          <w:rPr>
            <w:rFonts w:ascii="Calibri" w:cs="Calibri" w:eastAsia="Calibri" w:hAnsi="Calibri"/>
            <w:sz w:val="18"/>
            <w:szCs w:val="18"/>
            <w:u w:val="single" w:color="auto"/>
            <w:color w:val="0000FF"/>
          </w:rPr>
          <w:t>2024</w:t>
        </w:r>
        <w:r>
          <w:rPr>
            <w:rFonts w:ascii="Calibri" w:cs="Calibri" w:eastAsia="Calibri" w:hAnsi="Calibri"/>
            <w:sz w:val="18"/>
            <w:szCs w:val="18"/>
            <w:color w:val="000000"/>
          </w:rPr>
          <w:t>.</w:t>
        </w:r>
      </w:hyperlink>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i w:val="1"/>
          <w:iCs w:val="1"/>
          <w:color w:val="auto"/>
        </w:rPr>
        <w:t>Forward-Looking Statements</w:t>
      </w:r>
    </w:p>
    <w:p>
      <w:pPr>
        <w:spacing w:after="0" w:line="109" w:lineRule="exact"/>
        <w:rPr>
          <w:sz w:val="20"/>
          <w:szCs w:val="20"/>
          <w:color w:val="auto"/>
        </w:rPr>
      </w:pPr>
    </w:p>
    <w:p>
      <w:pPr>
        <w:spacing w:after="0" w:line="235" w:lineRule="auto"/>
        <w:rPr>
          <w:rFonts w:ascii="Calibri" w:cs="Calibri" w:eastAsia="Calibri" w:hAnsi="Calibri"/>
          <w:sz w:val="18"/>
          <w:szCs w:val="18"/>
          <w:color w:val="0000FF"/>
        </w:rPr>
      </w:pPr>
      <w:r>
        <w:rPr>
          <w:rFonts w:ascii="Calibri" w:cs="Calibri" w:eastAsia="Calibri" w:hAnsi="Calibri"/>
          <w:sz w:val="18"/>
          <w:szCs w:val="18"/>
          <w:color w:val="auto"/>
        </w:rPr>
        <w:t xml:space="preserve">The informaton presented in this Quarterly Report on Form 10-Q contains forward-looking statements within the meaning of Secton 21E of the Securites Exchange Act of 1934, as amended (the “Exchange Act”). These forward-looking statements have been made pursuant to the provisions of the Private Securites Litgaton Reform Act of 1995. These statements are not historical facts, but rather are based on our current expectatons, estmates and projectons, and our beliefs and assumptons. Words such as “antcipate,” “believe,” “estmate,” “expect,” “intend,” “plan,” “will” and similar expressions to identfy forward-looking statements. These statements are not guarantees of future performance and are subject to certain risks, uncertaintes and other factors, some of which are beyond our control and are difcult to predict. These factors could cause actual results to difer materially from those expressed or forecasted in the forward-looking statements. Additonal informaton concerning potental factors that could afect future fnancial results is included in our </w:t>
      </w:r>
      <w:hyperlink r:id="rId18">
        <w:r>
          <w:rPr>
            <w:rFonts w:ascii="Calibri" w:cs="Calibri" w:eastAsia="Calibri" w:hAnsi="Calibri"/>
            <w:sz w:val="18"/>
            <w:szCs w:val="18"/>
            <w:u w:val="single" w:color="auto"/>
            <w:color w:val="0000FF"/>
          </w:rPr>
          <w:t>Annual Report on Form 10-K for the fscal year ended March 31, 2024</w:t>
        </w:r>
      </w:hyperlink>
      <w:r>
        <w:rPr>
          <w:rFonts w:ascii="Calibri" w:cs="Calibri" w:eastAsia="Calibri" w:hAnsi="Calibri"/>
          <w:sz w:val="18"/>
          <w:szCs w:val="18"/>
          <w:color w:val="000000"/>
        </w:rPr>
        <w:t>.</w:t>
      </w:r>
      <w:r>
        <w:rPr>
          <w:rFonts w:ascii="Calibri" w:cs="Calibri" w:eastAsia="Calibri" w:hAnsi="Calibri"/>
          <w:sz w:val="18"/>
          <w:szCs w:val="18"/>
          <w:color w:val="0000FF"/>
        </w:rPr>
        <w:t xml:space="preserve"> </w:t>
      </w:r>
      <w:r>
        <w:rPr>
          <w:rFonts w:ascii="Calibri" w:cs="Calibri" w:eastAsia="Calibri" w:hAnsi="Calibri"/>
          <w:sz w:val="18"/>
          <w:szCs w:val="18"/>
          <w:color w:val="000000"/>
        </w:rPr>
        <w:t>We cauton you not to place undue reliance on these forward-looking statements,</w:t>
      </w:r>
      <w:r>
        <w:rPr>
          <w:rFonts w:ascii="Calibri" w:cs="Calibri" w:eastAsia="Calibri" w:hAnsi="Calibri"/>
          <w:sz w:val="18"/>
          <w:szCs w:val="18"/>
          <w:color w:val="0000FF"/>
        </w:rPr>
        <w:t xml:space="preserve"> </w:t>
      </w:r>
      <w:r>
        <w:rPr>
          <w:rFonts w:ascii="Calibri" w:cs="Calibri" w:eastAsia="Calibri" w:hAnsi="Calibri"/>
          <w:sz w:val="18"/>
          <w:szCs w:val="18"/>
          <w:color w:val="000000"/>
        </w:rPr>
        <w:t>which refect our management’s view only as of the date of this Quarterly Report on Form 10-Q. We are not obligated to update these statements or publicly release the result of any revisions to them to refect events or circumstances afer the date of this Quarterly Report on Form 10-Q or to refect the occurrence of unantcipated events.</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21" w:name="page22"/>
    <w:bookmarkEnd w:id="21"/>
    <w:p>
      <w:pPr>
        <w:spacing w:after="0"/>
        <w:tabs>
          <w:tab w:leader="none" w:pos="840" w:val="left"/>
        </w:tabs>
        <w:rPr>
          <w:sz w:val="20"/>
          <w:szCs w:val="20"/>
          <w:color w:val="auto"/>
        </w:rPr>
      </w:pPr>
      <w:r>
        <w:rPr>
          <w:rFonts w:ascii="Calibri" w:cs="Calibri" w:eastAsia="Calibri" w:hAnsi="Calibri"/>
          <w:sz w:val="18"/>
          <w:szCs w:val="18"/>
          <w:color w:val="auto"/>
        </w:rPr>
        <w:t>ITEM 3.</w:t>
      </w:r>
      <w:r>
        <w:rPr>
          <w:sz w:val="20"/>
          <w:szCs w:val="20"/>
          <w:color w:val="auto"/>
        </w:rPr>
        <w:tab/>
      </w:r>
      <w:r>
        <w:rPr>
          <w:rFonts w:ascii="Calibri" w:cs="Calibri" w:eastAsia="Calibri" w:hAnsi="Calibri"/>
          <w:sz w:val="17"/>
          <w:szCs w:val="17"/>
          <w:color w:val="auto"/>
        </w:rPr>
        <w:t>QUANTITATIVE AND QUALITATIVE DISCLOSURES ABOUT MARKET RISK</w:t>
      </w:r>
    </w:p>
    <w:p>
      <w:pPr>
        <w:spacing w:after="0" w:line="16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We are subject to the risk inherent in the cyclical nature of commodity chemical prices. However, we do not currently purchase forward contracts or otherwise engage in hedging actvites with respect to the purchase of commodity chemicals. We atempt to pass changes in the cost of our materials to our customers. However, there are no assurances that we will be able to pass on the increases in the future.</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are exposed to market risks related to interest rates. Our exposure to changes in interest rates is primarily related to borrowings under our Revolving Loan Facility. We have in place an interest rate swap agreement to manage the risk associated with a porton of our variable-rate long-term debt. The interest rate swap involves the exchange of fxed-rate and variable-rate payments without the exchange of the underlying notonal amount on which the interest payments are calculated. The notonal amount of the swap agreement is $60.0 million, and it will terminate on May 1, 2027. As of September 29, 2024, a 25-basis point change in interest rates on our unhedged variable-rate debt would potentally increase or decrease our annual interest expense by approximately $0.1 million.</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color w:val="auto"/>
        </w:rPr>
        <w:t>Other types of market risk, such as foreign currency risk, do not arise in the normal course of our business actvites.</w:t>
      </w:r>
    </w:p>
    <w:p>
      <w:pPr>
        <w:spacing w:after="0" w:line="23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4.</w:t>
      </w:r>
      <w:r>
        <w:rPr>
          <w:sz w:val="20"/>
          <w:szCs w:val="20"/>
          <w:color w:val="auto"/>
        </w:rPr>
        <w:tab/>
      </w:r>
      <w:r>
        <w:rPr>
          <w:rFonts w:ascii="Calibri" w:cs="Calibri" w:eastAsia="Calibri" w:hAnsi="Calibri"/>
          <w:sz w:val="17"/>
          <w:szCs w:val="17"/>
          <w:color w:val="auto"/>
        </w:rPr>
        <w:t>CONTROLS AND PROCEDURES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8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As of the end of the period covered by this Quarterly Report on Form 10-Q, we conducted an evaluaton, under supervision and with the partcipaton of management, including the chief executve ofcer and chief fnancial ofcer, of the efectveness of the design and operaton of our disclosure controls and procedures pursuant to Rules 13a-15 and 15d-15 of the Exchange Act. Based upon that evaluaton, our chief executve ofcer and chief fnancial ofcer concluded that our disclosure controls and procedures were efectve as of September 29, 2024. Disclosure controls and procedures are defned by Rules 13a-15(e) and 15d-15(e) of the Exchange Act as controls and other procedures that are designed to ensure that informaton required to be disclosed by us in reports fled with the SEC under the Exchange Act is recorded, processed, summarized and reported within the tme periods specifed in the SEC’s rules and forms. Disclosure controls and procedures include, without limitaton, controls and procedures designed to ensure that informaton required to be disclosed by us in reports fled under the Exchange Act is accumulated and communicated to our management, including our principal executve and principal fnancial ofcers, or person performing similar functons, as appropriate to allow tmely decisions regarding required disclosure.</w:t>
      </w:r>
    </w:p>
    <w:p>
      <w:pPr>
        <w:spacing w:after="0" w:line="2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w:t>
      </w:r>
    </w:p>
    <w:p>
      <w:pPr>
        <w:spacing w:after="0" w:line="96"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color w:val="auto"/>
        </w:rPr>
        <w:t>There was no change in our internal control over fnancial reportng during the second quarter of fscal 2025 that has materially afected, or is reasonably likely to materially afect, our internal control over fnancial reportng.</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2" w:name="page23"/>
    <w:bookmarkEnd w:id="22"/>
    <w:p>
      <w:pPr>
        <w:jc w:val="center"/>
        <w:ind w:right="-79"/>
        <w:spacing w:after="0"/>
        <w:rPr>
          <w:sz w:val="20"/>
          <w:szCs w:val="20"/>
          <w:color w:val="auto"/>
        </w:rPr>
      </w:pPr>
      <w:r>
        <w:rPr>
          <w:rFonts w:ascii="Calibri" w:cs="Calibri" w:eastAsia="Calibri" w:hAnsi="Calibri"/>
          <w:sz w:val="18"/>
          <w:szCs w:val="18"/>
          <w:b w:val="1"/>
          <w:bCs w:val="1"/>
          <w:color w:val="auto"/>
        </w:rPr>
        <w:t>PART II. OTHER INFORMATION</w:t>
      </w:r>
    </w:p>
    <w:p>
      <w:pPr>
        <w:spacing w:after="0" w:line="185"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1.</w:t>
      </w:r>
      <w:r>
        <w:rPr>
          <w:sz w:val="20"/>
          <w:szCs w:val="20"/>
          <w:color w:val="auto"/>
        </w:rPr>
        <w:tab/>
      </w:r>
      <w:r>
        <w:rPr>
          <w:rFonts w:ascii="Calibri" w:cs="Calibri" w:eastAsia="Calibri" w:hAnsi="Calibri"/>
          <w:sz w:val="17"/>
          <w:szCs w:val="17"/>
          <w:color w:val="auto"/>
        </w:rPr>
        <w:t>LEGAL PROCEEDINGS</w:t>
      </w:r>
    </w:p>
    <w:p>
      <w:pPr>
        <w:spacing w:after="0" w:line="1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material pending legal proceedings, other than ordinary routne litgaton incidental to the business, to which we or any of our subsidiaries are a party or of which any of our property is the subject.</w:t>
      </w:r>
    </w:p>
    <w:p>
      <w:pPr>
        <w:spacing w:after="0" w:line="213" w:lineRule="exact"/>
        <w:rPr>
          <w:sz w:val="20"/>
          <w:szCs w:val="20"/>
          <w:color w:val="auto"/>
        </w:rPr>
      </w:pPr>
    </w:p>
    <w:p>
      <w:pPr>
        <w:spacing w:after="0"/>
        <w:tabs>
          <w:tab w:leader="none" w:pos="780" w:val="left"/>
        </w:tabs>
        <w:rPr>
          <w:sz w:val="20"/>
          <w:szCs w:val="20"/>
          <w:color w:val="auto"/>
        </w:rPr>
      </w:pPr>
      <w:r>
        <w:rPr>
          <w:rFonts w:ascii="Calibri" w:cs="Calibri" w:eastAsia="Calibri" w:hAnsi="Calibri"/>
          <w:sz w:val="18"/>
          <w:szCs w:val="18"/>
          <w:color w:val="auto"/>
        </w:rPr>
        <w:t>ITEM 1A.</w:t>
      </w:r>
      <w:r>
        <w:rPr>
          <w:sz w:val="20"/>
          <w:szCs w:val="20"/>
          <w:color w:val="auto"/>
        </w:rPr>
        <w:tab/>
      </w:r>
      <w:r>
        <w:rPr>
          <w:rFonts w:ascii="Calibri" w:cs="Calibri" w:eastAsia="Calibri" w:hAnsi="Calibri"/>
          <w:sz w:val="17"/>
          <w:szCs w:val="17"/>
          <w:color w:val="auto"/>
        </w:rPr>
        <w:t>RISK FACTORS</w:t>
      </w:r>
    </w:p>
    <w:p>
      <w:pPr>
        <w:spacing w:after="0" w:line="163" w:lineRule="exact"/>
        <w:rPr>
          <w:sz w:val="20"/>
          <w:szCs w:val="20"/>
          <w:color w:val="auto"/>
        </w:rPr>
      </w:pPr>
    </w:p>
    <w:p>
      <w:pPr>
        <w:spacing w:after="0"/>
        <w:rPr>
          <w:rFonts w:ascii="Calibri" w:cs="Calibri" w:eastAsia="Calibri" w:hAnsi="Calibri"/>
          <w:sz w:val="17"/>
          <w:szCs w:val="17"/>
          <w:color w:val="auto"/>
        </w:rPr>
      </w:pPr>
      <w:r>
        <w:rPr>
          <w:rFonts w:ascii="Calibri" w:cs="Calibri" w:eastAsia="Calibri" w:hAnsi="Calibri"/>
          <w:sz w:val="17"/>
          <w:szCs w:val="17"/>
          <w:color w:val="auto"/>
        </w:rPr>
        <w:t xml:space="preserve">There have been no material changes to our risk factors from those disclosed in our </w:t>
      </w:r>
      <w:hyperlink r:id="rId18">
        <w:r>
          <w:rPr>
            <w:rFonts w:ascii="Calibri" w:cs="Calibri" w:eastAsia="Calibri" w:hAnsi="Calibri"/>
            <w:sz w:val="17"/>
            <w:szCs w:val="17"/>
            <w:u w:val="single" w:color="auto"/>
            <w:color w:val="0000FF"/>
          </w:rPr>
          <w:t>Annual Report on Form 10-K for the fscal year ended March 31, 2024</w:t>
        </w:r>
      </w:hyperlink>
      <w:r>
        <w:rPr>
          <w:rFonts w:ascii="Calibri" w:cs="Calibri" w:eastAsia="Calibri" w:hAnsi="Calibri"/>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spacing w:after="0"/>
        <w:tabs>
          <w:tab w:leader="none" w:pos="840" w:val="left"/>
        </w:tabs>
        <w:rPr>
          <w:sz w:val="20"/>
          <w:szCs w:val="20"/>
          <w:color w:val="auto"/>
        </w:rPr>
      </w:pPr>
      <w:r>
        <w:rPr>
          <w:rFonts w:ascii="Calibri" w:cs="Calibri" w:eastAsia="Calibri" w:hAnsi="Calibri"/>
          <w:sz w:val="18"/>
          <w:szCs w:val="18"/>
          <w:color w:val="auto"/>
        </w:rPr>
        <w:t>ITEM 2.</w:t>
      </w:r>
      <w:r>
        <w:rPr>
          <w:sz w:val="20"/>
          <w:szCs w:val="20"/>
          <w:color w:val="auto"/>
        </w:rPr>
        <w:tab/>
      </w:r>
      <w:r>
        <w:rPr>
          <w:rFonts w:ascii="Calibri" w:cs="Calibri" w:eastAsia="Calibri" w:hAnsi="Calibri"/>
          <w:sz w:val="17"/>
          <w:szCs w:val="17"/>
          <w:color w:val="auto"/>
        </w:rPr>
        <w:t>UNREGISTERED SALES OF EQUITY SECURITIES AND USE OF PROCEEDS</w:t>
      </w:r>
    </w:p>
    <w:p>
      <w:pPr>
        <w:spacing w:after="0" w:line="244"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Our Board has authorized the repurchase of up to 2.6 million shares of our outstanding common stock, initally approved on May 29, 2014 and subsequently amended from tme to tme. The repurchase plan has no expiraton date. The shares may be purchased on the open market or in privately negotated transactons subject to applicable securites laws and regulatons. The following table sets forth informaton concerning purchases of our common stock for the three months ended September 29, 2024:</w:t>
      </w:r>
    </w:p>
    <w:p>
      <w:pPr>
        <w:spacing w:after="0" w:line="15"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rPr>
              <w:t>Total Number of Shares</w:t>
            </w: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Purchased as Part of a</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Maximum Number of Shares</w:t>
            </w: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8"/>
              </w:rPr>
              <w:t>Total 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Average Price Paid</w:t>
            </w:r>
          </w:p>
        </w:tc>
        <w:tc>
          <w:tcPr>
            <w:tcW w:w="1960" w:type="dxa"/>
            <w:vAlign w:val="bottom"/>
          </w:tcPr>
          <w:p>
            <w:pPr>
              <w:jc w:val="right"/>
              <w:spacing w:after="0" w:line="162" w:lineRule="exact"/>
              <w:rPr>
                <w:sz w:val="20"/>
                <w:szCs w:val="20"/>
                <w:color w:val="auto"/>
              </w:rPr>
            </w:pPr>
            <w:r>
              <w:rPr>
                <w:rFonts w:ascii="Calibri" w:cs="Calibri" w:eastAsia="Calibri" w:hAnsi="Calibri"/>
                <w:sz w:val="16"/>
                <w:szCs w:val="16"/>
                <w:b w:val="1"/>
                <w:bCs w:val="1"/>
                <w:color w:val="auto"/>
              </w:rPr>
              <w:t>Publicly Announced Plan or</w:t>
            </w:r>
          </w:p>
        </w:tc>
        <w:tc>
          <w:tcPr>
            <w:tcW w:w="100" w:type="dxa"/>
            <w:vAlign w:val="bottom"/>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9"/>
              </w:rPr>
              <w:t>that May Yet be Purchased</w:t>
            </w:r>
          </w:p>
        </w:tc>
      </w:tr>
      <w:tr>
        <w:trPr>
          <w:trHeight w:val="193"/>
        </w:trPr>
        <w:tc>
          <w:tcPr>
            <w:tcW w:w="258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Period</w:t>
            </w:r>
          </w:p>
        </w:tc>
        <w:tc>
          <w:tcPr>
            <w:tcW w:w="15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Shares Purchased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Per Share</w:t>
            </w:r>
          </w:p>
        </w:tc>
        <w:tc>
          <w:tcPr>
            <w:tcW w:w="19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Program</w:t>
            </w:r>
          </w:p>
        </w:tc>
        <w:tc>
          <w:tcPr>
            <w:tcW w:w="100" w:type="dxa"/>
            <w:vAlign w:val="bottom"/>
          </w:tcPr>
          <w:p>
            <w:pPr>
              <w:spacing w:after="0"/>
              <w:rPr>
                <w:sz w:val="16"/>
                <w:szCs w:val="16"/>
                <w:color w:val="auto"/>
              </w:rPr>
            </w:pPr>
          </w:p>
        </w:tc>
        <w:tc>
          <w:tcPr>
            <w:tcW w:w="21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under Plans or Programs</w:t>
            </w:r>
          </w:p>
        </w:tc>
      </w:tr>
      <w:tr>
        <w:trPr>
          <w:trHeight w:val="28"/>
        </w:trPr>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3"/>
        </w:trPr>
        <w:tc>
          <w:tcPr>
            <w:tcW w:w="2460" w:type="dxa"/>
            <w:vAlign w:val="bottom"/>
            <w:shd w:val="clear" w:color="auto" w:fill="CCEEFF"/>
          </w:tcPr>
          <w:p>
            <w:pPr>
              <w:ind w:left="20"/>
              <w:spacing w:after="0" w:line="215" w:lineRule="exact"/>
              <w:rPr>
                <w:sz w:val="20"/>
                <w:szCs w:val="20"/>
                <w:color w:val="auto"/>
              </w:rPr>
            </w:pPr>
            <w:r>
              <w:rPr>
                <w:rFonts w:ascii="Calibri" w:cs="Calibri" w:eastAsia="Calibri" w:hAnsi="Calibri"/>
                <w:sz w:val="18"/>
                <w:szCs w:val="18"/>
                <w:color w:val="auto"/>
              </w:rPr>
              <w:t>07/01/2024-07/28/2024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shd w:val="clear" w:color="auto" w:fill="CCEEFF"/>
          </w:tcPr>
          <w:p>
            <w:pPr>
              <w:ind w:left="118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831,946</w:t>
            </w:r>
          </w:p>
        </w:tc>
      </w:tr>
      <w:tr>
        <w:trPr>
          <w:trHeight w:val="222"/>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07/29/2024-08/25/2024</w:t>
            </w:r>
          </w:p>
        </w:tc>
        <w:tc>
          <w:tcPr>
            <w:tcW w:w="120" w:type="dxa"/>
            <w:vAlign w:val="bottom"/>
          </w:tcPr>
          <w:p>
            <w:pPr>
              <w:spacing w:after="0"/>
              <w:rPr>
                <w:sz w:val="19"/>
                <w:szCs w:val="19"/>
                <w:color w:val="auto"/>
              </w:rPr>
            </w:pPr>
          </w:p>
        </w:tc>
        <w:tc>
          <w:tcPr>
            <w:tcW w:w="1500" w:type="dxa"/>
            <w:vAlign w:val="bottom"/>
          </w:tcPr>
          <w:p>
            <w:pPr>
              <w:ind w:left="1260"/>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1180"/>
              <w:spacing w:after="0" w:line="215"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831,946</w:t>
            </w:r>
          </w:p>
        </w:tc>
      </w:tr>
      <w:tr>
        <w:trPr>
          <w:trHeight w:val="230"/>
        </w:trPr>
        <w:tc>
          <w:tcPr>
            <w:tcW w:w="2460" w:type="dxa"/>
            <w:vAlign w:val="bottom"/>
            <w:shd w:val="clear" w:color="auto" w:fill="CCEEFF"/>
          </w:tcPr>
          <w:p>
            <w:pPr>
              <w:ind w:left="20"/>
              <w:spacing w:after="0"/>
              <w:rPr>
                <w:sz w:val="20"/>
                <w:szCs w:val="20"/>
                <w:color w:val="auto"/>
              </w:rPr>
            </w:pPr>
            <w:r>
              <w:rPr>
                <w:rFonts w:ascii="Calibri" w:cs="Calibri" w:eastAsia="Calibri" w:hAnsi="Calibri"/>
                <w:sz w:val="18"/>
                <w:szCs w:val="18"/>
                <w:color w:val="auto"/>
              </w:rPr>
              <w:t>08/26/2024-09/29/2024</w:t>
            </w:r>
          </w:p>
        </w:tc>
        <w:tc>
          <w:tcPr>
            <w:tcW w:w="12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ind w:left="1260"/>
              <w:spacing w:after="0"/>
              <w:rPr>
                <w:sz w:val="20"/>
                <w:szCs w:val="20"/>
                <w:color w:val="auto"/>
              </w:rPr>
            </w:pPr>
            <w:r>
              <w:rPr>
                <w:rFonts w:ascii="Calibri" w:cs="Calibri" w:eastAsia="Calibri" w:hAnsi="Calibri"/>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180"/>
              <w:spacing w:after="0"/>
              <w:rPr>
                <w:sz w:val="20"/>
                <w:szCs w:val="20"/>
                <w:color w:val="auto"/>
              </w:rPr>
            </w:pPr>
            <w:r>
              <w:rPr>
                <w:rFonts w:ascii="Calibri" w:cs="Calibri" w:eastAsia="Calibri" w:hAnsi="Calibri"/>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Calibri" w:cs="Calibri" w:eastAsia="Calibri" w:hAnsi="Calibri"/>
                <w:sz w:val="18"/>
                <w:szCs w:val="18"/>
                <w:color w:val="auto"/>
              </w:rPr>
              <w:t>831,946</w:t>
            </w:r>
          </w:p>
        </w:tc>
      </w:tr>
    </w:tbl>
    <w:p>
      <w:pPr>
        <w:spacing w:after="0" w:line="1" w:lineRule="exact"/>
        <w:rPr>
          <w:sz w:val="20"/>
          <w:szCs w:val="20"/>
          <w:color w:val="auto"/>
        </w:rPr>
      </w:pPr>
    </w:p>
    <w:p>
      <w:pPr>
        <w:sectPr>
          <w:pgSz w:w="11900" w:h="16838" w:orient="portrait"/>
          <w:cols w:equalWidth="0" w:num="1">
            <w:col w:w="11180"/>
          </w:cols>
          <w:pgMar w:left="320" w:top="882" w:right="399" w:bottom="1440" w:gutter="0" w:footer="0" w:header="0"/>
        </w:sectPr>
      </w:pPr>
    </w:p>
    <w:p>
      <w:pPr>
        <w:ind w:left="900"/>
        <w:spacing w:after="0" w:line="238" w:lineRule="auto"/>
        <w:rPr>
          <w:sz w:val="20"/>
          <w:szCs w:val="20"/>
          <w:color w:val="auto"/>
        </w:rPr>
      </w:pPr>
      <w:r>
        <w:rPr>
          <w:rFonts w:ascii="Calibri" w:cs="Calibri" w:eastAsia="Calibri" w:hAnsi="Calibri"/>
          <w:sz w:val="17"/>
          <w:szCs w:val="17"/>
          <w:color w:val="auto"/>
        </w:rPr>
        <w:t>Total</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Calibri" w:cs="Calibri" w:eastAsia="Calibri" w:hAnsi="Calibri"/>
          <w:sz w:val="18"/>
          <w:szCs w:val="18"/>
          <w:color w:val="auto"/>
        </w:rPr>
        <w:t>—</w:t>
      </w:r>
    </w:p>
    <w:p>
      <w:pPr>
        <w:spacing w:after="0" w:line="200" w:lineRule="exact"/>
        <w:rPr>
          <w:sz w:val="20"/>
          <w:szCs w:val="20"/>
          <w:color w:val="auto"/>
        </w:rPr>
      </w:pPr>
    </w:p>
    <w:p>
      <w:pPr>
        <w:sectPr>
          <w:pgSz w:w="11900" w:h="16838" w:orient="portrait"/>
          <w:cols w:equalWidth="0" w:num="3">
            <w:col w:w="3660" w:space="720"/>
            <w:col w:w="3180" w:space="720"/>
            <w:col w:w="2900"/>
          </w:cols>
          <w:pgMar w:left="320" w:top="882" w:right="39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alibri" w:cs="Calibri" w:eastAsia="Calibri" w:hAnsi="Calibri"/>
          <w:sz w:val="17"/>
          <w:szCs w:val="17"/>
          <w:color w:val="auto"/>
        </w:rPr>
        <w:t>ITEM 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color w:val="auto"/>
        </w:rPr>
        <w:t>DEFAULTS UPON SENIOR SECURITIES</w:t>
      </w:r>
    </w:p>
    <w:p>
      <w:pPr>
        <w:spacing w:after="0" w:line="200" w:lineRule="exact"/>
        <w:rPr>
          <w:sz w:val="20"/>
          <w:szCs w:val="20"/>
          <w:color w:val="auto"/>
        </w:rPr>
      </w:pPr>
    </w:p>
    <w:p>
      <w:pPr>
        <w:sectPr>
          <w:pgSz w:w="11900" w:h="16838" w:orient="portrait"/>
          <w:cols w:equalWidth="0" w:num="2">
            <w:col w:w="540" w:space="320"/>
            <w:col w:w="10320"/>
          </w:cols>
          <w:pgMar w:left="320" w:top="882" w:right="3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Calibri" w:cs="Calibri" w:eastAsia="Calibri" w:hAnsi="Calibri"/>
          <w:sz w:val="17"/>
          <w:szCs w:val="17"/>
          <w:color w:val="auto"/>
        </w:rPr>
        <w:t>None.</w:t>
      </w:r>
    </w:p>
    <w:p>
      <w:pPr>
        <w:sectPr>
          <w:pgSz w:w="11900" w:h="16838" w:orient="portrait"/>
          <w:cols w:equalWidth="0" w:num="1">
            <w:col w:w="11180"/>
          </w:cols>
          <w:pgMar w:left="320" w:top="882" w:right="39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color w:val="auto"/>
        </w:rPr>
        <w:t>ITEM 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MINE SAFETY DISCLOSURES</w:t>
      </w:r>
    </w:p>
    <w:p>
      <w:pPr>
        <w:spacing w:after="0" w:line="200" w:lineRule="exact"/>
        <w:rPr>
          <w:sz w:val="20"/>
          <w:szCs w:val="20"/>
          <w:color w:val="auto"/>
        </w:rPr>
      </w:pPr>
    </w:p>
    <w:p>
      <w:pPr>
        <w:sectPr>
          <w:pgSz w:w="11900" w:h="16838" w:orient="portrait"/>
          <w:cols w:equalWidth="0" w:num="2">
            <w:col w:w="540" w:space="320"/>
            <w:col w:w="10320"/>
          </w:cols>
          <w:pgMar w:left="320" w:top="882" w:right="39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Calibri" w:cs="Calibri" w:eastAsia="Calibri" w:hAnsi="Calibri"/>
          <w:sz w:val="17"/>
          <w:szCs w:val="17"/>
          <w:color w:val="auto"/>
        </w:rPr>
        <w:t>Not Applicable.</w:t>
      </w:r>
    </w:p>
    <w:p>
      <w:pPr>
        <w:sectPr>
          <w:pgSz w:w="11900" w:h="16838" w:orient="portrait"/>
          <w:cols w:equalWidth="0" w:num="1">
            <w:col w:w="11180"/>
          </w:cols>
          <w:pgMar w:left="320" w:top="882" w:right="39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Calibri" w:cs="Calibri" w:eastAsia="Calibri" w:hAnsi="Calibri"/>
          <w:sz w:val="17"/>
          <w:szCs w:val="17"/>
          <w:color w:val="auto"/>
        </w:rPr>
        <w:t>ITEM 5.</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color w:val="auto"/>
        </w:rPr>
        <w:t>OTHER INFORMATION</w:t>
      </w:r>
    </w:p>
    <w:p>
      <w:pPr>
        <w:spacing w:after="0" w:line="200" w:lineRule="exact"/>
        <w:rPr>
          <w:sz w:val="20"/>
          <w:szCs w:val="20"/>
          <w:color w:val="auto"/>
        </w:rPr>
      </w:pPr>
    </w:p>
    <w:p>
      <w:pPr>
        <w:sectPr>
          <w:pgSz w:w="11900" w:h="16838" w:orient="portrait"/>
          <w:cols w:equalWidth="0" w:num="2">
            <w:col w:w="540" w:space="320"/>
            <w:col w:w="10320"/>
          </w:cols>
          <w:pgMar w:left="320" w:top="882" w:right="399" w:bottom="1440" w:gutter="0" w:footer="0" w:header="0"/>
          <w:type w:val="continuous"/>
        </w:sectPr>
      </w:pPr>
    </w:p>
    <w:p>
      <w:pPr>
        <w:spacing w:after="0" w:line="38" w:lineRule="exact"/>
        <w:rPr>
          <w:sz w:val="20"/>
          <w:szCs w:val="20"/>
          <w:color w:val="auto"/>
        </w:rPr>
      </w:pPr>
    </w:p>
    <w:p>
      <w:pPr>
        <w:ind w:right="40"/>
        <w:spacing w:after="0" w:line="239" w:lineRule="auto"/>
        <w:rPr>
          <w:sz w:val="20"/>
          <w:szCs w:val="20"/>
          <w:color w:val="auto"/>
        </w:rPr>
      </w:pPr>
      <w:r>
        <w:rPr>
          <w:rFonts w:ascii="Calibri" w:cs="Calibri" w:eastAsia="Calibri" w:hAnsi="Calibri"/>
          <w:sz w:val="17"/>
          <w:szCs w:val="17"/>
          <w:color w:val="auto"/>
        </w:rPr>
        <w:t>None of the Company’s directors or ofcers (as defned in Rule 16a-1(f) of the Exchange Act) adopted, modifed or terminated any contract, instructon, or writen plan for the purchase or sale of the Company’s securites that was intended to satsfy the afrmatve defense conditons of Rule 10b5-1(c) of the Exchange Act or any non-Rule 10b5-1 trading arrangement (as defned in Item 408(c) of Regulaton S-K) during the three months ended September 29, 2024.</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840" w:type="dxa"/>
            <w:vAlign w:val="bottom"/>
          </w:tcPr>
          <w:p>
            <w:pPr>
              <w:jc w:val="right"/>
              <w:ind w:right="212"/>
              <w:spacing w:after="0"/>
              <w:rPr>
                <w:sz w:val="20"/>
                <w:szCs w:val="20"/>
                <w:color w:val="auto"/>
              </w:rPr>
            </w:pPr>
            <w:r>
              <w:rPr>
                <w:rFonts w:ascii="Calibri" w:cs="Calibri" w:eastAsia="Calibri" w:hAnsi="Calibri"/>
                <w:sz w:val="18"/>
                <w:szCs w:val="18"/>
                <w:color w:val="auto"/>
                <w:w w:val="94"/>
              </w:rPr>
              <w:t>ITEM 6.</w:t>
            </w:r>
          </w:p>
        </w:tc>
        <w:tc>
          <w:tcPr>
            <w:tcW w:w="8000" w:type="dxa"/>
            <w:vAlign w:val="bottom"/>
            <w:gridSpan w:val="12"/>
          </w:tcPr>
          <w:p>
            <w:pPr>
              <w:ind w:left="20"/>
              <w:spacing w:after="0"/>
              <w:rPr>
                <w:sz w:val="20"/>
                <w:szCs w:val="20"/>
                <w:color w:val="auto"/>
              </w:rPr>
            </w:pPr>
            <w:r>
              <w:rPr>
                <w:rFonts w:ascii="Calibri" w:cs="Calibri" w:eastAsia="Calibri" w:hAnsi="Calibri"/>
                <w:sz w:val="18"/>
                <w:szCs w:val="18"/>
                <w:color w:val="auto"/>
              </w:rPr>
              <w:t>EXHIBITS</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86"/>
        </w:trPr>
        <w:tc>
          <w:tcPr>
            <w:tcW w:w="840" w:type="dxa"/>
            <w:vAlign w:val="bottom"/>
          </w:tcPr>
          <w:p>
            <w:pPr>
              <w:jc w:val="right"/>
              <w:ind w:right="52"/>
              <w:spacing w:after="0"/>
              <w:rPr>
                <w:sz w:val="20"/>
                <w:szCs w:val="20"/>
                <w:color w:val="auto"/>
              </w:rPr>
            </w:pPr>
            <w:r>
              <w:rPr>
                <w:rFonts w:ascii="Calibri" w:cs="Calibri" w:eastAsia="Calibri" w:hAnsi="Calibri"/>
                <w:sz w:val="14"/>
                <w:szCs w:val="14"/>
                <w:color w:val="auto"/>
              </w:rPr>
              <w:t>Exhibit</w:t>
            </w: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3"/>
          </w:tcPr>
          <w:p>
            <w:pPr>
              <w:spacing w:after="0"/>
              <w:rPr>
                <w:sz w:val="20"/>
                <w:szCs w:val="20"/>
                <w:color w:val="auto"/>
              </w:rPr>
            </w:pPr>
            <w:r>
              <w:rPr>
                <w:rFonts w:ascii="Calibri" w:cs="Calibri" w:eastAsia="Calibri" w:hAnsi="Calibri"/>
                <w:sz w:val="14"/>
                <w:szCs w:val="14"/>
                <w:color w:val="auto"/>
              </w:rPr>
              <w:t>Descripton</w:t>
            </w:r>
          </w:p>
        </w:tc>
        <w:tc>
          <w:tcPr>
            <w:tcW w:w="3760" w:type="dxa"/>
            <w:vAlign w:val="bottom"/>
            <w:gridSpan w:val="5"/>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color w:val="auto"/>
              </w:rPr>
              <w:t>Method of Filing</w:t>
            </w:r>
          </w:p>
        </w:tc>
        <w:tc>
          <w:tcPr>
            <w:tcW w:w="460" w:type="dxa"/>
            <w:vAlign w:val="bottom"/>
          </w:tcPr>
          <w:p>
            <w:pPr>
              <w:spacing w:after="0"/>
              <w:rPr>
                <w:sz w:val="16"/>
                <w:szCs w:val="16"/>
                <w:color w:val="auto"/>
              </w:rPr>
            </w:pPr>
          </w:p>
        </w:tc>
      </w:tr>
      <w:tr>
        <w:trPr>
          <w:trHeight w:val="223"/>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3.1</w:t>
            </w:r>
          </w:p>
        </w:tc>
        <w:tc>
          <w:tcPr>
            <w:tcW w:w="8000" w:type="dxa"/>
            <w:vAlign w:val="bottom"/>
            <w:gridSpan w:val="12"/>
          </w:tcPr>
          <w:p>
            <w:pPr>
              <w:spacing w:after="0"/>
              <w:rPr>
                <w:rFonts w:ascii="Calibri" w:cs="Calibri" w:eastAsia="Calibri" w:hAnsi="Calibri"/>
                <w:sz w:val="18"/>
                <w:szCs w:val="18"/>
                <w:color w:val="0000FF"/>
              </w:rPr>
            </w:pPr>
            <w:hyperlink r:id="rId48">
              <w:r>
                <w:rPr>
                  <w:rFonts w:ascii="Calibri" w:cs="Calibri" w:eastAsia="Calibri" w:hAnsi="Calibri"/>
                  <w:sz w:val="18"/>
                  <w:szCs w:val="18"/>
                  <w:color w:val="0000FF"/>
                </w:rPr>
                <w:t xml:space="preserve">Restated Artcles of Incorporaton. </w:t>
              </w:r>
            </w:hyperlink>
            <w:r>
              <w:rPr>
                <w:rFonts w:ascii="Calibri" w:cs="Calibri" w:eastAsia="Calibri" w:hAnsi="Calibri"/>
                <w:sz w:val="18"/>
                <w:szCs w:val="18"/>
                <w:color w:val="000000"/>
              </w:rPr>
              <w:t>(1)</w:t>
            </w:r>
          </w:p>
        </w:tc>
        <w:tc>
          <w:tcPr>
            <w:tcW w:w="2120" w:type="dxa"/>
            <w:vAlign w:val="bottom"/>
            <w:gridSpan w:val="3"/>
          </w:tcPr>
          <w:p>
            <w:pPr>
              <w:jc w:val="center"/>
              <w:ind w:left="130"/>
              <w:spacing w:after="0"/>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10"/>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w:t>
            </w:r>
          </w:p>
        </w:tc>
        <w:tc>
          <w:tcPr>
            <w:tcW w:w="8000" w:type="dxa"/>
            <w:vAlign w:val="bottom"/>
            <w:gridSpan w:val="12"/>
          </w:tcPr>
          <w:p>
            <w:pPr>
              <w:spacing w:after="0" w:line="209" w:lineRule="exact"/>
              <w:rPr>
                <w:rFonts w:ascii="Calibri" w:cs="Calibri" w:eastAsia="Calibri" w:hAnsi="Calibri"/>
                <w:sz w:val="18"/>
                <w:szCs w:val="18"/>
                <w:color w:val="0000FF"/>
              </w:rPr>
            </w:pPr>
            <w:hyperlink r:id="rId49">
              <w:r>
                <w:rPr>
                  <w:rFonts w:ascii="Calibri" w:cs="Calibri" w:eastAsia="Calibri" w:hAnsi="Calibri"/>
                  <w:sz w:val="18"/>
                  <w:szCs w:val="18"/>
                  <w:color w:val="0000FF"/>
                </w:rPr>
                <w:t xml:space="preserve">Amended and Restated By-Laws. </w:t>
              </w:r>
            </w:hyperlink>
            <w:r>
              <w:rPr>
                <w:rFonts w:ascii="Calibri" w:cs="Calibri" w:eastAsia="Calibri" w:hAnsi="Calibri"/>
                <w:sz w:val="18"/>
                <w:szCs w:val="18"/>
                <w:color w:val="000000"/>
              </w:rPr>
              <w:t>(2)</w:t>
            </w: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6"/>
              </w:rPr>
              <w:t>Incorporated by Reference</w:t>
            </w:r>
          </w:p>
        </w:tc>
      </w:tr>
      <w:tr>
        <w:trPr>
          <w:trHeight w:val="20"/>
        </w:trPr>
        <w:tc>
          <w:tcPr>
            <w:tcW w:w="8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10.1</w:t>
            </w:r>
          </w:p>
        </w:tc>
        <w:tc>
          <w:tcPr>
            <w:tcW w:w="8000" w:type="dxa"/>
            <w:vAlign w:val="bottom"/>
            <w:gridSpan w:val="12"/>
          </w:tcPr>
          <w:p>
            <w:pPr>
              <w:spacing w:after="0" w:line="209" w:lineRule="exact"/>
              <w:rPr>
                <w:sz w:val="20"/>
                <w:szCs w:val="20"/>
                <w:color w:val="auto"/>
              </w:rPr>
            </w:pPr>
            <w:r>
              <w:rPr>
                <w:rFonts w:ascii="Calibri" w:cs="Calibri" w:eastAsia="Calibri" w:hAnsi="Calibri"/>
                <w:sz w:val="18"/>
                <w:szCs w:val="18"/>
                <w:color w:val="0000FF"/>
              </w:rPr>
              <w:t>First Amendment to Second Amended and Restated Credit Agreement, dated as of May 30, 2024, among the</w:t>
            </w: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183"/>
        </w:trPr>
        <w:tc>
          <w:tcPr>
            <w:tcW w:w="840" w:type="dxa"/>
            <w:vAlign w:val="bottom"/>
          </w:tcPr>
          <w:p>
            <w:pPr>
              <w:spacing w:after="0"/>
              <w:rPr>
                <w:sz w:val="15"/>
                <w:szCs w:val="15"/>
                <w:color w:val="auto"/>
              </w:rPr>
            </w:pPr>
          </w:p>
        </w:tc>
        <w:tc>
          <w:tcPr>
            <w:tcW w:w="7720" w:type="dxa"/>
            <w:vAlign w:val="bottom"/>
            <w:tcBorders>
              <w:top w:val="single" w:sz="8" w:color="0000FF"/>
            </w:tcBorders>
            <w:gridSpan w:val="11"/>
          </w:tcPr>
          <w:p>
            <w:pPr>
              <w:spacing w:after="0" w:line="183" w:lineRule="exact"/>
              <w:rPr>
                <w:sz w:val="20"/>
                <w:szCs w:val="20"/>
                <w:color w:val="auto"/>
              </w:rPr>
            </w:pPr>
            <w:r>
              <w:rPr>
                <w:rFonts w:ascii="Calibri" w:cs="Calibri" w:eastAsia="Calibri" w:hAnsi="Calibri"/>
                <w:sz w:val="18"/>
                <w:szCs w:val="18"/>
                <w:color w:val="0000FF"/>
              </w:rPr>
              <w:t>Company, U.S. Bank Natonal Associaton, and certain fnancial insttutons.</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7"/>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10.2</w:t>
            </w:r>
          </w:p>
        </w:tc>
        <w:tc>
          <w:tcPr>
            <w:tcW w:w="5320" w:type="dxa"/>
            <w:vAlign w:val="bottom"/>
            <w:tcBorders>
              <w:top w:val="single" w:sz="8" w:color="0000FF"/>
            </w:tcBorders>
            <w:gridSpan w:val="8"/>
          </w:tcPr>
          <w:p>
            <w:pPr>
              <w:spacing w:after="0"/>
              <w:rPr>
                <w:sz w:val="20"/>
                <w:szCs w:val="20"/>
                <w:color w:val="auto"/>
              </w:rPr>
            </w:pPr>
            <w:r>
              <w:rPr>
                <w:rFonts w:ascii="Calibri" w:cs="Calibri" w:eastAsia="Calibri" w:hAnsi="Calibri"/>
                <w:sz w:val="18"/>
                <w:szCs w:val="18"/>
                <w:color w:val="0000FF"/>
              </w:rPr>
              <w:t>Amended and Restated Executve Severance Plan.</w:t>
            </w:r>
          </w:p>
        </w:tc>
        <w:tc>
          <w:tcPr>
            <w:tcW w:w="2680" w:type="dxa"/>
            <w:vAlign w:val="bottom"/>
            <w:gridSpan w:val="4"/>
          </w:tcPr>
          <w:p>
            <w:pPr>
              <w:spacing w:after="0"/>
              <w:rPr>
                <w:sz w:val="20"/>
                <w:szCs w:val="20"/>
                <w:color w:val="auto"/>
              </w:rPr>
            </w:pPr>
          </w:p>
        </w:tc>
        <w:tc>
          <w:tcPr>
            <w:tcW w:w="2120" w:type="dxa"/>
            <w:vAlign w:val="bottom"/>
            <w:gridSpan w:val="3"/>
          </w:tcPr>
          <w:p>
            <w:pPr>
              <w:jc w:val="center"/>
              <w:ind w:left="130"/>
              <w:spacing w:after="0"/>
              <w:rPr>
                <w:sz w:val="20"/>
                <w:szCs w:val="20"/>
                <w:color w:val="auto"/>
              </w:rPr>
            </w:pPr>
            <w:r>
              <w:rPr>
                <w:rFonts w:ascii="Calibri" w:cs="Calibri" w:eastAsia="Calibri" w:hAnsi="Calibri"/>
                <w:sz w:val="18"/>
                <w:szCs w:val="18"/>
                <w:color w:val="auto"/>
                <w:w w:val="98"/>
              </w:rPr>
              <w:t>Filed Electronically</w:t>
            </w:r>
          </w:p>
        </w:tc>
      </w:tr>
      <w:tr>
        <w:trPr>
          <w:trHeight w:val="20"/>
        </w:trPr>
        <w:tc>
          <w:tcPr>
            <w:tcW w:w="84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31.1</w:t>
            </w:r>
          </w:p>
        </w:tc>
        <w:tc>
          <w:tcPr>
            <w:tcW w:w="8000" w:type="dxa"/>
            <w:vAlign w:val="bottom"/>
            <w:gridSpan w:val="12"/>
          </w:tcPr>
          <w:p>
            <w:pPr>
              <w:spacing w:after="0" w:line="209" w:lineRule="exact"/>
              <w:rPr>
                <w:sz w:val="20"/>
                <w:szCs w:val="20"/>
                <w:color w:val="auto"/>
              </w:rPr>
            </w:pPr>
            <w:r>
              <w:rPr>
                <w:rFonts w:ascii="Calibri" w:cs="Calibri" w:eastAsia="Calibri" w:hAnsi="Calibri"/>
                <w:sz w:val="18"/>
                <w:szCs w:val="18"/>
                <w:color w:val="0000FF"/>
              </w:rPr>
              <w:t>Certfcaton by Chief Executve Ofcer pursuant to Rule 13a-14(a) of the Exchange Act.</w:t>
            </w: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10"/>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31.2</w:t>
            </w:r>
          </w:p>
        </w:tc>
        <w:tc>
          <w:tcPr>
            <w:tcW w:w="6120" w:type="dxa"/>
            <w:vAlign w:val="bottom"/>
            <w:tcBorders>
              <w:top w:val="single" w:sz="8" w:color="0000FF"/>
              <w:bottom w:val="single" w:sz="8" w:color="0000FF"/>
            </w:tcBorders>
            <w:gridSpan w:val="9"/>
          </w:tcPr>
          <w:p>
            <w:pPr>
              <w:spacing w:after="0" w:line="209" w:lineRule="exact"/>
              <w:rPr>
                <w:sz w:val="20"/>
                <w:szCs w:val="20"/>
                <w:color w:val="auto"/>
              </w:rPr>
            </w:pPr>
            <w:r>
              <w:rPr>
                <w:rFonts w:ascii="Calibri" w:cs="Calibri" w:eastAsia="Calibri" w:hAnsi="Calibri"/>
                <w:sz w:val="18"/>
                <w:szCs w:val="18"/>
                <w:color w:val="0000FF"/>
              </w:rPr>
              <w:t>Certfcaton by Chief Financial Ofcer pursuant to Rule 13a-14(a) of the Exchange Act.</w:t>
            </w:r>
          </w:p>
        </w:tc>
        <w:tc>
          <w:tcPr>
            <w:tcW w:w="40" w:type="dxa"/>
            <w:vAlign w:val="bottom"/>
            <w:tcBorders>
              <w:top w:val="single" w:sz="8" w:color="0000FF"/>
            </w:tcBorders>
          </w:tcPr>
          <w:p>
            <w:pPr>
              <w:spacing w:after="0"/>
              <w:rPr>
                <w:sz w:val="18"/>
                <w:szCs w:val="18"/>
                <w:color w:val="auto"/>
              </w:rPr>
            </w:pPr>
          </w:p>
        </w:tc>
        <w:tc>
          <w:tcPr>
            <w:tcW w:w="1840" w:type="dxa"/>
            <w:vAlign w:val="bottom"/>
            <w:gridSpan w:val="2"/>
          </w:tcPr>
          <w:p>
            <w:pPr>
              <w:spacing w:after="0"/>
              <w:rPr>
                <w:sz w:val="18"/>
                <w:szCs w:val="18"/>
                <w:color w:val="auto"/>
              </w:rPr>
            </w:pP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32.1</w:t>
            </w:r>
          </w:p>
        </w:tc>
        <w:tc>
          <w:tcPr>
            <w:tcW w:w="3720" w:type="dxa"/>
            <w:vAlign w:val="bottom"/>
            <w:tcBorders>
              <w:bottom w:val="single" w:sz="8" w:color="0000FF"/>
            </w:tcBorders>
            <w:gridSpan w:val="6"/>
          </w:tcPr>
          <w:p>
            <w:pPr>
              <w:spacing w:after="0" w:line="209" w:lineRule="exact"/>
              <w:rPr>
                <w:sz w:val="20"/>
                <w:szCs w:val="20"/>
                <w:color w:val="auto"/>
              </w:rPr>
            </w:pPr>
            <w:r>
              <w:rPr>
                <w:rFonts w:ascii="Calibri" w:cs="Calibri" w:eastAsia="Calibri" w:hAnsi="Calibri"/>
                <w:sz w:val="18"/>
                <w:szCs w:val="18"/>
                <w:color w:val="0000FF"/>
              </w:rPr>
              <w:t>Secton 1350 Certfcaton by Chief Executve Ofcer.</w:t>
            </w:r>
          </w:p>
        </w:tc>
        <w:tc>
          <w:tcPr>
            <w:tcW w:w="4280" w:type="dxa"/>
            <w:vAlign w:val="bottom"/>
            <w:gridSpan w:val="6"/>
          </w:tcPr>
          <w:p>
            <w:pPr>
              <w:spacing w:after="0"/>
              <w:rPr>
                <w:sz w:val="18"/>
                <w:szCs w:val="18"/>
                <w:color w:val="auto"/>
              </w:rPr>
            </w:pP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9"/>
        </w:trPr>
        <w:tc>
          <w:tcPr>
            <w:tcW w:w="840" w:type="dxa"/>
            <w:vAlign w:val="bottom"/>
          </w:tcPr>
          <w:p>
            <w:pPr>
              <w:jc w:val="right"/>
              <w:ind w:right="92"/>
              <w:spacing w:after="0" w:line="209" w:lineRule="exact"/>
              <w:rPr>
                <w:sz w:val="20"/>
                <w:szCs w:val="20"/>
                <w:color w:val="auto"/>
              </w:rPr>
            </w:pPr>
            <w:r>
              <w:rPr>
                <w:rFonts w:ascii="Calibri" w:cs="Calibri" w:eastAsia="Calibri" w:hAnsi="Calibri"/>
                <w:sz w:val="18"/>
                <w:szCs w:val="18"/>
                <w:color w:val="auto"/>
              </w:rPr>
              <w:t>32.2</w:t>
            </w:r>
          </w:p>
        </w:tc>
        <w:tc>
          <w:tcPr>
            <w:tcW w:w="3680" w:type="dxa"/>
            <w:vAlign w:val="bottom"/>
            <w:tcBorders>
              <w:bottom w:val="single" w:sz="8" w:color="0000FF"/>
            </w:tcBorders>
            <w:gridSpan w:val="5"/>
          </w:tcPr>
          <w:p>
            <w:pPr>
              <w:spacing w:after="0" w:line="209" w:lineRule="exact"/>
              <w:rPr>
                <w:sz w:val="20"/>
                <w:szCs w:val="20"/>
                <w:color w:val="auto"/>
              </w:rPr>
            </w:pPr>
            <w:r>
              <w:rPr>
                <w:rFonts w:ascii="Calibri" w:cs="Calibri" w:eastAsia="Calibri" w:hAnsi="Calibri"/>
                <w:sz w:val="18"/>
                <w:szCs w:val="18"/>
                <w:color w:val="0000FF"/>
              </w:rPr>
              <w:t>Secton 1350 Certfcaton by Chief Financial Ofcer.</w:t>
            </w:r>
          </w:p>
        </w:tc>
        <w:tc>
          <w:tcPr>
            <w:tcW w:w="4320" w:type="dxa"/>
            <w:vAlign w:val="bottom"/>
            <w:gridSpan w:val="7"/>
          </w:tcPr>
          <w:p>
            <w:pPr>
              <w:spacing w:after="0"/>
              <w:rPr>
                <w:sz w:val="18"/>
                <w:szCs w:val="18"/>
                <w:color w:val="auto"/>
              </w:rPr>
            </w:pPr>
          </w:p>
        </w:tc>
        <w:tc>
          <w:tcPr>
            <w:tcW w:w="2120" w:type="dxa"/>
            <w:vAlign w:val="bottom"/>
            <w:gridSpan w:val="3"/>
          </w:tcPr>
          <w:p>
            <w:pPr>
              <w:jc w:val="center"/>
              <w:ind w:left="130"/>
              <w:spacing w:after="0" w:line="209" w:lineRule="exact"/>
              <w:rPr>
                <w:sz w:val="20"/>
                <w:szCs w:val="20"/>
                <w:color w:val="auto"/>
              </w:rPr>
            </w:pPr>
            <w:r>
              <w:rPr>
                <w:rFonts w:ascii="Calibri" w:cs="Calibri" w:eastAsia="Calibri" w:hAnsi="Calibri"/>
                <w:sz w:val="18"/>
                <w:szCs w:val="18"/>
                <w:color w:val="auto"/>
                <w:w w:val="98"/>
              </w:rPr>
              <w:t>Filed Electronically</w:t>
            </w:r>
          </w:p>
        </w:tc>
      </w:tr>
      <w:tr>
        <w:trPr>
          <w:trHeight w:val="201"/>
        </w:trPr>
        <w:tc>
          <w:tcPr>
            <w:tcW w:w="840" w:type="dxa"/>
            <w:vAlign w:val="bottom"/>
          </w:tcPr>
          <w:p>
            <w:pPr>
              <w:jc w:val="right"/>
              <w:ind w:right="92"/>
              <w:spacing w:after="0" w:line="201" w:lineRule="exact"/>
              <w:rPr>
                <w:sz w:val="20"/>
                <w:szCs w:val="20"/>
                <w:color w:val="auto"/>
              </w:rPr>
            </w:pPr>
            <w:r>
              <w:rPr>
                <w:rFonts w:ascii="Calibri" w:cs="Calibri" w:eastAsia="Calibri" w:hAnsi="Calibri"/>
                <w:sz w:val="18"/>
                <w:szCs w:val="18"/>
                <w:color w:val="auto"/>
              </w:rPr>
              <w:t>101</w:t>
            </w:r>
          </w:p>
        </w:tc>
        <w:tc>
          <w:tcPr>
            <w:tcW w:w="8000" w:type="dxa"/>
            <w:vAlign w:val="bottom"/>
            <w:gridSpan w:val="12"/>
          </w:tcPr>
          <w:p>
            <w:pPr>
              <w:spacing w:after="0" w:line="201" w:lineRule="exact"/>
              <w:rPr>
                <w:sz w:val="20"/>
                <w:szCs w:val="20"/>
                <w:color w:val="auto"/>
              </w:rPr>
            </w:pPr>
            <w:r>
              <w:rPr>
                <w:rFonts w:ascii="Calibri" w:cs="Calibri" w:eastAsia="Calibri" w:hAnsi="Calibri"/>
                <w:sz w:val="18"/>
                <w:szCs w:val="18"/>
                <w:color w:val="auto"/>
              </w:rPr>
              <w:t>Financial statements from the Quarterly Report on Form 10-Q of Hawkins, Inc. for the period ended</w:t>
            </w:r>
          </w:p>
        </w:tc>
        <w:tc>
          <w:tcPr>
            <w:tcW w:w="2120" w:type="dxa"/>
            <w:vAlign w:val="bottom"/>
            <w:gridSpan w:val="3"/>
          </w:tcPr>
          <w:p>
            <w:pPr>
              <w:jc w:val="center"/>
              <w:ind w:left="130"/>
              <w:spacing w:after="0" w:line="201" w:lineRule="exact"/>
              <w:rPr>
                <w:sz w:val="20"/>
                <w:szCs w:val="20"/>
                <w:color w:val="auto"/>
              </w:rPr>
            </w:pPr>
            <w:r>
              <w:rPr>
                <w:rFonts w:ascii="Calibri" w:cs="Calibri" w:eastAsia="Calibri" w:hAnsi="Calibri"/>
                <w:sz w:val="18"/>
                <w:szCs w:val="18"/>
                <w:color w:val="auto"/>
                <w:w w:val="98"/>
              </w:rPr>
              <w:t>Filed Electronically</w:t>
            </w:r>
          </w:p>
        </w:tc>
      </w:tr>
      <w:tr>
        <w:trPr>
          <w:trHeight w:val="189"/>
        </w:trPr>
        <w:tc>
          <w:tcPr>
            <w:tcW w:w="840" w:type="dxa"/>
            <w:vAlign w:val="bottom"/>
          </w:tcPr>
          <w:p>
            <w:pPr>
              <w:spacing w:after="0"/>
              <w:rPr>
                <w:sz w:val="16"/>
                <w:szCs w:val="16"/>
                <w:color w:val="auto"/>
              </w:rPr>
            </w:pPr>
          </w:p>
        </w:tc>
        <w:tc>
          <w:tcPr>
            <w:tcW w:w="8000" w:type="dxa"/>
            <w:vAlign w:val="bottom"/>
            <w:gridSpan w:val="12"/>
          </w:tcPr>
          <w:p>
            <w:pPr>
              <w:spacing w:after="0" w:line="189" w:lineRule="exact"/>
              <w:rPr>
                <w:sz w:val="20"/>
                <w:szCs w:val="20"/>
                <w:color w:val="auto"/>
              </w:rPr>
            </w:pPr>
            <w:r>
              <w:rPr>
                <w:rFonts w:ascii="Calibri" w:cs="Calibri" w:eastAsia="Calibri" w:hAnsi="Calibri"/>
                <w:sz w:val="18"/>
                <w:szCs w:val="18"/>
                <w:color w:val="auto"/>
              </w:rPr>
              <w:t>September 29, 2024 fled with the SEC on October 30, 2024 formated in Inline Extensible Business Reportng</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5"/>
        </w:trPr>
        <w:tc>
          <w:tcPr>
            <w:tcW w:w="840" w:type="dxa"/>
            <w:vAlign w:val="bottom"/>
          </w:tcPr>
          <w:p>
            <w:pPr>
              <w:spacing w:after="0"/>
              <w:rPr>
                <w:sz w:val="15"/>
                <w:szCs w:val="15"/>
                <w:color w:val="auto"/>
              </w:rPr>
            </w:pPr>
          </w:p>
        </w:tc>
        <w:tc>
          <w:tcPr>
            <w:tcW w:w="8000" w:type="dxa"/>
            <w:vAlign w:val="bottom"/>
            <w:gridSpan w:val="12"/>
          </w:tcPr>
          <w:p>
            <w:pPr>
              <w:spacing w:after="0" w:line="175" w:lineRule="exact"/>
              <w:rPr>
                <w:sz w:val="20"/>
                <w:szCs w:val="20"/>
                <w:color w:val="auto"/>
              </w:rPr>
            </w:pPr>
            <w:r>
              <w:rPr>
                <w:rFonts w:ascii="Calibri" w:cs="Calibri" w:eastAsia="Calibri" w:hAnsi="Calibri"/>
                <w:sz w:val="18"/>
                <w:szCs w:val="18"/>
                <w:color w:val="auto"/>
              </w:rPr>
              <w:t>Language (iXBRL); (i) the Condensed Consolidated Balance Sheets at September 29, 2024 and March 31,</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8000" w:type="dxa"/>
            <w:vAlign w:val="bottom"/>
            <w:gridSpan w:val="12"/>
          </w:tcPr>
          <w:p>
            <w:pPr>
              <w:spacing w:after="0" w:line="175" w:lineRule="exact"/>
              <w:rPr>
                <w:sz w:val="20"/>
                <w:szCs w:val="20"/>
                <w:color w:val="auto"/>
              </w:rPr>
            </w:pPr>
            <w:r>
              <w:rPr>
                <w:rFonts w:ascii="Calibri" w:cs="Calibri" w:eastAsia="Calibri" w:hAnsi="Calibri"/>
                <w:sz w:val="18"/>
                <w:szCs w:val="18"/>
                <w:color w:val="auto"/>
              </w:rPr>
              <w:t>2024, (ii) the Condensed Consolidated Statements of Income for the three and six months ended September</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8000" w:type="dxa"/>
            <w:vAlign w:val="bottom"/>
            <w:gridSpan w:val="12"/>
          </w:tcPr>
          <w:p>
            <w:pPr>
              <w:spacing w:after="0" w:line="189" w:lineRule="exact"/>
              <w:rPr>
                <w:sz w:val="20"/>
                <w:szCs w:val="20"/>
                <w:color w:val="auto"/>
              </w:rPr>
            </w:pPr>
            <w:r>
              <w:rPr>
                <w:rFonts w:ascii="Calibri" w:cs="Calibri" w:eastAsia="Calibri" w:hAnsi="Calibri"/>
                <w:sz w:val="18"/>
                <w:szCs w:val="18"/>
                <w:color w:val="auto"/>
              </w:rPr>
              <w:t>29, 2024 and October 1, 2023, (iii) the Condensed Consolidated Statements of Comprehensive Income for</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76"/>
        </w:trPr>
        <w:tc>
          <w:tcPr>
            <w:tcW w:w="840" w:type="dxa"/>
            <w:vAlign w:val="bottom"/>
          </w:tcPr>
          <w:p>
            <w:pPr>
              <w:spacing w:after="0"/>
              <w:rPr>
                <w:sz w:val="15"/>
                <w:szCs w:val="15"/>
                <w:color w:val="auto"/>
              </w:rPr>
            </w:pPr>
          </w:p>
        </w:tc>
        <w:tc>
          <w:tcPr>
            <w:tcW w:w="8000" w:type="dxa"/>
            <w:vAlign w:val="bottom"/>
            <w:gridSpan w:val="12"/>
          </w:tcPr>
          <w:p>
            <w:pPr>
              <w:spacing w:after="0" w:line="175" w:lineRule="exact"/>
              <w:rPr>
                <w:sz w:val="20"/>
                <w:szCs w:val="20"/>
                <w:color w:val="auto"/>
              </w:rPr>
            </w:pPr>
            <w:r>
              <w:rPr>
                <w:rFonts w:ascii="Calibri" w:cs="Calibri" w:eastAsia="Calibri" w:hAnsi="Calibri"/>
                <w:sz w:val="18"/>
                <w:szCs w:val="18"/>
                <w:color w:val="auto"/>
              </w:rPr>
              <w:t>the three and six months ended September 29, 2024 and October 1, 2023, (iv) the Condensed Consolidated</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8000" w:type="dxa"/>
            <w:vAlign w:val="bottom"/>
            <w:gridSpan w:val="12"/>
          </w:tcPr>
          <w:p>
            <w:pPr>
              <w:spacing w:after="0" w:line="175" w:lineRule="exact"/>
              <w:rPr>
                <w:sz w:val="20"/>
                <w:szCs w:val="20"/>
                <w:color w:val="auto"/>
              </w:rPr>
            </w:pPr>
            <w:r>
              <w:rPr>
                <w:rFonts w:ascii="Calibri" w:cs="Calibri" w:eastAsia="Calibri" w:hAnsi="Calibri"/>
                <w:sz w:val="18"/>
                <w:szCs w:val="18"/>
                <w:color w:val="auto"/>
              </w:rPr>
              <w:t>Statements of Shareholder's Equity for the three and six months ended September 29, 2024 and October 1,</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840" w:type="dxa"/>
            <w:vAlign w:val="bottom"/>
          </w:tcPr>
          <w:p>
            <w:pPr>
              <w:spacing w:after="0"/>
              <w:rPr>
                <w:sz w:val="16"/>
                <w:szCs w:val="16"/>
                <w:color w:val="auto"/>
              </w:rPr>
            </w:pPr>
          </w:p>
        </w:tc>
        <w:tc>
          <w:tcPr>
            <w:tcW w:w="8000" w:type="dxa"/>
            <w:vAlign w:val="bottom"/>
            <w:gridSpan w:val="12"/>
          </w:tcPr>
          <w:p>
            <w:pPr>
              <w:spacing w:after="0" w:line="189" w:lineRule="exact"/>
              <w:rPr>
                <w:sz w:val="20"/>
                <w:szCs w:val="20"/>
                <w:color w:val="auto"/>
              </w:rPr>
            </w:pPr>
            <w:r>
              <w:rPr>
                <w:rFonts w:ascii="Calibri" w:cs="Calibri" w:eastAsia="Calibri" w:hAnsi="Calibri"/>
                <w:sz w:val="18"/>
                <w:szCs w:val="18"/>
                <w:color w:val="auto"/>
              </w:rPr>
              <w:t>2023, (v) the Condensed Consolidated Statements of Cash Flows for the six months ended September 29,</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840" w:type="dxa"/>
            <w:vAlign w:val="bottom"/>
          </w:tcPr>
          <w:p>
            <w:pPr>
              <w:spacing w:after="0"/>
              <w:rPr>
                <w:sz w:val="18"/>
                <w:szCs w:val="18"/>
                <w:color w:val="auto"/>
              </w:rPr>
            </w:pPr>
          </w:p>
        </w:tc>
        <w:tc>
          <w:tcPr>
            <w:tcW w:w="8000" w:type="dxa"/>
            <w:vAlign w:val="bottom"/>
            <w:gridSpan w:val="12"/>
          </w:tcPr>
          <w:p>
            <w:pPr>
              <w:spacing w:after="0" w:line="215" w:lineRule="exact"/>
              <w:rPr>
                <w:sz w:val="20"/>
                <w:szCs w:val="20"/>
                <w:color w:val="auto"/>
              </w:rPr>
            </w:pPr>
            <w:r>
              <w:rPr>
                <w:rFonts w:ascii="Calibri" w:cs="Calibri" w:eastAsia="Calibri" w:hAnsi="Calibri"/>
                <w:sz w:val="18"/>
                <w:szCs w:val="18"/>
                <w:color w:val="auto"/>
              </w:rPr>
              <w:t>2024 and October 1, 2023, and (vi) Notes to Condensed Consolidated Financial Statements.</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840" w:type="dxa"/>
            <w:vAlign w:val="bottom"/>
          </w:tcPr>
          <w:p>
            <w:pPr>
              <w:jc w:val="right"/>
              <w:ind w:right="92"/>
              <w:spacing w:after="0"/>
              <w:rPr>
                <w:sz w:val="20"/>
                <w:szCs w:val="20"/>
                <w:color w:val="auto"/>
              </w:rPr>
            </w:pPr>
            <w:r>
              <w:rPr>
                <w:rFonts w:ascii="Calibri" w:cs="Calibri" w:eastAsia="Calibri" w:hAnsi="Calibri"/>
                <w:sz w:val="18"/>
                <w:szCs w:val="18"/>
                <w:color w:val="auto"/>
              </w:rPr>
              <w:t>104</w:t>
            </w:r>
          </w:p>
        </w:tc>
        <w:tc>
          <w:tcPr>
            <w:tcW w:w="8000" w:type="dxa"/>
            <w:vAlign w:val="bottom"/>
            <w:gridSpan w:val="12"/>
          </w:tcPr>
          <w:p>
            <w:pPr>
              <w:spacing w:after="0"/>
              <w:rPr>
                <w:sz w:val="20"/>
                <w:szCs w:val="20"/>
                <w:color w:val="auto"/>
              </w:rPr>
            </w:pPr>
            <w:r>
              <w:rPr>
                <w:rFonts w:ascii="Calibri" w:cs="Calibri" w:eastAsia="Calibri" w:hAnsi="Calibri"/>
                <w:sz w:val="18"/>
                <w:szCs w:val="18"/>
                <w:color w:val="auto"/>
              </w:rPr>
              <w:t>Cover Page Interactve Data File (embedded within the inline XBRL document)</w:t>
            </w:r>
          </w:p>
        </w:tc>
        <w:tc>
          <w:tcPr>
            <w:tcW w:w="2120" w:type="dxa"/>
            <w:vAlign w:val="bottom"/>
            <w:gridSpan w:val="3"/>
          </w:tcPr>
          <w:p>
            <w:pPr>
              <w:jc w:val="center"/>
              <w:ind w:left="130"/>
              <w:spacing w:after="0"/>
              <w:rPr>
                <w:sz w:val="20"/>
                <w:szCs w:val="20"/>
                <w:color w:val="auto"/>
              </w:rPr>
            </w:pPr>
            <w:r>
              <w:rPr>
                <w:rFonts w:ascii="Calibri" w:cs="Calibri" w:eastAsia="Calibri" w:hAnsi="Calibri"/>
                <w:sz w:val="18"/>
                <w:szCs w:val="18"/>
                <w:color w:val="auto"/>
                <w:w w:val="98"/>
              </w:rPr>
              <w:t>Filed Electronically</w:t>
            </w:r>
          </w:p>
        </w:tc>
      </w:tr>
    </w:tbl>
    <w:p>
      <w:pPr>
        <w:spacing w:after="0" w:line="200" w:lineRule="exact"/>
        <w:rPr>
          <w:sz w:val="20"/>
          <w:szCs w:val="20"/>
          <w:color w:val="auto"/>
        </w:rPr>
      </w:pPr>
    </w:p>
    <w:p>
      <w:pPr>
        <w:spacing w:after="0" w:line="377" w:lineRule="exact"/>
        <w:rPr>
          <w:sz w:val="20"/>
          <w:szCs w:val="20"/>
          <w:color w:val="auto"/>
        </w:rPr>
      </w:pPr>
    </w:p>
    <w:p>
      <w:pPr>
        <w:ind w:left="560" w:hanging="309"/>
        <w:spacing w:after="0"/>
        <w:tabs>
          <w:tab w:leader="none" w:pos="5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3.2 to the Company’s Current Report on Form 8-K dated February 26, 2021 and fled March 2, 2021.</w:t>
      </w:r>
    </w:p>
    <w:p>
      <w:pPr>
        <w:ind w:left="560" w:hanging="309"/>
        <w:spacing w:after="0" w:line="235" w:lineRule="auto"/>
        <w:tabs>
          <w:tab w:leader="none" w:pos="5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Incorporated by reference to Exhibit 3.1 to the Company’s Current Report on Form 8-K dated October 28, 2009 and fled November 3, 2009.</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882" w:right="619" w:bottom="1440" w:gutter="0" w:footer="0" w:header="0"/>
        </w:sectPr>
      </w:pPr>
    </w:p>
    <w:bookmarkStart w:id="24" w:name="page25"/>
    <w:bookmarkEnd w:id="24"/>
    <w:p>
      <w:pPr>
        <w:spacing w:after="0" w:line="204" w:lineRule="auto"/>
        <w:framePr w:w="1800" w:h="135" w:wrap="auto" w:vAnchor="page" w:hAnchor="page" w:x="2880" w:y="2057"/>
        <w:rPr>
          <w:rFonts w:ascii="Calibri" w:cs="Calibri" w:eastAsia="Calibri" w:hAnsi="Calibri"/>
          <w:sz w:val="13"/>
          <w:szCs w:val="13"/>
          <w:color w:val="auto"/>
        </w:rPr>
      </w:pPr>
      <w:r>
        <w:rPr>
          <w:rFonts w:ascii="Calibri" w:cs="Calibri" w:eastAsia="Calibri" w:hAnsi="Calibri"/>
          <w:sz w:val="13"/>
          <w:szCs w:val="13"/>
          <w:color w:val="auto"/>
        </w:rPr>
        <w:t>/s/ Jefrey P. Oldenkamp</w:t>
      </w:r>
    </w:p>
    <w:p>
      <w:pPr>
        <w:spacing w:after="0" w:line="204" w:lineRule="auto"/>
        <w:framePr w:w="1560" w:h="135" w:wrap="auto" w:vAnchor="page" w:hAnchor="page" w:x="3000" w:y="2300"/>
        <w:rPr>
          <w:rFonts w:ascii="Calibri" w:cs="Calibri" w:eastAsia="Calibri" w:hAnsi="Calibri"/>
          <w:sz w:val="13"/>
          <w:szCs w:val="13"/>
          <w:color w:val="auto"/>
        </w:rPr>
      </w:pPr>
      <w:r>
        <w:rPr>
          <w:rFonts w:ascii="Calibri" w:cs="Calibri" w:eastAsia="Calibri" w:hAnsi="Calibri"/>
          <w:sz w:val="13"/>
          <w:szCs w:val="13"/>
          <w:color w:val="auto"/>
        </w:rPr>
        <w:t>Jefrey P. Oldenkamp</w:t>
      </w:r>
    </w:p>
    <w:p>
      <w:pPr>
        <w:spacing w:after="0" w:line="204" w:lineRule="auto"/>
        <w:framePr w:w="3720" w:h="135" w:wrap="auto" w:vAnchor="page" w:hAnchor="page" w:x="1920" w:y="2530"/>
        <w:rPr>
          <w:rFonts w:ascii="Calibri" w:cs="Calibri" w:eastAsia="Calibri" w:hAnsi="Calibri"/>
          <w:sz w:val="13"/>
          <w:szCs w:val="13"/>
          <w:color w:val="auto"/>
        </w:rPr>
      </w:pPr>
      <w:r>
        <w:rPr>
          <w:rFonts w:ascii="Calibri" w:cs="Calibri" w:eastAsia="Calibri" w:hAnsi="Calibri"/>
          <w:sz w:val="13"/>
          <w:szCs w:val="13"/>
          <w:color w:val="auto"/>
        </w:rPr>
        <w:t>Executve Vice President and Chief Financial Ofcer</w:t>
      </w:r>
    </w:p>
    <w:p>
      <w:pPr>
        <w:spacing w:after="0" w:line="204" w:lineRule="auto"/>
        <w:framePr w:w="4940" w:h="135" w:wrap="auto" w:vAnchor="page" w:hAnchor="page" w:x="1300" w:y="2759"/>
        <w:rPr>
          <w:rFonts w:ascii="Calibri" w:cs="Calibri" w:eastAsia="Calibri" w:hAnsi="Calibri"/>
          <w:sz w:val="13"/>
          <w:szCs w:val="13"/>
          <w:color w:val="auto"/>
        </w:rPr>
      </w:pPr>
      <w:r>
        <w:rPr>
          <w:rFonts w:ascii="Calibri" w:cs="Calibri" w:eastAsia="Calibri" w:hAnsi="Calibri"/>
          <w:sz w:val="13"/>
          <w:szCs w:val="13"/>
          <w:color w:val="auto"/>
        </w:rPr>
        <w:t>(On behalf of the registrant and as principal fnancial and accountng</w:t>
      </w:r>
    </w:p>
    <w:p>
      <w:pPr>
        <w:spacing w:after="0" w:line="204" w:lineRule="auto"/>
        <w:framePr w:w="580" w:h="135" w:wrap="auto" w:vAnchor="page" w:hAnchor="page" w:x="3480" w:y="2935"/>
        <w:rPr>
          <w:rFonts w:ascii="Calibri" w:cs="Calibri" w:eastAsia="Calibri" w:hAnsi="Calibri"/>
          <w:sz w:val="13"/>
          <w:szCs w:val="13"/>
          <w:color w:val="auto"/>
        </w:rPr>
      </w:pPr>
      <w:r>
        <w:rPr>
          <w:rFonts w:ascii="Calibri" w:cs="Calibri" w:eastAsia="Calibri" w:hAnsi="Calibri"/>
          <w:sz w:val="13"/>
          <w:szCs w:val="13"/>
          <w:color w:val="auto"/>
        </w:rPr>
        <w:t>ofcer)</w:t>
      </w:r>
    </w:p>
    <w:p>
      <w:pPr>
        <w:jc w:val="center"/>
        <w:ind w:right="-139"/>
        <w:spacing w:after="0"/>
        <w:rPr>
          <w:sz w:val="20"/>
          <w:szCs w:val="20"/>
          <w:color w:val="auto"/>
        </w:rPr>
      </w:pPr>
      <w:r>
        <w:rPr>
          <w:rFonts w:ascii="Calibri" w:cs="Calibri" w:eastAsia="Calibri" w:hAnsi="Calibri"/>
          <w:sz w:val="18"/>
          <w:szCs w:val="18"/>
          <w:b w:val="1"/>
          <w:bCs w:val="1"/>
          <w:color w:val="auto"/>
        </w:rPr>
        <w:t>SIGNATURES</w:t>
      </w:r>
    </w:p>
    <w:p>
      <w:pPr>
        <w:spacing w:after="0" w:line="163" w:lineRule="exact"/>
        <w:rPr>
          <w:rFonts w:ascii="Calibri" w:cs="Calibri" w:eastAsia="Calibri" w:hAnsi="Calibri"/>
          <w:sz w:val="13"/>
          <w:szCs w:val="13"/>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37"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HAWKINS, INC.</w:t>
      </w:r>
    </w:p>
    <w:p>
      <w:pPr>
        <w:spacing w:after="0" w:line="64" w:lineRule="exact"/>
        <w:rPr>
          <w:rFonts w:ascii="Calibri" w:cs="Calibri" w:eastAsia="Calibri" w:hAnsi="Calibri"/>
          <w:sz w:val="13"/>
          <w:szCs w:val="13"/>
          <w:color w:val="auto"/>
        </w:rPr>
      </w:pPr>
    </w:p>
    <w:p>
      <w:pPr>
        <w:ind w:left="60"/>
        <w:spacing w:after="0"/>
        <w:rPr>
          <w:sz w:val="20"/>
          <w:szCs w:val="20"/>
          <w:color w:val="auto"/>
        </w:rPr>
      </w:pPr>
      <w:r>
        <w:rPr>
          <w:rFonts w:ascii="Calibri" w:cs="Calibri" w:eastAsia="Calibri" w:hAnsi="Calibri"/>
          <w:sz w:val="18"/>
          <w:szCs w:val="18"/>
          <w:color w:val="auto"/>
        </w:rPr>
        <w:t>By:</w:t>
      </w:r>
    </w:p>
    <w:p>
      <w:pPr>
        <w:spacing w:after="0" w:line="20" w:lineRule="exact"/>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3265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200" w:lineRule="exact"/>
        <w:rPr>
          <w:rFonts w:ascii="Calibri" w:cs="Calibri" w:eastAsia="Calibri" w:hAnsi="Calibri"/>
          <w:sz w:val="13"/>
          <w:szCs w:val="13"/>
          <w:color w:val="auto"/>
        </w:rPr>
      </w:pPr>
    </w:p>
    <w:p>
      <w:pPr>
        <w:spacing w:after="0" w:line="337" w:lineRule="exact"/>
        <w:rPr>
          <w:rFonts w:ascii="Calibri" w:cs="Calibri" w:eastAsia="Calibri" w:hAnsi="Calibri"/>
          <w:sz w:val="13"/>
          <w:szCs w:val="13"/>
          <w:color w:val="auto"/>
        </w:rPr>
      </w:pPr>
    </w:p>
    <w:p>
      <w:pPr>
        <w:spacing w:after="0"/>
        <w:rPr>
          <w:sz w:val="20"/>
          <w:szCs w:val="20"/>
          <w:color w:val="auto"/>
        </w:rPr>
      </w:pPr>
      <w:r>
        <w:rPr>
          <w:rFonts w:ascii="Calibri" w:cs="Calibri" w:eastAsia="Calibri" w:hAnsi="Calibri"/>
          <w:sz w:val="18"/>
          <w:szCs w:val="18"/>
          <w:color w:val="auto"/>
        </w:rPr>
        <w:t>Dated: October 30, 2024</w:t>
      </w:r>
    </w:p>
    <w:p>
      <w:pPr>
        <w:sectPr>
          <w:pgSz w:w="11900" w:h="16838" w:orient="portrait"/>
          <w:cols w:equalWidth="0" w:num="1">
            <w:col w:w="11120"/>
          </w:cols>
          <w:pgMar w:left="320" w:top="882" w:right="459" w:bottom="1440" w:gutter="0" w:footer="0" w:header="0"/>
        </w:sectPr>
      </w:pPr>
    </w:p>
    <w:bookmarkStart w:id="25" w:name="page26"/>
    <w:bookmarkEnd w:id="25"/>
    <w:p>
      <w:pPr>
        <w:ind w:left="10180"/>
        <w:spacing w:after="0"/>
        <w:rPr>
          <w:sz w:val="20"/>
          <w:szCs w:val="20"/>
          <w:color w:val="auto"/>
        </w:rPr>
      </w:pPr>
      <w:r>
        <w:rPr>
          <w:rFonts w:ascii="Calibri" w:cs="Calibri" w:eastAsia="Calibri" w:hAnsi="Calibri"/>
          <w:sz w:val="20"/>
          <w:szCs w:val="20"/>
          <w:b w:val="1"/>
          <w:bCs w:val="1"/>
          <w:color w:val="auto"/>
        </w:rPr>
        <w:t>EXHIBIT 10.1</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Executon Version</w:t>
      </w:r>
    </w:p>
    <w:p>
      <w:pPr>
        <w:spacing w:after="0" w:line="188" w:lineRule="exact"/>
        <w:rPr>
          <w:sz w:val="20"/>
          <w:szCs w:val="20"/>
          <w:color w:val="auto"/>
        </w:rPr>
      </w:pPr>
    </w:p>
    <w:p>
      <w:pPr>
        <w:ind w:left="4660"/>
        <w:spacing w:after="0"/>
        <w:rPr>
          <w:sz w:val="20"/>
          <w:szCs w:val="20"/>
          <w:color w:val="auto"/>
        </w:rPr>
      </w:pPr>
      <w:r>
        <w:rPr>
          <w:rFonts w:ascii="Calibri" w:cs="Calibri" w:eastAsia="Calibri" w:hAnsi="Calibri"/>
          <w:sz w:val="20"/>
          <w:szCs w:val="20"/>
          <w:b w:val="1"/>
          <w:bCs w:val="1"/>
          <w:color w:val="auto"/>
        </w:rPr>
        <w:t>FIRST AMENDMENT TO</w:t>
      </w:r>
    </w:p>
    <w:p>
      <w:pPr>
        <w:ind w:left="4040"/>
        <w:spacing w:after="0" w:line="225" w:lineRule="auto"/>
        <w:rPr>
          <w:sz w:val="20"/>
          <w:szCs w:val="20"/>
          <w:color w:val="auto"/>
        </w:rPr>
      </w:pPr>
      <w:r>
        <w:rPr>
          <w:rFonts w:ascii="Calibri" w:cs="Calibri" w:eastAsia="Calibri" w:hAnsi="Calibri"/>
          <w:sz w:val="20"/>
          <w:szCs w:val="20"/>
          <w:b w:val="1"/>
          <w:bCs w:val="1"/>
          <w:color w:val="auto"/>
        </w:rPr>
        <w:t>SECOND AMENDED AND RESTATED CREDIT AGREEMENT</w:t>
      </w:r>
    </w:p>
    <w:p>
      <w:pPr>
        <w:spacing w:after="0" w:line="225" w:lineRule="exact"/>
        <w:rPr>
          <w:sz w:val="20"/>
          <w:szCs w:val="20"/>
          <w:color w:val="auto"/>
        </w:rPr>
      </w:pPr>
    </w:p>
    <w:p>
      <w:pPr>
        <w:ind w:right="80" w:firstLine="648"/>
        <w:spacing w:after="0" w:line="220" w:lineRule="auto"/>
        <w:rPr>
          <w:sz w:val="20"/>
          <w:szCs w:val="20"/>
          <w:color w:val="auto"/>
        </w:rPr>
      </w:pPr>
      <w:r>
        <w:rPr>
          <w:rFonts w:ascii="Calibri" w:cs="Calibri" w:eastAsia="Calibri" w:hAnsi="Calibri"/>
          <w:sz w:val="20"/>
          <w:szCs w:val="20"/>
          <w:color w:val="auto"/>
        </w:rPr>
        <w:t>This FIRST AMENDMENT TO SECOND AMENDED AND RESTATED CREDIT AGREEMENT (this “</w:t>
      </w:r>
      <w:r>
        <w:rPr>
          <w:rFonts w:ascii="Calibri" w:cs="Calibri" w:eastAsia="Calibri" w:hAnsi="Calibri"/>
          <w:sz w:val="20"/>
          <w:szCs w:val="20"/>
          <w:b w:val="1"/>
          <w:bCs w:val="1"/>
          <w:color w:val="auto"/>
        </w:rPr>
        <w:t>Amendment</w:t>
      </w:r>
      <w:r>
        <w:rPr>
          <w:rFonts w:ascii="Calibri" w:cs="Calibri" w:eastAsia="Calibri" w:hAnsi="Calibri"/>
          <w:sz w:val="20"/>
          <w:szCs w:val="20"/>
          <w:color w:val="auto"/>
        </w:rPr>
        <w:t>”) is dated as of May 30, 2024 (the “</w:t>
      </w:r>
      <w:r>
        <w:rPr>
          <w:rFonts w:ascii="Calibri" w:cs="Calibri" w:eastAsia="Calibri" w:hAnsi="Calibri"/>
          <w:sz w:val="20"/>
          <w:szCs w:val="20"/>
          <w:b w:val="1"/>
          <w:bCs w:val="1"/>
          <w:color w:val="auto"/>
        </w:rPr>
        <w:t>First Amendment Efectve Date</w:t>
      </w:r>
      <w:r>
        <w:rPr>
          <w:rFonts w:ascii="Calibri" w:cs="Calibri" w:eastAsia="Calibri" w:hAnsi="Calibri"/>
          <w:sz w:val="20"/>
          <w:szCs w:val="20"/>
          <w:color w:val="auto"/>
        </w:rPr>
        <w:t>”), and is between Hawkins, Inc., a Minnesota corporaton (the “</w:t>
      </w:r>
      <w:r>
        <w:rPr>
          <w:rFonts w:ascii="Calibri" w:cs="Calibri" w:eastAsia="Calibri" w:hAnsi="Calibri"/>
          <w:sz w:val="20"/>
          <w:szCs w:val="20"/>
          <w:b w:val="1"/>
          <w:bCs w:val="1"/>
          <w:color w:val="auto"/>
        </w:rPr>
        <w:t>Borrower</w:t>
      </w:r>
      <w:r>
        <w:rPr>
          <w:rFonts w:ascii="Calibri" w:cs="Calibri" w:eastAsia="Calibri" w:hAnsi="Calibri"/>
          <w:sz w:val="20"/>
          <w:szCs w:val="20"/>
          <w:color w:val="auto"/>
        </w:rPr>
        <w:t>”), the Lenders party hereto, U.S. Bank Natonal Associaton, a natonal banking associaton, as LC Issuer, Swing Line Lender and as Administratve Agent (the “</w:t>
      </w:r>
      <w:r>
        <w:rPr>
          <w:rFonts w:ascii="Calibri" w:cs="Calibri" w:eastAsia="Calibri" w:hAnsi="Calibri"/>
          <w:sz w:val="20"/>
          <w:szCs w:val="20"/>
          <w:b w:val="1"/>
          <w:bCs w:val="1"/>
          <w:color w:val="auto"/>
        </w:rPr>
        <w:t>Administratve Agent</w:t>
      </w:r>
      <w:r>
        <w:rPr>
          <w:rFonts w:ascii="Calibri" w:cs="Calibri" w:eastAsia="Calibri" w:hAnsi="Calibri"/>
          <w:sz w:val="20"/>
          <w:szCs w:val="20"/>
          <w:color w:val="auto"/>
        </w:rPr>
        <w:t>”).</w:t>
      </w:r>
    </w:p>
    <w:p>
      <w:pPr>
        <w:spacing w:after="0" w:line="202" w:lineRule="exact"/>
        <w:rPr>
          <w:sz w:val="20"/>
          <w:szCs w:val="20"/>
          <w:color w:val="auto"/>
        </w:rPr>
      </w:pPr>
    </w:p>
    <w:p>
      <w:pPr>
        <w:ind w:left="6020"/>
        <w:spacing w:after="0"/>
        <w:rPr>
          <w:sz w:val="20"/>
          <w:szCs w:val="20"/>
          <w:color w:val="auto"/>
        </w:rPr>
      </w:pPr>
      <w:r>
        <w:rPr>
          <w:rFonts w:ascii="Calibri" w:cs="Calibri" w:eastAsia="Calibri" w:hAnsi="Calibri"/>
          <w:sz w:val="20"/>
          <w:szCs w:val="20"/>
          <w:color w:val="auto"/>
        </w:rPr>
        <w:t>RECITALS</w:t>
      </w:r>
    </w:p>
    <w:p>
      <w:pPr>
        <w:spacing w:after="0" w:line="225" w:lineRule="exact"/>
        <w:rPr>
          <w:sz w:val="20"/>
          <w:szCs w:val="20"/>
          <w:color w:val="auto"/>
        </w:rPr>
      </w:pPr>
    </w:p>
    <w:p>
      <w:pPr>
        <w:jc w:val="both"/>
        <w:ind w:left="660" w:hanging="328"/>
        <w:spacing w:after="0" w:line="220" w:lineRule="auto"/>
        <w:tabs>
          <w:tab w:leader="none" w:pos="654"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The Borrower, the Lenders and the Administratve Agent are party to that certain Second Amended and Restated Credit Agreement, dated as of March 31, 2022 (as may be amended, restated or otherwise modifed from tme to tme, the “</w:t>
      </w:r>
      <w:r>
        <w:rPr>
          <w:rFonts w:ascii="Calibri" w:cs="Calibri" w:eastAsia="Calibri" w:hAnsi="Calibri"/>
          <w:sz w:val="20"/>
          <w:szCs w:val="20"/>
          <w:b w:val="1"/>
          <w:bCs w:val="1"/>
          <w:color w:val="auto"/>
        </w:rPr>
        <w:t>Credit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Agreement</w:t>
      </w:r>
      <w:r>
        <w:rPr>
          <w:rFonts w:ascii="Calibri" w:cs="Calibri" w:eastAsia="Calibri" w:hAnsi="Calibri"/>
          <w:sz w:val="20"/>
          <w:szCs w:val="20"/>
          <w:color w:val="auto"/>
        </w:rPr>
        <w:t>”). Capitalized terms not otherwise defned in this Amendment shall have the meanings respectvely assigned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them in the Credit Agreement.</w:t>
      </w:r>
    </w:p>
    <w:p>
      <w:pPr>
        <w:spacing w:after="0" w:line="238" w:lineRule="exact"/>
        <w:rPr>
          <w:rFonts w:ascii="Calibri" w:cs="Calibri" w:eastAsia="Calibri" w:hAnsi="Calibri"/>
          <w:sz w:val="20"/>
          <w:szCs w:val="20"/>
          <w:color w:val="auto"/>
        </w:rPr>
      </w:pPr>
    </w:p>
    <w:p>
      <w:pPr>
        <w:ind w:left="660" w:right="20" w:hanging="328"/>
        <w:spacing w:after="0" w:line="221" w:lineRule="auto"/>
        <w:tabs>
          <w:tab w:leader="none" w:pos="659"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The partes hereto desire to amend and modify the Credit Agreement in accordance with the terms and subject to the conditons set forth in this Amendment.</w:t>
      </w:r>
    </w:p>
    <w:p>
      <w:pPr>
        <w:spacing w:after="0" w:line="239" w:lineRule="exact"/>
        <w:rPr>
          <w:sz w:val="20"/>
          <w:szCs w:val="20"/>
          <w:color w:val="auto"/>
        </w:rPr>
      </w:pPr>
    </w:p>
    <w:p>
      <w:pPr>
        <w:ind w:right="20" w:firstLine="648"/>
        <w:spacing w:after="0" w:line="221" w:lineRule="auto"/>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mutual covenants, conditons and agreements herein contained, the partes hereto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hereby agree as follows:</w:t>
      </w:r>
    </w:p>
    <w:p>
      <w:pPr>
        <w:spacing w:after="0" w:line="229" w:lineRule="exact"/>
        <w:rPr>
          <w:sz w:val="20"/>
          <w:szCs w:val="20"/>
          <w:color w:val="auto"/>
        </w:rPr>
      </w:pPr>
    </w:p>
    <w:p>
      <w:pPr>
        <w:ind w:left="5860"/>
        <w:spacing w:after="0"/>
        <w:rPr>
          <w:sz w:val="20"/>
          <w:szCs w:val="20"/>
          <w:color w:val="auto"/>
        </w:rPr>
      </w:pPr>
      <w:r>
        <w:rPr>
          <w:rFonts w:ascii="Calibri" w:cs="Calibri" w:eastAsia="Calibri" w:hAnsi="Calibri"/>
          <w:sz w:val="20"/>
          <w:szCs w:val="20"/>
          <w:b w:val="1"/>
          <w:bCs w:val="1"/>
          <w:color w:val="auto"/>
        </w:rPr>
        <w:t>AGREEMENT</w:t>
      </w:r>
    </w:p>
    <w:p>
      <w:pPr>
        <w:spacing w:after="0" w:line="225" w:lineRule="exact"/>
        <w:rPr>
          <w:sz w:val="20"/>
          <w:szCs w:val="20"/>
          <w:color w:val="auto"/>
        </w:rPr>
      </w:pPr>
    </w:p>
    <w:p>
      <w:pPr>
        <w:ind w:firstLine="648"/>
        <w:spacing w:after="0" w:line="221" w:lineRule="auto"/>
        <w:rPr>
          <w:sz w:val="20"/>
          <w:szCs w:val="20"/>
          <w:color w:val="auto"/>
        </w:rPr>
      </w:pPr>
      <w:r>
        <w:rPr>
          <w:rFonts w:ascii="Calibri" w:cs="Calibri" w:eastAsia="Calibri" w:hAnsi="Calibri"/>
          <w:sz w:val="20"/>
          <w:szCs w:val="20"/>
          <w:color w:val="auto"/>
        </w:rPr>
        <w:t xml:space="preserve">SECTION 1. </w:t>
      </w:r>
      <w:r>
        <w:rPr>
          <w:rFonts w:ascii="Calibri" w:cs="Calibri" w:eastAsia="Calibri" w:hAnsi="Calibri"/>
          <w:sz w:val="20"/>
          <w:szCs w:val="20"/>
          <w:b w:val="1"/>
          <w:bCs w:val="1"/>
          <w:u w:val="single" w:color="auto"/>
          <w:color w:val="auto"/>
        </w:rPr>
        <w:t>Capitalized Terms</w:t>
      </w:r>
      <w:r>
        <w:rPr>
          <w:rFonts w:ascii="Calibri" w:cs="Calibri" w:eastAsia="Calibri" w:hAnsi="Calibri"/>
          <w:sz w:val="20"/>
          <w:szCs w:val="20"/>
          <w:color w:val="auto"/>
        </w:rPr>
        <w:t>. Capitalized terms used and not otherwise defned herein shall have the meanings assigned to them in the Credit Agreement, unless the context otherwise requires.</w:t>
      </w:r>
    </w:p>
    <w:p>
      <w:pPr>
        <w:sectPr>
          <w:pgSz w:w="11900" w:h="16838" w:orient="portrait"/>
          <w:cols w:equalWidth="0" w:num="1">
            <w:col w:w="11240"/>
          </w:cols>
          <w:pgMar w:left="320" w:top="1064" w:right="339" w:bottom="1440" w:gutter="0" w:footer="0" w:header="0"/>
        </w:sectPr>
      </w:pPr>
    </w:p>
    <w:bookmarkStart w:id="26" w:name="page27"/>
    <w:bookmarkEnd w:id="26"/>
    <w:p>
      <w:pPr>
        <w:ind w:right="20" w:firstLine="648"/>
        <w:spacing w:after="0" w:line="221" w:lineRule="auto"/>
        <w:rPr>
          <w:sz w:val="20"/>
          <w:szCs w:val="20"/>
          <w:color w:val="auto"/>
        </w:rPr>
      </w:pPr>
      <w:r>
        <w:rPr>
          <w:rFonts w:ascii="Calibri" w:cs="Calibri" w:eastAsia="Calibri" w:hAnsi="Calibri"/>
          <w:sz w:val="20"/>
          <w:szCs w:val="20"/>
          <w:color w:val="auto"/>
        </w:rPr>
        <w:t xml:space="preserve">SECTION 2. </w:t>
      </w:r>
      <w:r>
        <w:rPr>
          <w:rFonts w:ascii="Calibri" w:cs="Calibri" w:eastAsia="Calibri" w:hAnsi="Calibri"/>
          <w:sz w:val="20"/>
          <w:szCs w:val="20"/>
          <w:b w:val="1"/>
          <w:bCs w:val="1"/>
          <w:u w:val="single" w:color="auto"/>
          <w:color w:val="auto"/>
        </w:rPr>
        <w:t>Amendments</w:t>
      </w:r>
      <w:r>
        <w:rPr>
          <w:rFonts w:ascii="Calibri" w:cs="Calibri" w:eastAsia="Calibri" w:hAnsi="Calibri"/>
          <w:sz w:val="20"/>
          <w:szCs w:val="20"/>
          <w:u w:val="single" w:color="auto"/>
          <w:color w:val="auto"/>
        </w:rPr>
        <w:t>.</w:t>
      </w:r>
      <w:r>
        <w:rPr>
          <w:rFonts w:ascii="Calibri" w:cs="Calibri" w:eastAsia="Calibri" w:hAnsi="Calibri"/>
          <w:sz w:val="20"/>
          <w:szCs w:val="20"/>
          <w:color w:val="auto"/>
        </w:rPr>
        <w:t xml:space="preserve"> Subject to the satsfacton of the conditons precedent set forth herein, the Credit Agreement is hereby amended as set forth herein, efectve as of the First Amendment Efectve Date.</w:t>
      </w:r>
    </w:p>
    <w:p>
      <w:pPr>
        <w:spacing w:after="0" w:line="239" w:lineRule="exact"/>
        <w:rPr>
          <w:sz w:val="20"/>
          <w:szCs w:val="20"/>
          <w:color w:val="auto"/>
        </w:rPr>
      </w:pPr>
    </w:p>
    <w:p>
      <w:pPr>
        <w:ind w:left="660" w:firstLine="648"/>
        <w:spacing w:after="0" w:line="221" w:lineRule="auto"/>
        <w:rPr>
          <w:sz w:val="20"/>
          <w:szCs w:val="20"/>
          <w:color w:val="auto"/>
        </w:rPr>
      </w:pPr>
      <w:r>
        <w:rPr>
          <w:rFonts w:ascii="Calibri" w:cs="Calibri" w:eastAsia="Calibri" w:hAnsi="Calibri"/>
          <w:sz w:val="20"/>
          <w:szCs w:val="20"/>
          <w:b w:val="1"/>
          <w:bCs w:val="1"/>
          <w:color w:val="auto"/>
        </w:rPr>
        <w:t xml:space="preserve">Secton 2.1 - </w:t>
      </w:r>
      <w:r>
        <w:rPr>
          <w:rFonts w:ascii="Calibri" w:cs="Calibri" w:eastAsia="Calibri" w:hAnsi="Calibri"/>
          <w:sz w:val="20"/>
          <w:szCs w:val="20"/>
          <w:color w:val="auto"/>
        </w:rPr>
        <w:t>The following defned terms in Secton 1.1 of the Credit Agreement are hereby amended and restated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their entrety, or added to Secton 1.1 of the Credit Agreement in alphabetcal order, as follows:</w:t>
      </w:r>
    </w:p>
    <w:p>
      <w:pPr>
        <w:spacing w:after="0" w:line="239" w:lineRule="exact"/>
        <w:rPr>
          <w:sz w:val="20"/>
          <w:szCs w:val="20"/>
          <w:color w:val="auto"/>
        </w:rPr>
      </w:pPr>
    </w:p>
    <w:p>
      <w:pPr>
        <w:jc w:val="both"/>
        <w:ind w:left="1300"/>
        <w:spacing w:after="0" w:line="223"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Indebtedness</w:t>
      </w:r>
      <w:r>
        <w:rPr>
          <w:rFonts w:ascii="Calibri" w:cs="Calibri" w:eastAsia="Calibri" w:hAnsi="Calibri"/>
          <w:sz w:val="20"/>
          <w:szCs w:val="20"/>
          <w:color w:val="auto"/>
        </w:rPr>
        <w:t>” of a Person means such Person’s (i) obligatons for borrowed money, (ii) obligatons representng the deferred purchase price of Property or services (other than accounts payable arising in the ordinary course of such Person’s business payable on terms customary in the trade, Working Capital Adjustments or earn-out payments in the aggregate amount not to exceed $2,000,000 for such earn-out payments), (iii) obligatons, whether or not assumed, secured by Liens or payable out of the proceeds or producton from Property now or hereafer owned or acquired by such Person, (iv) obligatons that are evidenced by notes, acceptances or other instruments, (v) any capital securites or other equity instrument, whether or not mandatorily redeemable, that under GAAP is characterized as debt, whether pursuant to fnancial accountng standards board issuance No. 150 or otherwise, (vi) Capitalized Lease Obligatons, (vii) obligatons of such Person as an account party with respect to standby and commercial Leters of Credit, (viii) Contngent Obligatons of such Person, (ix) Net Mark to Market Exposure under Financial Contracts, (x) Receivables Transacton Atributed Indebtedness, and (xi) any other obligaton for borrowed money or other fnancial accommodaton that in accordance with GAAP would be shown as a liability on the consolidated balance sheet of such Person.</w:t>
      </w:r>
    </w:p>
    <w:p>
      <w:pPr>
        <w:spacing w:after="0" w:line="248" w:lineRule="exact"/>
        <w:rPr>
          <w:sz w:val="20"/>
          <w:szCs w:val="20"/>
          <w:color w:val="auto"/>
        </w:rPr>
      </w:pPr>
    </w:p>
    <w:p>
      <w:pPr>
        <w:jc w:val="both"/>
        <w:ind w:left="1300" w:firstLine="648"/>
        <w:spacing w:after="0" w:line="22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Lien</w:t>
      </w:r>
      <w:r>
        <w:rPr>
          <w:rFonts w:ascii="Calibri" w:cs="Calibri" w:eastAsia="Calibri" w:hAnsi="Calibri"/>
          <w:sz w:val="20"/>
          <w:szCs w:val="20"/>
          <w:color w:val="auto"/>
        </w:rPr>
        <w:t>” means any lien (statutory or other), mortgage, pledge, hypothecaton, assignment, deposit arrangement, encumbrance, priority or other security agreement or similar arrangement of any kind or nature whatsoever (including, without limitaton, (a) the interest of a vendor or lessor under any conditonal sale, Capitalized Lease or other ttle retenton agreement or (b) assignment, sale or other dispositon of any notes receivable or accounts receivable).</w:t>
      </w:r>
    </w:p>
    <w:p>
      <w:pPr>
        <w:spacing w:after="0" w:line="239" w:lineRule="exact"/>
        <w:rPr>
          <w:sz w:val="20"/>
          <w:szCs w:val="20"/>
          <w:color w:val="auto"/>
        </w:rPr>
      </w:pPr>
    </w:p>
    <w:p>
      <w:pPr>
        <w:jc w:val="both"/>
        <w:ind w:left="1300" w:firstLine="648"/>
        <w:spacing w:after="0" w:line="219"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Qualifed Receivables Transacton</w:t>
      </w:r>
      <w:r>
        <w:rPr>
          <w:rFonts w:ascii="Calibri" w:cs="Calibri" w:eastAsia="Calibri" w:hAnsi="Calibri"/>
          <w:sz w:val="20"/>
          <w:szCs w:val="20"/>
          <w:color w:val="auto"/>
        </w:rPr>
        <w:t>” means any transacton or series of transactons entered into by the Borrower or any Subsidiary pursuant to which the Borrower or any Subsidiary may sell, convey or otherwise transfer any accounts or notes receivable and rights related thereto and with respect to which (a) all of the terms and conditons of such transacton or series of transactons, including without limitaton the amount and type of any recourse to the Borrower or any Subsidiary with respect to the Property transferred, are acceptable to the Administratve Agent in its reasonable discreton, and (b) the Receivables Transacton Atributed Indebtedness does not exceed $10,000,000.</w:t>
      </w:r>
    </w:p>
    <w:p>
      <w:pPr>
        <w:spacing w:after="0" w:line="229" w:lineRule="exact"/>
        <w:rPr>
          <w:sz w:val="20"/>
          <w:szCs w:val="20"/>
          <w:color w:val="auto"/>
        </w:rPr>
      </w:pPr>
    </w:p>
    <w:p>
      <w:pPr>
        <w:jc w:val="both"/>
        <w:ind w:left="1300" w:firstLine="648"/>
        <w:spacing w:after="0" w:line="220"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Receivables Transacton Atributed Indebtedness</w:t>
      </w:r>
      <w:r>
        <w:rPr>
          <w:rFonts w:ascii="Calibri" w:cs="Calibri" w:eastAsia="Calibri" w:hAnsi="Calibri"/>
          <w:sz w:val="20"/>
          <w:szCs w:val="20"/>
          <w:color w:val="auto"/>
        </w:rPr>
        <w:t>” means the amount of obligatons outstanding under the legal documents entered into as part of any Qualifed Receivables Transacton on any date of determinaton that would be characterized as principal if such Qualifed Receivables Transacton were structured as a secured lending transacton rather than as a purchase.</w:t>
      </w:r>
    </w:p>
    <w:p>
      <w:pPr>
        <w:spacing w:after="0" w:line="239" w:lineRule="exact"/>
        <w:rPr>
          <w:sz w:val="20"/>
          <w:szCs w:val="20"/>
          <w:color w:val="auto"/>
        </w:rPr>
      </w:pPr>
    </w:p>
    <w:p>
      <w:pPr>
        <w:ind w:left="660" w:right="20" w:firstLine="648"/>
        <w:spacing w:after="0" w:line="221" w:lineRule="auto"/>
        <w:rPr>
          <w:sz w:val="20"/>
          <w:szCs w:val="20"/>
          <w:color w:val="auto"/>
        </w:rPr>
      </w:pPr>
      <w:r>
        <w:rPr>
          <w:rFonts w:ascii="Calibri" w:cs="Calibri" w:eastAsia="Calibri" w:hAnsi="Calibri"/>
          <w:sz w:val="20"/>
          <w:szCs w:val="20"/>
          <w:b w:val="1"/>
          <w:bCs w:val="1"/>
          <w:color w:val="auto"/>
        </w:rPr>
        <w:t xml:space="preserve">Secton 2.2 - </w:t>
      </w:r>
      <w:r>
        <w:rPr>
          <w:rFonts w:ascii="Calibri" w:cs="Calibri" w:eastAsia="Calibri" w:hAnsi="Calibri"/>
          <w:sz w:val="20"/>
          <w:szCs w:val="20"/>
          <w:color w:val="auto"/>
        </w:rPr>
        <w:t>Secton 6.17 of the Credit Agreement is hereby amended to add the following subsecton as subsecton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6.17(o), and to accordingly renumber existng subsecton 6.17(o) to subsecton 6.17(p):</w:t>
      </w:r>
    </w:p>
    <w:p>
      <w:pPr>
        <w:spacing w:after="0" w:line="239" w:lineRule="exact"/>
        <w:rPr>
          <w:sz w:val="20"/>
          <w:szCs w:val="20"/>
          <w:color w:val="auto"/>
        </w:rPr>
      </w:pPr>
    </w:p>
    <w:p>
      <w:pPr>
        <w:ind w:left="1700" w:right="4500" w:hanging="396"/>
        <w:spacing w:after="0" w:line="221" w:lineRule="auto"/>
        <w:tabs>
          <w:tab w:leader="none" w:pos="1579"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Receivables Transacton Atributed Indebtedness not to exceed $10,000,000; and</w:t>
      </w:r>
    </w:p>
    <w:p>
      <w:pPr>
        <w:sectPr>
          <w:pgSz w:w="11900" w:h="16838" w:orient="portrait"/>
          <w:cols w:equalWidth="0" w:num="1">
            <w:col w:w="11240"/>
          </w:cols>
          <w:pgMar w:left="320" w:top="1074" w:right="339" w:bottom="1440" w:gutter="0" w:footer="0" w:header="0"/>
        </w:sectPr>
      </w:pPr>
    </w:p>
    <w:bookmarkStart w:id="27" w:name="page28"/>
    <w:bookmarkEnd w:id="27"/>
    <w:p>
      <w:pPr>
        <w:ind w:left="1300"/>
        <w:spacing w:after="0"/>
        <w:rPr>
          <w:sz w:val="20"/>
          <w:szCs w:val="20"/>
          <w:color w:val="auto"/>
        </w:rPr>
      </w:pPr>
      <w:r>
        <w:rPr>
          <w:rFonts w:ascii="Calibri" w:cs="Calibri" w:eastAsia="Calibri" w:hAnsi="Calibri"/>
          <w:sz w:val="20"/>
          <w:szCs w:val="20"/>
          <w:b w:val="1"/>
          <w:bCs w:val="1"/>
          <w:color w:val="auto"/>
        </w:rPr>
        <w:t xml:space="preserve">Secton 2.3 - </w:t>
      </w:r>
      <w:r>
        <w:rPr>
          <w:rFonts w:ascii="Calibri" w:cs="Calibri" w:eastAsia="Calibri" w:hAnsi="Calibri"/>
          <w:sz w:val="20"/>
          <w:szCs w:val="20"/>
          <w:color w:val="auto"/>
        </w:rPr>
        <w:t>Secton 6.19(d) of the Credit Agreement is hereby amended and restated in its entrety as follows:</w:t>
      </w:r>
    </w:p>
    <w:p>
      <w:pPr>
        <w:spacing w:after="0" w:line="225" w:lineRule="exact"/>
        <w:rPr>
          <w:sz w:val="20"/>
          <w:szCs w:val="20"/>
          <w:color w:val="auto"/>
        </w:rPr>
      </w:pPr>
    </w:p>
    <w:p>
      <w:pPr>
        <w:ind w:left="660" w:firstLine="644"/>
        <w:spacing w:after="0" w:line="228" w:lineRule="auto"/>
        <w:tabs>
          <w:tab w:leader="none" w:pos="1804"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any transfer of an interest (whether characterized as a grant of a security interest or the transfer of ownership) in accounts or notes receivable and related Property as part of a Qualifed Receivables Transacton; or</w:t>
      </w:r>
    </w:p>
    <w:p>
      <w:pPr>
        <w:spacing w:after="0" w:line="225" w:lineRule="exact"/>
        <w:rPr>
          <w:sz w:val="20"/>
          <w:szCs w:val="20"/>
          <w:color w:val="auto"/>
        </w:rPr>
      </w:pPr>
    </w:p>
    <w:p>
      <w:pPr>
        <w:ind w:left="660" w:right="20" w:firstLine="648"/>
        <w:spacing w:after="0" w:line="228" w:lineRule="auto"/>
        <w:rPr>
          <w:sz w:val="20"/>
          <w:szCs w:val="20"/>
          <w:color w:val="auto"/>
        </w:rPr>
      </w:pPr>
      <w:r>
        <w:rPr>
          <w:rFonts w:ascii="Calibri" w:cs="Calibri" w:eastAsia="Calibri" w:hAnsi="Calibri"/>
          <w:sz w:val="20"/>
          <w:szCs w:val="20"/>
          <w:b w:val="1"/>
          <w:bCs w:val="1"/>
          <w:color w:val="auto"/>
        </w:rPr>
        <w:t xml:space="preserve">Secton 2.4 - </w:t>
      </w:r>
      <w:r>
        <w:rPr>
          <w:rFonts w:ascii="Calibri" w:cs="Calibri" w:eastAsia="Calibri" w:hAnsi="Calibri"/>
          <w:sz w:val="20"/>
          <w:szCs w:val="20"/>
          <w:color w:val="auto"/>
        </w:rPr>
        <w:t>Secton 6.22 of the Credit Agreement is hereby amended to add the following subsecton as subsecton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6.22(n), and to accordingly renumber existng subsecton 6.22(n) to subsecton 6.22(o):</w:t>
      </w:r>
    </w:p>
    <w:p>
      <w:pPr>
        <w:spacing w:after="0" w:line="225" w:lineRule="exact"/>
        <w:rPr>
          <w:sz w:val="20"/>
          <w:szCs w:val="20"/>
          <w:color w:val="auto"/>
        </w:rPr>
      </w:pPr>
    </w:p>
    <w:p>
      <w:pPr>
        <w:jc w:val="both"/>
        <w:ind w:left="660" w:right="20" w:firstLine="644"/>
        <w:spacing w:after="0" w:line="228" w:lineRule="auto"/>
        <w:tabs>
          <w:tab w:leader="none" w:pos="158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Liens incurred in connecton with any transfer of an interest (whether characterized as a grant of a security interest or the transfer of ownership) in accounts or notes receivable or related Property as part of a Qualifed Receivables Transacton; and</w:t>
      </w:r>
    </w:p>
    <w:p>
      <w:pPr>
        <w:spacing w:after="0" w:line="215" w:lineRule="exact"/>
        <w:rPr>
          <w:sz w:val="20"/>
          <w:szCs w:val="20"/>
          <w:color w:val="auto"/>
        </w:rPr>
      </w:pPr>
    </w:p>
    <w:p>
      <w:pPr>
        <w:ind w:left="1300"/>
        <w:spacing w:after="0"/>
        <w:rPr>
          <w:sz w:val="20"/>
          <w:szCs w:val="20"/>
          <w:color w:val="auto"/>
        </w:rPr>
      </w:pPr>
      <w:r>
        <w:rPr>
          <w:rFonts w:ascii="Calibri" w:cs="Calibri" w:eastAsia="Calibri" w:hAnsi="Calibri"/>
          <w:sz w:val="20"/>
          <w:szCs w:val="20"/>
          <w:b w:val="1"/>
          <w:bCs w:val="1"/>
          <w:color w:val="auto"/>
        </w:rPr>
        <w:t xml:space="preserve">Secton 2.5 - </w:t>
      </w:r>
      <w:r>
        <w:rPr>
          <w:rFonts w:ascii="Calibri" w:cs="Calibri" w:eastAsia="Calibri" w:hAnsi="Calibri"/>
          <w:sz w:val="20"/>
          <w:szCs w:val="20"/>
          <w:color w:val="auto"/>
        </w:rPr>
        <w:t>Secton 6.28 of the Credit Agreement is hereby amended and restated in its entrety as follows:</w:t>
      </w:r>
    </w:p>
    <w:p>
      <w:pPr>
        <w:spacing w:after="0" w:line="225" w:lineRule="exact"/>
        <w:rPr>
          <w:sz w:val="20"/>
          <w:szCs w:val="20"/>
          <w:color w:val="auto"/>
        </w:rPr>
      </w:pPr>
    </w:p>
    <w:p>
      <w:pPr>
        <w:jc w:val="both"/>
        <w:ind w:left="1300" w:firstLine="648"/>
        <w:spacing w:after="0" w:line="219" w:lineRule="auto"/>
        <w:rPr>
          <w:sz w:val="20"/>
          <w:szCs w:val="20"/>
          <w:color w:val="auto"/>
        </w:rPr>
      </w:pPr>
      <w:r>
        <w:rPr>
          <w:rFonts w:ascii="Calibri" w:cs="Calibri" w:eastAsia="Calibri" w:hAnsi="Calibri"/>
          <w:sz w:val="20"/>
          <w:szCs w:val="20"/>
          <w:color w:val="auto"/>
        </w:rPr>
        <w:t xml:space="preserve">6.28 </w:t>
      </w:r>
      <w:r>
        <w:rPr>
          <w:rFonts w:ascii="Calibri" w:cs="Calibri" w:eastAsia="Calibri" w:hAnsi="Calibri"/>
          <w:sz w:val="20"/>
          <w:szCs w:val="20"/>
          <w:u w:val="single" w:color="auto"/>
          <w:color w:val="auto"/>
        </w:rPr>
        <w:t>Negatve Pledges; Subsidiary Restrictons</w:t>
      </w:r>
      <w:r>
        <w:rPr>
          <w:rFonts w:ascii="Calibri" w:cs="Calibri" w:eastAsia="Calibri" w:hAnsi="Calibri"/>
          <w:sz w:val="20"/>
          <w:szCs w:val="20"/>
          <w:color w:val="auto"/>
        </w:rPr>
        <w:t>. Neither the Borrower nor the Subsidiaries shall enter into any agreement, bond, note or other instrument with or for the beneft of any Person other than the Lenders that would (a) prohibit any of the Borrower and the Subsidiaries from grantng, or otherwise limit the ability of such Person to grant, to the Lenders any Lien on any of the assets or propertes of such Person, or (b) require any of the Borrower and the Subsidiaries to grant a Lien to any other Person if such Borrower or such Subsidiary grants any Lien to the Lenders, in each case except for any such agreement, bond, note or other instrument interest with respect to the property subject to purchase money fnancings and Capitalized Lease agreements permited hereby. Neither the Borrower nor the Subsidiaries shall place or allow any restricton, directly or indirectly, on the ability of the Borrower or Subsidiary to (x) pay dividends or any distributons on or with respect to such Person’s Equity Interests or (y) make loans or other cash payments to the Borrower, in each case except for (i) restrictons placed or allowed by any Person with respect to the property subject to purchase money fnancings and Capitalized Lease agreements permited hereunder and (ii) customary restrictons and conditons in documents evidencing Qualifed Receivables Transactons.</w:t>
      </w:r>
    </w:p>
    <w:p>
      <w:pPr>
        <w:spacing w:after="0" w:line="229" w:lineRule="exact"/>
        <w:rPr>
          <w:sz w:val="20"/>
          <w:szCs w:val="20"/>
          <w:color w:val="auto"/>
        </w:rPr>
      </w:pPr>
    </w:p>
    <w:p>
      <w:pPr>
        <w:ind w:firstLine="648"/>
        <w:spacing w:after="0" w:line="228" w:lineRule="auto"/>
        <w:rPr>
          <w:sz w:val="20"/>
          <w:szCs w:val="20"/>
          <w:color w:val="auto"/>
        </w:rPr>
      </w:pPr>
      <w:r>
        <w:rPr>
          <w:rFonts w:ascii="Calibri" w:cs="Calibri" w:eastAsia="Calibri" w:hAnsi="Calibri"/>
          <w:sz w:val="20"/>
          <w:szCs w:val="20"/>
          <w:color w:val="auto"/>
        </w:rPr>
        <w:t xml:space="preserve">SECTION 3. </w:t>
      </w:r>
      <w:r>
        <w:rPr>
          <w:rFonts w:ascii="Calibri" w:cs="Calibri" w:eastAsia="Calibri" w:hAnsi="Calibri"/>
          <w:sz w:val="20"/>
          <w:szCs w:val="20"/>
          <w:b w:val="1"/>
          <w:bCs w:val="1"/>
          <w:u w:val="single" w:color="auto"/>
          <w:color w:val="auto"/>
        </w:rPr>
        <w:t>Efectveness of Amendments</w:t>
      </w:r>
      <w:r>
        <w:rPr>
          <w:rFonts w:ascii="Calibri" w:cs="Calibri" w:eastAsia="Calibri" w:hAnsi="Calibri"/>
          <w:sz w:val="20"/>
          <w:szCs w:val="20"/>
          <w:color w:val="auto"/>
        </w:rPr>
        <w:t>. The amendments contained in this Amendment shall become efectve upon delivery by the Borrower of, and compliance by the Borrower with, the following:</w:t>
      </w:r>
    </w:p>
    <w:p>
      <w:pPr>
        <w:spacing w:after="0" w:line="215" w:lineRule="exact"/>
        <w:rPr>
          <w:sz w:val="20"/>
          <w:szCs w:val="20"/>
          <w:color w:val="auto"/>
        </w:rPr>
      </w:pPr>
    </w:p>
    <w:p>
      <w:pPr>
        <w:ind w:left="1300"/>
        <w:spacing w:after="0"/>
        <w:rPr>
          <w:sz w:val="20"/>
          <w:szCs w:val="20"/>
          <w:color w:val="auto"/>
        </w:rPr>
      </w:pPr>
      <w:r>
        <w:rPr>
          <w:rFonts w:ascii="Calibri" w:cs="Calibri" w:eastAsia="Calibri" w:hAnsi="Calibri"/>
          <w:sz w:val="20"/>
          <w:szCs w:val="20"/>
          <w:b w:val="1"/>
          <w:bCs w:val="1"/>
          <w:color w:val="auto"/>
        </w:rPr>
        <w:t xml:space="preserve">Secton 3.1 </w:t>
      </w:r>
      <w:r>
        <w:rPr>
          <w:rFonts w:ascii="Calibri" w:cs="Calibri" w:eastAsia="Calibri" w:hAnsi="Calibri"/>
          <w:sz w:val="20"/>
          <w:szCs w:val="20"/>
          <w:color w:val="auto"/>
        </w:rPr>
        <w:t>- This Amendment duly executed by the Borrower.</w:t>
      </w:r>
    </w:p>
    <w:p>
      <w:pPr>
        <w:spacing w:after="0" w:line="238" w:lineRule="exact"/>
        <w:rPr>
          <w:sz w:val="20"/>
          <w:szCs w:val="20"/>
          <w:color w:val="auto"/>
        </w:rPr>
      </w:pPr>
    </w:p>
    <w:p>
      <w:pPr>
        <w:jc w:val="both"/>
        <w:ind w:left="660" w:firstLine="648"/>
        <w:spacing w:after="0"/>
        <w:rPr>
          <w:sz w:val="20"/>
          <w:szCs w:val="20"/>
          <w:color w:val="auto"/>
        </w:rPr>
      </w:pPr>
      <w:r>
        <w:rPr>
          <w:rFonts w:ascii="Calibri" w:cs="Calibri" w:eastAsia="Calibri" w:hAnsi="Calibri"/>
          <w:sz w:val="20"/>
          <w:szCs w:val="20"/>
          <w:b w:val="1"/>
          <w:bCs w:val="1"/>
          <w:color w:val="auto"/>
        </w:rPr>
        <w:t xml:space="preserve">Secton 3.2 - </w:t>
      </w:r>
      <w:r>
        <w:rPr>
          <w:rFonts w:ascii="Calibri" w:cs="Calibri" w:eastAsia="Calibri" w:hAnsi="Calibri"/>
          <w:sz w:val="20"/>
          <w:szCs w:val="20"/>
          <w:color w:val="auto"/>
        </w:rPr>
        <w:t>A certfcate of the Secretary of the Borrower certfying or confrming no change from the Borrower’s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certfcate dated as of March 31, 2022 (i) as to the resolutons of the Board of Directors of the Borrower authorizing the executon, delivery and performance of this Amendment, (ii) as to Artcles of Incorporaton or Bylaws of the Borrower, and (iii) as to the identty, ofce and signatures of each ofcer of the Borrower authorized to execute this Amendment and any other instrument or agreement executed by the Borrower in connecton with this Amendment (collectvely, the “</w:t>
      </w:r>
      <w:r>
        <w:rPr>
          <w:rFonts w:ascii="Calibri" w:cs="Calibri" w:eastAsia="Calibri" w:hAnsi="Calibri"/>
          <w:sz w:val="20"/>
          <w:szCs w:val="20"/>
          <w:b w:val="1"/>
          <w:bCs w:val="1"/>
          <w:color w:val="auto"/>
        </w:rPr>
        <w:t>Amendment</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Documents</w:t>
      </w:r>
      <w:r>
        <w:rPr>
          <w:rFonts w:ascii="Calibri" w:cs="Calibri" w:eastAsia="Calibri" w:hAnsi="Calibri"/>
          <w:sz w:val="20"/>
          <w:szCs w:val="20"/>
          <w:color w:val="auto"/>
        </w:rPr>
        <w:t>”).</w:t>
      </w:r>
    </w:p>
    <w:p>
      <w:pPr>
        <w:sectPr>
          <w:pgSz w:w="11900" w:h="16838" w:orient="portrait"/>
          <w:cols w:equalWidth="0" w:num="1">
            <w:col w:w="11240"/>
          </w:cols>
          <w:pgMar w:left="320" w:top="1064" w:right="339" w:bottom="1440" w:gutter="0" w:footer="0" w:header="0"/>
        </w:sectPr>
      </w:pPr>
    </w:p>
    <w:bookmarkStart w:id="28" w:name="page29"/>
    <w:bookmarkEnd w:id="28"/>
    <w:p>
      <w:pPr>
        <w:ind w:left="660"/>
        <w:spacing w:after="0"/>
        <w:rPr>
          <w:sz w:val="20"/>
          <w:szCs w:val="20"/>
          <w:color w:val="auto"/>
        </w:rPr>
      </w:pPr>
      <w:r>
        <w:rPr>
          <w:rFonts w:ascii="Calibri" w:cs="Calibri" w:eastAsia="Calibri" w:hAnsi="Calibri"/>
          <w:sz w:val="20"/>
          <w:szCs w:val="20"/>
          <w:color w:val="auto"/>
        </w:rPr>
        <w:t xml:space="preserve">SECTION 4. </w:t>
      </w:r>
      <w:r>
        <w:rPr>
          <w:rFonts w:ascii="Calibri" w:cs="Calibri" w:eastAsia="Calibri" w:hAnsi="Calibri"/>
          <w:sz w:val="20"/>
          <w:szCs w:val="20"/>
          <w:b w:val="1"/>
          <w:bCs w:val="1"/>
          <w:u w:val="single" w:color="auto"/>
          <w:color w:val="auto"/>
        </w:rPr>
        <w:t>Representatons, Warrantes, Authority, No Adverse Claim</w:t>
      </w:r>
      <w:r>
        <w:rPr>
          <w:rFonts w:ascii="Calibri" w:cs="Calibri" w:eastAsia="Calibri" w:hAnsi="Calibri"/>
          <w:sz w:val="20"/>
          <w:szCs w:val="20"/>
          <w:color w:val="auto"/>
        </w:rPr>
        <w:t>.</w:t>
      </w:r>
    </w:p>
    <w:p>
      <w:pPr>
        <w:spacing w:after="0" w:line="225" w:lineRule="exact"/>
        <w:rPr>
          <w:sz w:val="20"/>
          <w:szCs w:val="20"/>
          <w:color w:val="auto"/>
        </w:rPr>
      </w:pPr>
    </w:p>
    <w:p>
      <w:pPr>
        <w:jc w:val="both"/>
        <w:ind w:left="660" w:firstLine="648"/>
        <w:spacing w:after="0"/>
        <w:rPr>
          <w:sz w:val="20"/>
          <w:szCs w:val="20"/>
          <w:color w:val="auto"/>
        </w:rPr>
      </w:pPr>
      <w:r>
        <w:rPr>
          <w:rFonts w:ascii="Calibri" w:cs="Calibri" w:eastAsia="Calibri" w:hAnsi="Calibri"/>
          <w:sz w:val="20"/>
          <w:szCs w:val="20"/>
          <w:b w:val="1"/>
          <w:bCs w:val="1"/>
          <w:color w:val="auto"/>
        </w:rPr>
        <w:t xml:space="preserve">Secton 4.1 - </w:t>
      </w:r>
      <w:r>
        <w:rPr>
          <w:rFonts w:ascii="Calibri" w:cs="Calibri" w:eastAsia="Calibri" w:hAnsi="Calibri"/>
          <w:sz w:val="20"/>
          <w:szCs w:val="20"/>
          <w:b w:val="1"/>
          <w:bCs w:val="1"/>
          <w:u w:val="single" w:color="auto"/>
          <w:color w:val="auto"/>
        </w:rPr>
        <w:t>Reasserton of Representatons and Warrantes, No Default</w:t>
      </w:r>
      <w:r>
        <w:rPr>
          <w:rFonts w:ascii="Calibri" w:cs="Calibri" w:eastAsia="Calibri" w:hAnsi="Calibri"/>
          <w:sz w:val="20"/>
          <w:szCs w:val="20"/>
          <w:color w:val="auto"/>
        </w:rPr>
        <w:t>. The Borrower hereby represents that on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of the date hereof and afer giving efect to this Amendment (a) all of the representatons and warrantes contained in the Credit Agreement are true, correct and complete in all respects as of the date hereof as though made on and as of such date, except to the extent any such representaton or warranty is stated to relate solely to an earlier date, in which case such representaton or warranty shall have been true and correct on and as of such earlier date, and (b) there will exist no Default or Event of Default under the Credit Agreement as amended by this Amendment on such date which has not been waived by the Required Lenders.</w:t>
      </w:r>
    </w:p>
    <w:p>
      <w:pPr>
        <w:spacing w:after="0" w:line="331" w:lineRule="exact"/>
        <w:rPr>
          <w:sz w:val="20"/>
          <w:szCs w:val="20"/>
          <w:color w:val="auto"/>
        </w:rPr>
      </w:pPr>
    </w:p>
    <w:p>
      <w:pPr>
        <w:jc w:val="both"/>
        <w:ind w:left="660" w:firstLine="648"/>
        <w:spacing w:after="0" w:line="232" w:lineRule="auto"/>
        <w:rPr>
          <w:sz w:val="20"/>
          <w:szCs w:val="20"/>
          <w:color w:val="auto"/>
        </w:rPr>
      </w:pPr>
      <w:r>
        <w:rPr>
          <w:rFonts w:ascii="Calibri" w:cs="Calibri" w:eastAsia="Calibri" w:hAnsi="Calibri"/>
          <w:sz w:val="20"/>
          <w:szCs w:val="20"/>
          <w:b w:val="1"/>
          <w:bCs w:val="1"/>
          <w:color w:val="auto"/>
        </w:rPr>
        <w:t xml:space="preserve">Secton 4.2 - </w:t>
      </w:r>
      <w:r>
        <w:rPr>
          <w:rFonts w:ascii="Calibri" w:cs="Calibri" w:eastAsia="Calibri" w:hAnsi="Calibri"/>
          <w:sz w:val="20"/>
          <w:szCs w:val="20"/>
          <w:b w:val="1"/>
          <w:bCs w:val="1"/>
          <w:u w:val="single" w:color="auto"/>
          <w:color w:val="auto"/>
        </w:rPr>
        <w:t>Authority, No Confict, No Consent Required, Enforceability</w:t>
      </w:r>
      <w:r>
        <w:rPr>
          <w:rFonts w:ascii="Calibri" w:cs="Calibri" w:eastAsia="Calibri" w:hAnsi="Calibri"/>
          <w:sz w:val="20"/>
          <w:szCs w:val="20"/>
          <w:color w:val="auto"/>
        </w:rPr>
        <w:t>. Borrower represents and warrants that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Borrower has the power and legal right and authority to enter into the Amendment Documents and has duly authorized as appropriate the executon and delivery of the Amendment Documents and other agreements and documents executed and delivered by the Borrower in connecton herewith or therewith by proper corporate acton, and none of the Amendment Documents nor the agreements contained herein or therein contravenes or consttutes a default under any agreement, instrument or indenture to which the Borrower is a party or a signatory or a provision of the Borrower’s Artcles of Incorporaton, Bylaws, or any other agreement or requirement of law, or result in the impositon of any Lien on any of its property under any agreement binding on or applicable to the Borrower or any of its property except, if any, in favor of the Administratve Agent and the Lenders. The Borrower represents and warrants that no consent, approval or authorizaton of or registraton or declaraton with any Person, including but not limited to any governmental authority, is required in connecton with the executon and delivery by the Borrower of the Amendment Documents or other agreements and documents executed and delivered by the Borrower in connecton therewith or the performance of obligatons of the Borrower therein described, except for those which the Borrower has obtained or provided and as to which the Borrower has delivered certfed copies of documents evidencing each such acton to the Administratve Agent. The Borrower represents and warrants that the Amendment Documents consttute the legal, valid and binding obligatons of the Borrower, enforceable against the Borrower in accordance with their respectve terms, subject to limitatons as to enforceability which might result from bankruptcy, insolvency, moratorium and other similar laws afectng creditors’ rights generally and subject to limitatons on the availability of equitable remedies.</w:t>
      </w:r>
    </w:p>
    <w:p>
      <w:pPr>
        <w:spacing w:after="0" w:line="227" w:lineRule="exact"/>
        <w:rPr>
          <w:sz w:val="20"/>
          <w:szCs w:val="20"/>
          <w:color w:val="auto"/>
        </w:rPr>
      </w:pPr>
    </w:p>
    <w:p>
      <w:pPr>
        <w:jc w:val="both"/>
        <w:ind w:left="660" w:firstLine="648"/>
        <w:spacing w:after="0" w:line="220" w:lineRule="auto"/>
        <w:rPr>
          <w:sz w:val="20"/>
          <w:szCs w:val="20"/>
          <w:color w:val="auto"/>
        </w:rPr>
      </w:pPr>
      <w:r>
        <w:rPr>
          <w:rFonts w:ascii="Calibri" w:cs="Calibri" w:eastAsia="Calibri" w:hAnsi="Calibri"/>
          <w:sz w:val="20"/>
          <w:szCs w:val="20"/>
          <w:b w:val="1"/>
          <w:bCs w:val="1"/>
          <w:color w:val="auto"/>
        </w:rPr>
        <w:t xml:space="preserve">Secton 4.3 - </w:t>
      </w:r>
      <w:r>
        <w:rPr>
          <w:rFonts w:ascii="Calibri" w:cs="Calibri" w:eastAsia="Calibri" w:hAnsi="Calibri"/>
          <w:sz w:val="20"/>
          <w:szCs w:val="20"/>
          <w:b w:val="1"/>
          <w:bCs w:val="1"/>
          <w:u w:val="single" w:color="auto"/>
          <w:color w:val="auto"/>
        </w:rPr>
        <w:t>No Adverse Claim</w:t>
      </w:r>
      <w:r>
        <w:rPr>
          <w:rFonts w:ascii="Calibri" w:cs="Calibri" w:eastAsia="Calibri" w:hAnsi="Calibri"/>
          <w:sz w:val="20"/>
          <w:szCs w:val="20"/>
          <w:color w:val="auto"/>
        </w:rPr>
        <w:t>. The Borrower warrants, acknowledges and agrees that no events have taken place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no circumstances exist at the date hereof which would give the Borrower a basis to assert a defense, ofset or counterclaim to any claim of the Administratve Agent or the Lenders with respect to the Borrower’s obligatons under the Loan Documents as amended by this Amendment.</w:t>
      </w:r>
    </w:p>
    <w:p>
      <w:pPr>
        <w:spacing w:after="0" w:line="239" w:lineRule="exact"/>
        <w:rPr>
          <w:sz w:val="20"/>
          <w:szCs w:val="20"/>
          <w:color w:val="auto"/>
        </w:rPr>
      </w:pPr>
    </w:p>
    <w:p>
      <w:pPr>
        <w:jc w:val="both"/>
        <w:ind w:firstLine="648"/>
        <w:spacing w:after="0" w:line="219" w:lineRule="auto"/>
        <w:rPr>
          <w:sz w:val="20"/>
          <w:szCs w:val="20"/>
          <w:color w:val="auto"/>
        </w:rPr>
      </w:pPr>
      <w:r>
        <w:rPr>
          <w:rFonts w:ascii="Calibri" w:cs="Calibri" w:eastAsia="Calibri" w:hAnsi="Calibri"/>
          <w:sz w:val="20"/>
          <w:szCs w:val="20"/>
          <w:color w:val="auto"/>
        </w:rPr>
        <w:t xml:space="preserve">SECTION 5. </w:t>
      </w:r>
      <w:r>
        <w:rPr>
          <w:rFonts w:ascii="Calibri" w:cs="Calibri" w:eastAsia="Calibri" w:hAnsi="Calibri"/>
          <w:sz w:val="20"/>
          <w:szCs w:val="20"/>
          <w:b w:val="1"/>
          <w:bCs w:val="1"/>
          <w:u w:val="single" w:color="auto"/>
          <w:color w:val="auto"/>
        </w:rPr>
        <w:t>Afrmaton of Credit Agreement, Further References</w:t>
      </w:r>
      <w:r>
        <w:rPr>
          <w:rFonts w:ascii="Calibri" w:cs="Calibri" w:eastAsia="Calibri" w:hAnsi="Calibri"/>
          <w:sz w:val="20"/>
          <w:szCs w:val="20"/>
          <w:color w:val="auto"/>
        </w:rPr>
        <w:t>. The Borrower acknowledges and afrms that the Credit Agreement and all of the terms, conditons, provisions, agreements, requirements, promises, obligatons, dutes, covenants and representatons of the Borrower under the Credit Agreement and the other Loan Documents and any and all other documents and agreements entered into with respect to the obligatons under the Credit Agreement and the other Loan Documents are hereby ratfed and afrmed in all respects by the Borrower. All references in any document or instrument to the Credit Agreement are hereby amended and shall refer to the Credit Agreement as amended by this Amendment.</w:t>
      </w:r>
    </w:p>
    <w:p>
      <w:pPr>
        <w:spacing w:after="0" w:line="229" w:lineRule="exact"/>
        <w:rPr>
          <w:sz w:val="20"/>
          <w:szCs w:val="20"/>
          <w:color w:val="auto"/>
        </w:rPr>
      </w:pPr>
    </w:p>
    <w:p>
      <w:pPr>
        <w:jc w:val="both"/>
        <w:ind w:right="20" w:firstLine="648"/>
        <w:spacing w:after="0" w:line="222" w:lineRule="auto"/>
        <w:rPr>
          <w:sz w:val="20"/>
          <w:szCs w:val="20"/>
          <w:color w:val="auto"/>
        </w:rPr>
      </w:pPr>
      <w:r>
        <w:rPr>
          <w:rFonts w:ascii="Calibri" w:cs="Calibri" w:eastAsia="Calibri" w:hAnsi="Calibri"/>
          <w:sz w:val="20"/>
          <w:szCs w:val="20"/>
          <w:color w:val="auto"/>
        </w:rPr>
        <w:t xml:space="preserve">SECTION 6. </w:t>
      </w:r>
      <w:r>
        <w:rPr>
          <w:rFonts w:ascii="Calibri" w:cs="Calibri" w:eastAsia="Calibri" w:hAnsi="Calibri"/>
          <w:sz w:val="20"/>
          <w:szCs w:val="20"/>
          <w:b w:val="1"/>
          <w:bCs w:val="1"/>
          <w:u w:val="single" w:color="auto"/>
          <w:color w:val="auto"/>
        </w:rPr>
        <w:t>Successors</w:t>
      </w:r>
      <w:r>
        <w:rPr>
          <w:rFonts w:ascii="Calibri" w:cs="Calibri" w:eastAsia="Calibri" w:hAnsi="Calibri"/>
          <w:sz w:val="20"/>
          <w:szCs w:val="20"/>
          <w:color w:val="auto"/>
        </w:rPr>
        <w:t>. The Amendment Documents shall be binding upon the Borrower, the Administratve Agent and the Lenders and their respectve successors and assigns, and shall inure to the beneft of the Borrower, the Administratve Agent and the Lenders and their respectve successors and assigns.</w:t>
      </w:r>
    </w:p>
    <w:p>
      <w:pPr>
        <w:sectPr>
          <w:pgSz w:w="11900" w:h="16838" w:orient="portrait"/>
          <w:cols w:equalWidth="0" w:num="1">
            <w:col w:w="11240"/>
          </w:cols>
          <w:pgMar w:left="320" w:top="1064" w:right="339" w:bottom="1440" w:gutter="0" w:footer="0" w:header="0"/>
        </w:sectPr>
      </w:pPr>
    </w:p>
    <w:bookmarkStart w:id="29" w:name="page30"/>
    <w:bookmarkEnd w:id="29"/>
    <w:p>
      <w:pPr>
        <w:jc w:val="both"/>
        <w:ind w:firstLine="648"/>
        <w:spacing w:after="0"/>
        <w:rPr>
          <w:sz w:val="20"/>
          <w:szCs w:val="20"/>
          <w:color w:val="auto"/>
        </w:rPr>
      </w:pPr>
      <w:r>
        <w:rPr>
          <w:rFonts w:ascii="Calibri" w:cs="Calibri" w:eastAsia="Calibri" w:hAnsi="Calibri"/>
          <w:sz w:val="20"/>
          <w:szCs w:val="20"/>
          <w:color w:val="auto"/>
        </w:rPr>
        <w:t xml:space="preserve">SECTION 7. </w:t>
      </w:r>
      <w:r>
        <w:rPr>
          <w:rFonts w:ascii="Calibri" w:cs="Calibri" w:eastAsia="Calibri" w:hAnsi="Calibri"/>
          <w:sz w:val="20"/>
          <w:szCs w:val="20"/>
          <w:b w:val="1"/>
          <w:bCs w:val="1"/>
          <w:u w:val="single" w:color="auto"/>
          <w:color w:val="auto"/>
        </w:rPr>
        <w:t>Legal Expenses</w:t>
      </w:r>
      <w:r>
        <w:rPr>
          <w:rFonts w:ascii="Calibri" w:cs="Calibri" w:eastAsia="Calibri" w:hAnsi="Calibri"/>
          <w:sz w:val="20"/>
          <w:szCs w:val="20"/>
          <w:color w:val="auto"/>
        </w:rPr>
        <w:t>. The Borrower agrees to reimburse the Administratve Agent, upon executon of this Amendment, for all reasonable out-of-pocket expenses (including atorneys' fees and legal expenses of Dorsey &amp; Whitney LLP, counsel for the Administratve Agent) incurred in connecton with the Credit Agreement, including in connecton with the negotaton, preparaton and executon of the Amendment Documents and all other documents negotated, prepared and executed in connecton with the Amendment Documents, and in enforcing the obligatons of the Borrower under the Amendment Documents, and to pay and save the Administratve Agent and the Lenders harmless from all liability for, any stamp or other taxes which may be payable with respect to the executon or delivery of the Amendment Documents, which obligatons of the Borrower shall survive any terminaton of the Credit Agreement.</w:t>
      </w:r>
    </w:p>
    <w:p>
      <w:pPr>
        <w:spacing w:after="0" w:line="303" w:lineRule="exact"/>
        <w:rPr>
          <w:sz w:val="20"/>
          <w:szCs w:val="20"/>
          <w:color w:val="auto"/>
        </w:rPr>
      </w:pPr>
    </w:p>
    <w:p>
      <w:pPr>
        <w:jc w:val="both"/>
        <w:ind w:firstLine="648"/>
        <w:spacing w:after="0" w:line="223" w:lineRule="auto"/>
        <w:rPr>
          <w:sz w:val="20"/>
          <w:szCs w:val="20"/>
          <w:color w:val="auto"/>
        </w:rPr>
      </w:pPr>
      <w:r>
        <w:rPr>
          <w:rFonts w:ascii="Calibri" w:cs="Calibri" w:eastAsia="Calibri" w:hAnsi="Calibri"/>
          <w:sz w:val="20"/>
          <w:szCs w:val="20"/>
          <w:color w:val="auto"/>
        </w:rPr>
        <w:t xml:space="preserve">SECTION 8. </w:t>
      </w:r>
      <w:r>
        <w:rPr>
          <w:rFonts w:ascii="Calibri" w:cs="Calibri" w:eastAsia="Calibri" w:hAnsi="Calibri"/>
          <w:sz w:val="20"/>
          <w:szCs w:val="20"/>
          <w:b w:val="1"/>
          <w:bCs w:val="1"/>
          <w:u w:val="single" w:color="auto"/>
          <w:color w:val="auto"/>
        </w:rPr>
        <w:t>Counterparts</w:t>
      </w:r>
      <w:r>
        <w:rPr>
          <w:rFonts w:ascii="Calibri" w:cs="Calibri" w:eastAsia="Calibri" w:hAnsi="Calibri"/>
          <w:sz w:val="20"/>
          <w:szCs w:val="20"/>
          <w:color w:val="auto"/>
        </w:rPr>
        <w:t>. The Amendment Documents may be executed in several counterparts as deemed necessary or convenient, each of which, when so executed, shall be deemed an original, provided that all such counterparts shall be regarded as one and the same document, and either party to the Amendment Documents may execute any such agreement by executng a counterpart of such agreement.</w:t>
      </w:r>
    </w:p>
    <w:p>
      <w:pPr>
        <w:spacing w:after="0" w:line="227" w:lineRule="exact"/>
        <w:rPr>
          <w:sz w:val="20"/>
          <w:szCs w:val="20"/>
          <w:color w:val="auto"/>
        </w:rPr>
      </w:pPr>
    </w:p>
    <w:p>
      <w:pPr>
        <w:jc w:val="both"/>
        <w:ind w:firstLine="648"/>
        <w:spacing w:after="0" w:line="222" w:lineRule="auto"/>
        <w:rPr>
          <w:sz w:val="20"/>
          <w:szCs w:val="20"/>
          <w:color w:val="auto"/>
        </w:rPr>
      </w:pPr>
      <w:r>
        <w:rPr>
          <w:rFonts w:ascii="Calibri" w:cs="Calibri" w:eastAsia="Calibri" w:hAnsi="Calibri"/>
          <w:sz w:val="20"/>
          <w:szCs w:val="20"/>
          <w:color w:val="auto"/>
        </w:rPr>
        <w:t xml:space="preserve">SECTION 9. </w:t>
      </w:r>
      <w:r>
        <w:rPr>
          <w:rFonts w:ascii="Calibri" w:cs="Calibri" w:eastAsia="Calibri" w:hAnsi="Calibri"/>
          <w:sz w:val="20"/>
          <w:szCs w:val="20"/>
          <w:b w:val="1"/>
          <w:bCs w:val="1"/>
          <w:u w:val="single" w:color="auto"/>
          <w:color w:val="auto"/>
        </w:rPr>
        <w:t>Governing Law</w:t>
      </w:r>
      <w:r>
        <w:rPr>
          <w:rFonts w:ascii="Calibri" w:cs="Calibri" w:eastAsia="Calibri" w:hAnsi="Calibri"/>
          <w:sz w:val="20"/>
          <w:szCs w:val="20"/>
          <w:color w:val="auto"/>
        </w:rPr>
        <w:t>. THE AMENDMENT DOCUMENTS SHALL BE GOVERNED BY THE INTERNAL LAWS OF THE STATE OF MINNESOTA, WITHOUT GIVING EFFECT TO CONFLICT OF LAW PRINCIPLES THEREOF, BUT GIVING EFFECT TO FEDERAL LAWS APPLICABLE TO NATIONAL BANKS, THEIR HOLDING COMPANIES AND THEIR AFFILIATES.</w:t>
      </w:r>
    </w:p>
    <w:p>
      <w:pPr>
        <w:spacing w:after="0" w:line="227" w:lineRule="exact"/>
        <w:rPr>
          <w:sz w:val="20"/>
          <w:szCs w:val="20"/>
          <w:color w:val="auto"/>
        </w:rPr>
      </w:pPr>
    </w:p>
    <w:p>
      <w:pPr>
        <w:jc w:val="both"/>
        <w:ind w:firstLine="648"/>
        <w:spacing w:after="0" w:line="220" w:lineRule="auto"/>
        <w:rPr>
          <w:sz w:val="20"/>
          <w:szCs w:val="20"/>
          <w:color w:val="auto"/>
        </w:rPr>
      </w:pPr>
      <w:r>
        <w:rPr>
          <w:rFonts w:ascii="Calibri" w:cs="Calibri" w:eastAsia="Calibri" w:hAnsi="Calibri"/>
          <w:sz w:val="20"/>
          <w:szCs w:val="20"/>
          <w:color w:val="auto"/>
        </w:rPr>
        <w:t xml:space="preserve">SECTION 10. </w:t>
      </w:r>
      <w:r>
        <w:rPr>
          <w:rFonts w:ascii="Calibri" w:cs="Calibri" w:eastAsia="Calibri" w:hAnsi="Calibri"/>
          <w:sz w:val="20"/>
          <w:szCs w:val="20"/>
          <w:b w:val="1"/>
          <w:bCs w:val="1"/>
          <w:u w:val="single" w:color="auto"/>
          <w:color w:val="auto"/>
        </w:rPr>
        <w:t>Acknowledgement and Release</w:t>
      </w:r>
      <w:r>
        <w:rPr>
          <w:rFonts w:ascii="Calibri" w:cs="Calibri" w:eastAsia="Calibri" w:hAnsi="Calibri"/>
          <w:sz w:val="20"/>
          <w:szCs w:val="20"/>
          <w:color w:val="auto"/>
        </w:rPr>
        <w:t>. IN ORDER TO INDUCE THE ADMINISTRATIVE AGENT AND THE LENDERS TO ENTER INTO THIS AMENDMENT, THE BORROWER: (A) REPRESENTS AND WARRANTS TO THE ADMINISTRATIVE AGENT AND THE LENDERS THAT NO EVENTS HAVE TAKEN PLACE AND NO CIRCUMSTANCES EXIST AT THE DATE HEREOF WHICH WOULD GIVE THE BORROWER THE RIGHT TO ASSERT A DEFENSE, OFFSET OR COUNTERCLAIM TO ANY CLAIM BY THE ADMINISTRATIVE AGENT OR ANY LENDER FOR PAYMENT OF THE OBLIGATIONS; AND (B) HEREBY RELEASE AND FOREVER DISCHARGE THE ADMINISTRATIVE AGENT AND THE LENDERS AND THEIR SUCCESSORS, ASSIGNS, DIRECTORS, OFFICERS, AGENTS, EMPLOYEES AND PARTICIPANTS FROM ANY AND ALL ACTIONS, CAUSES OF ACTION, SUITS, PROCEEDINGS, DEBTS, SUMS OF MONEY, COVENANTS, CONTRACTS, CONTROVERSIES, CLAIMS AND DEMANDS, AT LAW OR IN EQUITY, WHICH THE BORROWER EVER HAD OR NOW HAVE AGAINST THE ADMINISTRATIVE AGENT OR ANY LENDER OR ANY OF THEIR SUCCESSORS, ASSIGNS, DIRECTORS, OFFICERS, AGENTS, EMPLOYEES OR PARTICIPANTS BY VIRTUE OF THEIR RELATIONSHIP TO THE BORROWER IN CONNECTION WITH THIS AMENDMENT, THE CREDIT AGREEMENT, THE LOAN DOCUMENTS AND TRANSACTIONS RELATED THERETO.</w:t>
      </w:r>
    </w:p>
    <w:p>
      <w:pPr>
        <w:spacing w:after="0" w:line="215" w:lineRule="exact"/>
        <w:rPr>
          <w:sz w:val="20"/>
          <w:szCs w:val="20"/>
          <w:color w:val="auto"/>
        </w:rPr>
      </w:pPr>
    </w:p>
    <w:p>
      <w:pPr>
        <w:ind w:left="1580"/>
        <w:spacing w:after="0"/>
        <w:rPr>
          <w:sz w:val="20"/>
          <w:szCs w:val="20"/>
          <w:color w:val="auto"/>
        </w:rPr>
      </w:pPr>
      <w:r>
        <w:rPr>
          <w:rFonts w:ascii="Calibri" w:cs="Calibri" w:eastAsia="Calibri" w:hAnsi="Calibri"/>
          <w:sz w:val="20"/>
          <w:szCs w:val="20"/>
          <w:color w:val="auto"/>
        </w:rPr>
        <w:t>[REMAINDER OF THIS PAGE INTENTIONALLY LEFT BLANK]</w:t>
      </w:r>
    </w:p>
    <w:p>
      <w:pPr>
        <w:sectPr>
          <w:pgSz w:w="11900" w:h="16838" w:orient="portrait"/>
          <w:cols w:equalWidth="0" w:num="1">
            <w:col w:w="11240"/>
          </w:cols>
          <w:pgMar w:left="320" w:top="1074" w:right="339" w:bottom="1440" w:gutter="0" w:footer="0" w:header="0"/>
        </w:sectPr>
      </w:pPr>
    </w:p>
    <w:bookmarkStart w:id="30" w:name="page31"/>
    <w:bookmarkEnd w:id="30"/>
    <w:p>
      <w:pPr>
        <w:ind w:left="660"/>
        <w:spacing w:after="0"/>
        <w:rPr>
          <w:sz w:val="20"/>
          <w:szCs w:val="20"/>
          <w:color w:val="auto"/>
        </w:rPr>
      </w:pPr>
      <w:r>
        <w:rPr>
          <w:rFonts w:ascii="Calibri" w:cs="Calibri" w:eastAsia="Calibri" w:hAnsi="Calibri"/>
          <w:sz w:val="20"/>
          <w:szCs w:val="20"/>
          <w:b w:val="1"/>
          <w:bCs w:val="1"/>
          <w:color w:val="auto"/>
        </w:rPr>
        <w:t xml:space="preserve">IN WITNESS WHEREOF, </w:t>
      </w:r>
      <w:r>
        <w:rPr>
          <w:rFonts w:ascii="Calibri" w:cs="Calibri" w:eastAsia="Calibri" w:hAnsi="Calibri"/>
          <w:sz w:val="20"/>
          <w:szCs w:val="20"/>
          <w:color w:val="auto"/>
        </w:rPr>
        <w:t>the partes hereto have caused this Amendment to be executed as of the date and year frst above</w:t>
      </w:r>
    </w:p>
    <w:p>
      <w:pPr>
        <w:spacing w:after="0" w:line="212" w:lineRule="auto"/>
        <w:rPr>
          <w:sz w:val="20"/>
          <w:szCs w:val="20"/>
          <w:color w:val="auto"/>
        </w:rPr>
      </w:pPr>
      <w:r>
        <w:rPr>
          <w:rFonts w:ascii="Calibri" w:cs="Calibri" w:eastAsia="Calibri" w:hAnsi="Calibri"/>
          <w:sz w:val="20"/>
          <w:szCs w:val="20"/>
          <w:color w:val="auto"/>
        </w:rPr>
        <w:t>writen.</w:t>
      </w:r>
    </w:p>
    <w:p>
      <w:pPr>
        <w:spacing w:after="0" w:line="229" w:lineRule="exact"/>
        <w:rPr>
          <w:sz w:val="20"/>
          <w:szCs w:val="20"/>
          <w:color w:val="auto"/>
        </w:rPr>
      </w:pPr>
    </w:p>
    <w:p>
      <w:pPr>
        <w:ind w:left="4540"/>
        <w:spacing w:after="0"/>
        <w:rPr>
          <w:sz w:val="20"/>
          <w:szCs w:val="20"/>
          <w:color w:val="auto"/>
        </w:rPr>
      </w:pPr>
      <w:r>
        <w:rPr>
          <w:rFonts w:ascii="Calibri" w:cs="Calibri" w:eastAsia="Calibri" w:hAnsi="Calibri"/>
          <w:sz w:val="20"/>
          <w:szCs w:val="20"/>
          <w:u w:val="single" w:color="auto"/>
          <w:color w:val="auto"/>
        </w:rPr>
        <w:t>BORROWER</w:t>
      </w:r>
      <w:r>
        <w:rPr>
          <w:rFonts w:ascii="Calibri" w:cs="Calibri" w:eastAsia="Calibri" w:hAnsi="Calibri"/>
          <w:sz w:val="20"/>
          <w:szCs w:val="20"/>
          <w:color w:val="auto"/>
        </w:rPr>
        <w:t>:</w:t>
      </w:r>
    </w:p>
    <w:p>
      <w:pPr>
        <w:spacing w:after="0" w:line="215" w:lineRule="exact"/>
        <w:rPr>
          <w:sz w:val="20"/>
          <w:szCs w:val="20"/>
          <w:color w:val="auto"/>
        </w:rPr>
      </w:pPr>
    </w:p>
    <w:p>
      <w:pPr>
        <w:jc w:val="center"/>
        <w:ind w:right="360"/>
        <w:spacing w:after="0"/>
        <w:rPr>
          <w:sz w:val="20"/>
          <w:szCs w:val="20"/>
          <w:color w:val="auto"/>
        </w:rPr>
      </w:pPr>
      <w:r>
        <w:rPr>
          <w:rFonts w:ascii="Calibri" w:cs="Calibri" w:eastAsia="Calibri" w:hAnsi="Calibri"/>
          <w:sz w:val="20"/>
          <w:szCs w:val="20"/>
          <w:color w:val="auto"/>
        </w:rPr>
        <w:t>HAWKINS, INC.</w:t>
      </w:r>
    </w:p>
    <w:p>
      <w:pPr>
        <w:spacing w:after="0" w:line="200" w:lineRule="exact"/>
        <w:rPr>
          <w:sz w:val="20"/>
          <w:szCs w:val="20"/>
          <w:color w:val="auto"/>
        </w:rPr>
      </w:pPr>
    </w:p>
    <w:p>
      <w:pPr>
        <w:spacing w:after="0" w:line="271" w:lineRule="exact"/>
        <w:rPr>
          <w:sz w:val="20"/>
          <w:szCs w:val="20"/>
          <w:color w:val="auto"/>
        </w:rPr>
      </w:pPr>
    </w:p>
    <w:p>
      <w:pPr>
        <w:ind w:left="4540"/>
        <w:spacing w:after="0"/>
        <w:tabs>
          <w:tab w:leader="none" w:pos="4960" w:val="left"/>
        </w:tabs>
        <w:rPr>
          <w:sz w:val="20"/>
          <w:szCs w:val="20"/>
          <w:color w:val="auto"/>
        </w:rPr>
      </w:pPr>
      <w:r>
        <w:rPr>
          <w:rFonts w:ascii="Calibri" w:cs="Calibri" w:eastAsia="Calibri" w:hAnsi="Calibri"/>
          <w:sz w:val="20"/>
          <w:szCs w:val="20"/>
          <w:color w:val="auto"/>
        </w:rPr>
        <w:t>By:</w:t>
        <w:tab/>
        <w:t>/s/ Jefrey P. Oldenkamp</w:t>
      </w:r>
    </w:p>
    <w:p>
      <w:pPr>
        <w:ind w:left="4540"/>
        <w:spacing w:after="0" w:line="212" w:lineRule="auto"/>
        <w:tabs>
          <w:tab w:leader="none" w:pos="5260" w:val="left"/>
        </w:tabs>
        <w:rPr>
          <w:sz w:val="20"/>
          <w:szCs w:val="20"/>
          <w:color w:val="auto"/>
        </w:rPr>
      </w:pPr>
      <w:r>
        <w:rPr>
          <w:rFonts w:ascii="Calibri" w:cs="Calibri" w:eastAsia="Calibri" w:hAnsi="Calibri"/>
          <w:sz w:val="20"/>
          <w:szCs w:val="20"/>
          <w:color w:val="auto"/>
        </w:rPr>
        <w:t>Name:</w:t>
        <w:tab/>
        <w:t>Jeferey P. Oldenkamp</w:t>
      </w:r>
    </w:p>
    <w:p>
      <w:pPr>
        <w:ind w:left="4540"/>
        <w:spacing w:after="0" w:line="225" w:lineRule="auto"/>
        <w:rPr>
          <w:sz w:val="20"/>
          <w:szCs w:val="20"/>
          <w:color w:val="auto"/>
        </w:rPr>
      </w:pPr>
      <w:r>
        <w:rPr>
          <w:rFonts w:ascii="Calibri" w:cs="Calibri" w:eastAsia="Calibri" w:hAnsi="Calibri"/>
          <w:sz w:val="20"/>
          <w:szCs w:val="20"/>
          <w:color w:val="auto"/>
        </w:rPr>
        <w:t>Title: Executve Vice President and Chief Financial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40"/>
        <w:spacing w:after="0"/>
        <w:rPr>
          <w:sz w:val="20"/>
          <w:szCs w:val="20"/>
          <w:color w:val="auto"/>
        </w:rPr>
      </w:pPr>
      <w:r>
        <w:rPr>
          <w:rFonts w:ascii="Calibri" w:cs="Calibri" w:eastAsia="Calibri" w:hAnsi="Calibri"/>
          <w:sz w:val="20"/>
          <w:szCs w:val="20"/>
          <w:color w:val="auto"/>
        </w:rPr>
        <w:t>[Signature Page to First Amendment to Second Amended and Restated Credit Agreement]</w:t>
      </w:r>
    </w:p>
    <w:p>
      <w:pPr>
        <w:sectPr>
          <w:pgSz w:w="11900" w:h="16838" w:orient="portrait"/>
          <w:cols w:equalWidth="0" w:num="1">
            <w:col w:w="10680"/>
          </w:cols>
          <w:pgMar w:left="320" w:top="1064" w:right="899" w:bottom="1440" w:gutter="0" w:footer="0" w:header="0"/>
        </w:sectPr>
      </w:pPr>
    </w:p>
    <w:bookmarkStart w:id="31" w:name="page32"/>
    <w:bookmarkEnd w:id="31"/>
    <w:p>
      <w:pPr>
        <w:ind w:left="3420"/>
        <w:spacing w:after="0"/>
        <w:rPr>
          <w:sz w:val="20"/>
          <w:szCs w:val="20"/>
          <w:color w:val="auto"/>
        </w:rPr>
      </w:pPr>
      <w:r>
        <w:rPr>
          <w:rFonts w:ascii="Calibri" w:cs="Calibri" w:eastAsia="Calibri" w:hAnsi="Calibri"/>
          <w:sz w:val="20"/>
          <w:szCs w:val="20"/>
          <w:color w:val="auto"/>
        </w:rPr>
        <w:t>U.S. BANK NATIONAL ASSOCIATION,</w:t>
      </w:r>
    </w:p>
    <w:p>
      <w:pPr>
        <w:ind w:left="3420"/>
        <w:spacing w:after="0" w:line="212" w:lineRule="auto"/>
        <w:rPr>
          <w:sz w:val="20"/>
          <w:szCs w:val="20"/>
          <w:color w:val="auto"/>
        </w:rPr>
      </w:pPr>
      <w:r>
        <w:rPr>
          <w:rFonts w:ascii="Calibri" w:cs="Calibri" w:eastAsia="Calibri" w:hAnsi="Calibri"/>
          <w:sz w:val="20"/>
          <w:szCs w:val="20"/>
          <w:color w:val="auto"/>
        </w:rPr>
        <w:t>as a Lender, as LC Issuer and as</w:t>
      </w:r>
    </w:p>
    <w:p>
      <w:pPr>
        <w:ind w:left="3420"/>
        <w:spacing w:after="0" w:line="225" w:lineRule="auto"/>
        <w:rPr>
          <w:sz w:val="20"/>
          <w:szCs w:val="20"/>
          <w:color w:val="auto"/>
        </w:rPr>
      </w:pPr>
      <w:r>
        <w:rPr>
          <w:rFonts w:ascii="Calibri" w:cs="Calibri" w:eastAsia="Calibri" w:hAnsi="Calibri"/>
          <w:sz w:val="20"/>
          <w:szCs w:val="20"/>
          <w:color w:val="auto"/>
        </w:rPr>
        <w:t>Administratve Agent</w:t>
      </w:r>
    </w:p>
    <w:p>
      <w:pPr>
        <w:spacing w:after="0" w:line="200" w:lineRule="exact"/>
        <w:rPr>
          <w:sz w:val="20"/>
          <w:szCs w:val="20"/>
          <w:color w:val="auto"/>
        </w:rPr>
      </w:pPr>
    </w:p>
    <w:p>
      <w:pPr>
        <w:spacing w:after="0" w:line="259" w:lineRule="exact"/>
        <w:rPr>
          <w:sz w:val="20"/>
          <w:szCs w:val="20"/>
          <w:color w:val="auto"/>
        </w:rPr>
      </w:pPr>
    </w:p>
    <w:p>
      <w:pPr>
        <w:ind w:left="3420"/>
        <w:spacing w:after="0"/>
        <w:rPr>
          <w:sz w:val="20"/>
          <w:szCs w:val="20"/>
          <w:color w:val="auto"/>
        </w:rPr>
      </w:pPr>
      <w:r>
        <w:rPr>
          <w:rFonts w:ascii="Calibri" w:cs="Calibri" w:eastAsia="Calibri" w:hAnsi="Calibri"/>
          <w:sz w:val="20"/>
          <w:szCs w:val="20"/>
          <w:color w:val="auto"/>
        </w:rPr>
        <w:t>By: /s/ Stephen J. Heinen</w:t>
      </w:r>
    </w:p>
    <w:p>
      <w:pPr>
        <w:ind w:left="3420"/>
        <w:spacing w:after="0" w:line="225" w:lineRule="auto"/>
        <w:rPr>
          <w:sz w:val="20"/>
          <w:szCs w:val="20"/>
          <w:color w:val="auto"/>
        </w:rPr>
      </w:pPr>
      <w:r>
        <w:rPr>
          <w:rFonts w:ascii="Calibri" w:cs="Calibri" w:eastAsia="Calibri" w:hAnsi="Calibri"/>
          <w:sz w:val="20"/>
          <w:szCs w:val="20"/>
          <w:color w:val="auto"/>
        </w:rPr>
        <w:t>Name: Stephen J. Heinen</w:t>
      </w:r>
    </w:p>
    <w:p>
      <w:pPr>
        <w:ind w:left="3420"/>
        <w:spacing w:after="0" w:line="212" w:lineRule="auto"/>
        <w:rPr>
          <w:sz w:val="20"/>
          <w:szCs w:val="20"/>
          <w:color w:val="auto"/>
        </w:rPr>
      </w:pPr>
      <w:r>
        <w:rPr>
          <w:rFonts w:ascii="Calibri" w:cs="Calibri" w:eastAsia="Calibri" w:hAnsi="Calibri"/>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[Signature Page to First Amendment to Second Amended and Restated Credit Agreement]</w:t>
      </w:r>
    </w:p>
    <w:p>
      <w:pPr>
        <w:sectPr>
          <w:pgSz w:w="11900" w:h="16838" w:orient="portrait"/>
          <w:cols w:equalWidth="0" w:num="1">
            <w:col w:w="9019"/>
          </w:cols>
          <w:pgMar w:left="1440" w:top="1064" w:right="1440" w:bottom="1440" w:gutter="0" w:footer="0" w:header="0"/>
        </w:sectPr>
      </w:pPr>
    </w:p>
    <w:bookmarkStart w:id="32" w:name="page33"/>
    <w:bookmarkEnd w:id="32"/>
    <w:p>
      <w:pPr>
        <w:ind w:left="3420"/>
        <w:spacing w:after="0"/>
        <w:rPr>
          <w:sz w:val="20"/>
          <w:szCs w:val="20"/>
          <w:color w:val="auto"/>
        </w:rPr>
      </w:pPr>
      <w:r>
        <w:rPr>
          <w:rFonts w:ascii="Calibri" w:cs="Calibri" w:eastAsia="Calibri" w:hAnsi="Calibri"/>
          <w:sz w:val="20"/>
          <w:szCs w:val="20"/>
          <w:color w:val="auto"/>
        </w:rPr>
        <w:t>JPMORGAN CHASE BANK, N.A.,</w:t>
      </w:r>
    </w:p>
    <w:p>
      <w:pPr>
        <w:ind w:left="3420"/>
        <w:spacing w:after="0" w:line="212" w:lineRule="auto"/>
        <w:rPr>
          <w:sz w:val="20"/>
          <w:szCs w:val="20"/>
          <w:color w:val="auto"/>
        </w:rPr>
      </w:pPr>
      <w:r>
        <w:rPr>
          <w:rFonts w:ascii="Calibri" w:cs="Calibri" w:eastAsia="Calibri" w:hAnsi="Calibri"/>
          <w:sz w:val="20"/>
          <w:szCs w:val="20"/>
          <w:color w:val="auto"/>
        </w:rPr>
        <w:t>as a Lender and an LC Issuer</w:t>
      </w: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alibri" w:cs="Calibri" w:eastAsia="Calibri" w:hAnsi="Calibri"/>
          <w:sz w:val="20"/>
          <w:szCs w:val="20"/>
          <w:color w:val="auto"/>
        </w:rPr>
        <w:t>By: /s/ Mike Myers</w:t>
      </w:r>
    </w:p>
    <w:p>
      <w:pPr>
        <w:ind w:left="3420"/>
        <w:spacing w:after="0" w:line="212" w:lineRule="auto"/>
        <w:rPr>
          <w:sz w:val="20"/>
          <w:szCs w:val="20"/>
          <w:color w:val="auto"/>
        </w:rPr>
      </w:pPr>
      <w:r>
        <w:rPr>
          <w:rFonts w:ascii="Calibri" w:cs="Calibri" w:eastAsia="Calibri" w:hAnsi="Calibri"/>
          <w:sz w:val="20"/>
          <w:szCs w:val="20"/>
          <w:color w:val="auto"/>
        </w:rPr>
        <w:t>Name: Mike Myers</w:t>
      </w:r>
    </w:p>
    <w:p>
      <w:pPr>
        <w:jc w:val="center"/>
        <w:ind w:right="259"/>
        <w:spacing w:after="0" w:line="225" w:lineRule="auto"/>
        <w:rPr>
          <w:sz w:val="20"/>
          <w:szCs w:val="20"/>
          <w:color w:val="auto"/>
        </w:rPr>
      </w:pPr>
      <w:r>
        <w:rPr>
          <w:rFonts w:ascii="Calibri" w:cs="Calibri" w:eastAsia="Calibri" w:hAnsi="Calibri"/>
          <w:sz w:val="20"/>
          <w:szCs w:val="20"/>
          <w:color w:val="auto"/>
        </w:rPr>
        <w:t>Title: Authorized Signer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[Signature Page to First Amendment to Second Amended and Restated Credit Agreement]</w:t>
      </w:r>
    </w:p>
    <w:p>
      <w:pPr>
        <w:sectPr>
          <w:pgSz w:w="11900" w:h="16838" w:orient="portrait"/>
          <w:cols w:equalWidth="0" w:num="1">
            <w:col w:w="9019"/>
          </w:cols>
          <w:pgMar w:left="1440" w:top="1307" w:right="1440"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20"/>
          <w:szCs w:val="20"/>
          <w:b w:val="1"/>
          <w:bCs w:val="1"/>
          <w:color w:val="auto"/>
        </w:rPr>
        <w:t>EXHIBIT 10.2</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EXECUTIVE SEVERANCE PLAN</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Amended and Restated Efectve July 31, 2024)</w:t>
      </w:r>
    </w:p>
    <w:p>
      <w:pPr>
        <w:spacing w:after="0" w:line="211" w:lineRule="exact"/>
        <w:rPr>
          <w:sz w:val="20"/>
          <w:szCs w:val="20"/>
          <w:color w:val="auto"/>
        </w:rPr>
      </w:pPr>
    </w:p>
    <w:p>
      <w:pPr>
        <w:ind w:right="300" w:firstLine="648"/>
        <w:spacing w:after="0" w:line="222" w:lineRule="auto"/>
        <w:rPr>
          <w:sz w:val="20"/>
          <w:szCs w:val="20"/>
          <w:color w:val="auto"/>
        </w:rPr>
      </w:pPr>
      <w:r>
        <w:rPr>
          <w:rFonts w:ascii="Calibri" w:cs="Calibri" w:eastAsia="Calibri" w:hAnsi="Calibri"/>
          <w:sz w:val="20"/>
          <w:szCs w:val="20"/>
          <w:color w:val="auto"/>
        </w:rPr>
        <w:t>Hawkins, Inc. originally established this Hawkins, Inc. Executve Severance Plan (the “Plan”) efectve as of August 2, 2011 (the “Efectve Date”). The Plan is amended and restated in its entrety as set forth herein, efectve as of July 31, 2024 (the “Restatement Date”).</w:t>
      </w:r>
    </w:p>
    <w:p>
      <w:pPr>
        <w:spacing w:after="0" w:line="200" w:lineRule="exact"/>
        <w:rPr>
          <w:sz w:val="20"/>
          <w:szCs w:val="20"/>
          <w:color w:val="auto"/>
        </w:rPr>
      </w:pPr>
    </w:p>
    <w:p>
      <w:pPr>
        <w:ind w:right="480" w:firstLine="648"/>
        <w:spacing w:after="0" w:line="221" w:lineRule="auto"/>
        <w:rPr>
          <w:sz w:val="20"/>
          <w:szCs w:val="20"/>
          <w:color w:val="auto"/>
        </w:rPr>
      </w:pPr>
      <w:r>
        <w:rPr>
          <w:rFonts w:ascii="Calibri" w:cs="Calibri" w:eastAsia="Calibri" w:hAnsi="Calibri"/>
          <w:sz w:val="20"/>
          <w:szCs w:val="20"/>
          <w:color w:val="auto"/>
        </w:rPr>
        <w:t>The purpose of this Plan is to provide certain executve employees of Hawkins with severance benefts in the event that the executve’s employment is involuntarily terminated under circumstances enttling the executve to such benefts.</w:t>
      </w:r>
    </w:p>
    <w:p>
      <w:pPr>
        <w:spacing w:after="0" w:line="212" w:lineRule="exact"/>
        <w:rPr>
          <w:sz w:val="20"/>
          <w:szCs w:val="20"/>
          <w:color w:val="auto"/>
        </w:rPr>
      </w:pPr>
    </w:p>
    <w:p>
      <w:pPr>
        <w:jc w:val="both"/>
        <w:ind w:right="720" w:firstLine="648"/>
        <w:spacing w:after="0" w:line="222" w:lineRule="auto"/>
        <w:rPr>
          <w:sz w:val="20"/>
          <w:szCs w:val="20"/>
          <w:color w:val="auto"/>
        </w:rPr>
      </w:pPr>
      <w:r>
        <w:rPr>
          <w:rFonts w:ascii="Calibri" w:cs="Calibri" w:eastAsia="Calibri" w:hAnsi="Calibri"/>
          <w:sz w:val="20"/>
          <w:szCs w:val="20"/>
          <w:color w:val="auto"/>
        </w:rPr>
        <w:t>The Plan is intended to be an unfunded plan for a select group of management or highly compensated employees that is intended to qualify for the exemptons provided in sectons 201, 301 and 401 of ERISA, and for the alternatve reportng method provided in DOL Reg. § 2520.104-23.</w:t>
      </w:r>
    </w:p>
    <w:p>
      <w:pPr>
        <w:spacing w:after="0" w:line="190"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The Plan shall contnue untl such tme as it is amended or terminated.</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ARTICLE 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DEFINITIONS</w:t>
      </w:r>
    </w:p>
    <w:p>
      <w:pPr>
        <w:spacing w:after="0" w:line="188" w:lineRule="exact"/>
        <w:rPr>
          <w:sz w:val="20"/>
          <w:szCs w:val="20"/>
          <w:color w:val="auto"/>
        </w:rPr>
      </w:pPr>
    </w:p>
    <w:p>
      <w:pPr>
        <w:ind w:left="340"/>
        <w:spacing w:after="0"/>
        <w:tabs>
          <w:tab w:leader="none" w:pos="800" w:val="left"/>
        </w:tabs>
        <w:rPr>
          <w:sz w:val="20"/>
          <w:szCs w:val="20"/>
          <w:color w:val="auto"/>
        </w:rPr>
      </w:pPr>
      <w:r>
        <w:rPr>
          <w:rFonts w:ascii="Calibri" w:cs="Calibri" w:eastAsia="Calibri" w:hAnsi="Calibri"/>
          <w:sz w:val="20"/>
          <w:szCs w:val="20"/>
          <w:color w:val="auto"/>
        </w:rPr>
        <w:t>1.1</w:t>
        <w:tab/>
        <w:t>“</w:t>
      </w:r>
      <w:r>
        <w:rPr>
          <w:rFonts w:ascii="Calibri" w:cs="Calibri" w:eastAsia="Calibri" w:hAnsi="Calibri"/>
          <w:sz w:val="20"/>
          <w:szCs w:val="20"/>
          <w:u w:val="single" w:color="auto"/>
          <w:color w:val="auto"/>
        </w:rPr>
        <w:t>Afliate</w:t>
      </w:r>
      <w:r>
        <w:rPr>
          <w:rFonts w:ascii="Calibri" w:cs="Calibri" w:eastAsia="Calibri" w:hAnsi="Calibri"/>
          <w:sz w:val="20"/>
          <w:szCs w:val="20"/>
          <w:color w:val="auto"/>
        </w:rPr>
        <w:t>” means any entty with which Hawkins would be considered a single employer under Code § 414(b) or 414(c).</w:t>
      </w:r>
    </w:p>
    <w:p>
      <w:pPr>
        <w:spacing w:after="0" w:line="211" w:lineRule="exact"/>
        <w:rPr>
          <w:sz w:val="20"/>
          <w:szCs w:val="20"/>
          <w:color w:val="auto"/>
        </w:rPr>
      </w:pPr>
    </w:p>
    <w:p>
      <w:pPr>
        <w:ind w:left="820" w:right="60" w:hanging="485"/>
        <w:spacing w:after="0" w:line="220" w:lineRule="auto"/>
        <w:tabs>
          <w:tab w:leader="none" w:pos="800" w:val="left"/>
        </w:tabs>
        <w:rPr>
          <w:sz w:val="20"/>
          <w:szCs w:val="20"/>
          <w:color w:val="auto"/>
        </w:rPr>
      </w:pPr>
      <w:r>
        <w:rPr>
          <w:rFonts w:ascii="Calibri" w:cs="Calibri" w:eastAsia="Calibri" w:hAnsi="Calibri"/>
          <w:sz w:val="20"/>
          <w:szCs w:val="20"/>
          <w:color w:val="auto"/>
        </w:rPr>
        <w:t>1.2</w:t>
        <w:tab/>
        <w:t>“</w:t>
      </w:r>
      <w:r>
        <w:rPr>
          <w:rFonts w:ascii="Calibri" w:cs="Calibri" w:eastAsia="Calibri" w:hAnsi="Calibri"/>
          <w:sz w:val="20"/>
          <w:szCs w:val="20"/>
          <w:u w:val="single" w:color="auto"/>
          <w:color w:val="auto"/>
        </w:rPr>
        <w:t>Base Salary</w:t>
      </w:r>
      <w:r>
        <w:rPr>
          <w:rFonts w:ascii="Calibri" w:cs="Calibri" w:eastAsia="Calibri" w:hAnsi="Calibri"/>
          <w:sz w:val="20"/>
          <w:szCs w:val="20"/>
          <w:color w:val="auto"/>
        </w:rPr>
        <w:t>” means the Covered Executve’s annualized rate of base salary as paid on each regularly scheduled payday for the Covered Executve’s regular work schedule as of his or her Date of Terminaton; provided, however, that if such rate is reduced during the 90-day period preceding the Covered Executve’s Date of Terminaton, the Covered Executve’s annualized rate of base salary shall be based upon the highest rate in efect for the Covered Executve during such 90-day period.</w:t>
      </w:r>
    </w:p>
    <w:p>
      <w:pPr>
        <w:spacing w:after="0" w:line="189" w:lineRule="exact"/>
        <w:rPr>
          <w:sz w:val="20"/>
          <w:szCs w:val="20"/>
          <w:color w:val="auto"/>
        </w:rPr>
      </w:pPr>
    </w:p>
    <w:p>
      <w:pPr>
        <w:ind w:left="340"/>
        <w:spacing w:after="0"/>
        <w:tabs>
          <w:tab w:leader="none" w:pos="800" w:val="left"/>
        </w:tabs>
        <w:rPr>
          <w:sz w:val="20"/>
          <w:szCs w:val="20"/>
          <w:color w:val="auto"/>
        </w:rPr>
      </w:pPr>
      <w:r>
        <w:rPr>
          <w:rFonts w:ascii="Calibri" w:cs="Calibri" w:eastAsia="Calibri" w:hAnsi="Calibri"/>
          <w:sz w:val="20"/>
          <w:szCs w:val="20"/>
          <w:color w:val="auto"/>
        </w:rPr>
        <w:t>1.3</w:t>
        <w:tab/>
        <w:t>“</w:t>
      </w:r>
      <w:r>
        <w:rPr>
          <w:rFonts w:ascii="Calibri" w:cs="Calibri" w:eastAsia="Calibri" w:hAnsi="Calibri"/>
          <w:sz w:val="20"/>
          <w:szCs w:val="20"/>
          <w:u w:val="single" w:color="auto"/>
          <w:color w:val="auto"/>
        </w:rPr>
        <w:t>Benefcial Owner</w:t>
      </w:r>
      <w:r>
        <w:rPr>
          <w:rFonts w:ascii="Calibri" w:cs="Calibri" w:eastAsia="Calibri" w:hAnsi="Calibri"/>
          <w:sz w:val="20"/>
          <w:szCs w:val="20"/>
          <w:color w:val="auto"/>
        </w:rPr>
        <w:t>” and “</w:t>
      </w:r>
      <w:r>
        <w:rPr>
          <w:rFonts w:ascii="Calibri" w:cs="Calibri" w:eastAsia="Calibri" w:hAnsi="Calibri"/>
          <w:sz w:val="20"/>
          <w:szCs w:val="20"/>
          <w:u w:val="single" w:color="auto"/>
          <w:color w:val="auto"/>
        </w:rPr>
        <w:t>Benefcial Ownership</w:t>
      </w:r>
      <w:r>
        <w:rPr>
          <w:rFonts w:ascii="Calibri" w:cs="Calibri" w:eastAsia="Calibri" w:hAnsi="Calibri"/>
          <w:sz w:val="20"/>
          <w:szCs w:val="20"/>
          <w:color w:val="auto"/>
        </w:rPr>
        <w:t>” have the same meaning as in Rule 13d-3 under the Securites Exchange Act of</w:t>
      </w:r>
    </w:p>
    <w:p>
      <w:pPr>
        <w:ind w:left="820"/>
        <w:spacing w:after="0" w:line="225" w:lineRule="auto"/>
        <w:rPr>
          <w:sz w:val="20"/>
          <w:szCs w:val="20"/>
          <w:color w:val="auto"/>
        </w:rPr>
      </w:pPr>
      <w:r>
        <w:rPr>
          <w:rFonts w:ascii="Calibri" w:cs="Calibri" w:eastAsia="Calibri" w:hAnsi="Calibri"/>
          <w:sz w:val="20"/>
          <w:szCs w:val="20"/>
          <w:color w:val="auto"/>
        </w:rPr>
        <w:t>1934, as amended (or any successor rule thereto).</w:t>
      </w:r>
    </w:p>
    <w:p>
      <w:pPr>
        <w:spacing w:after="0" w:line="188" w:lineRule="exact"/>
        <w:rPr>
          <w:sz w:val="20"/>
          <w:szCs w:val="20"/>
          <w:color w:val="auto"/>
        </w:rPr>
      </w:pPr>
    </w:p>
    <w:p>
      <w:pPr>
        <w:ind w:left="340"/>
        <w:spacing w:after="0"/>
        <w:tabs>
          <w:tab w:leader="none" w:pos="800" w:val="left"/>
        </w:tabs>
        <w:rPr>
          <w:sz w:val="20"/>
          <w:szCs w:val="20"/>
          <w:color w:val="auto"/>
        </w:rPr>
      </w:pPr>
      <w:r>
        <w:rPr>
          <w:rFonts w:ascii="Calibri" w:cs="Calibri" w:eastAsia="Calibri" w:hAnsi="Calibri"/>
          <w:sz w:val="20"/>
          <w:szCs w:val="20"/>
          <w:color w:val="auto"/>
        </w:rPr>
        <w:t>1.4</w:t>
        <w:tab/>
        <w:t>“</w:t>
      </w:r>
      <w:r>
        <w:rPr>
          <w:rFonts w:ascii="Calibri" w:cs="Calibri" w:eastAsia="Calibri" w:hAnsi="Calibri"/>
          <w:sz w:val="20"/>
          <w:szCs w:val="20"/>
          <w:u w:val="single" w:color="auto"/>
          <w:color w:val="auto"/>
        </w:rPr>
        <w:t>Board</w:t>
      </w:r>
      <w:r>
        <w:rPr>
          <w:rFonts w:ascii="Calibri" w:cs="Calibri" w:eastAsia="Calibri" w:hAnsi="Calibri"/>
          <w:sz w:val="20"/>
          <w:szCs w:val="20"/>
          <w:color w:val="auto"/>
        </w:rPr>
        <w:t>” means the Board of Directors of Hawkins.</w:t>
      </w:r>
    </w:p>
    <w:p>
      <w:pPr>
        <w:sectPr>
          <w:pgSz w:w="11900" w:h="16838" w:orient="portrait"/>
          <w:cols w:equalWidth="0" w:num="1">
            <w:col w:w="11240"/>
          </w:cols>
          <w:pgMar w:left="320" w:top="1064" w:right="339" w:bottom="1440" w:gutter="0" w:footer="0" w:header="0"/>
        </w:sectPr>
      </w:pPr>
    </w:p>
    <w:bookmarkStart w:id="34" w:name="page35"/>
    <w:bookmarkEnd w:id="34"/>
    <w:p>
      <w:pPr>
        <w:spacing w:after="0"/>
        <w:tabs>
          <w:tab w:leader="none" w:pos="460" w:val="left"/>
        </w:tabs>
        <w:rPr>
          <w:sz w:val="20"/>
          <w:szCs w:val="20"/>
          <w:color w:val="auto"/>
        </w:rPr>
      </w:pPr>
      <w:r>
        <w:rPr>
          <w:rFonts w:ascii="Calibri" w:cs="Calibri" w:eastAsia="Calibri" w:hAnsi="Calibri"/>
          <w:sz w:val="20"/>
          <w:szCs w:val="20"/>
          <w:color w:val="auto"/>
        </w:rPr>
        <w:t>1.5</w:t>
        <w:tab/>
        <w:t>“</w:t>
      </w:r>
      <w:r>
        <w:rPr>
          <w:rFonts w:ascii="Calibri" w:cs="Calibri" w:eastAsia="Calibri" w:hAnsi="Calibri"/>
          <w:sz w:val="20"/>
          <w:szCs w:val="20"/>
          <w:u w:val="single" w:color="auto"/>
          <w:color w:val="auto"/>
        </w:rPr>
        <w:t>Cause</w:t>
      </w:r>
      <w:r>
        <w:rPr>
          <w:rFonts w:ascii="Calibri" w:cs="Calibri" w:eastAsia="Calibri" w:hAnsi="Calibri"/>
          <w:sz w:val="20"/>
          <w:szCs w:val="20"/>
          <w:color w:val="auto"/>
        </w:rPr>
        <w:t>” means:</w:t>
      </w:r>
    </w:p>
    <w:p>
      <w:pPr>
        <w:spacing w:after="0" w:line="198" w:lineRule="exact"/>
        <w:rPr>
          <w:sz w:val="20"/>
          <w:szCs w:val="20"/>
          <w:color w:val="auto"/>
        </w:rPr>
      </w:pPr>
    </w:p>
    <w:p>
      <w:pPr>
        <w:ind w:left="960" w:right="180" w:hanging="320"/>
        <w:spacing w:after="0" w:line="228" w:lineRule="auto"/>
        <w:tabs>
          <w:tab w:leader="none" w:pos="96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the Covered Executve’s willful and material failure or refusal during his or her employment to carry out any reasonable directve of the Board;</w:t>
      </w:r>
    </w:p>
    <w:p>
      <w:pPr>
        <w:spacing w:after="0" w:line="197" w:lineRule="exact"/>
        <w:rPr>
          <w:rFonts w:ascii="Calibri" w:cs="Calibri" w:eastAsia="Calibri" w:hAnsi="Calibri"/>
          <w:sz w:val="20"/>
          <w:szCs w:val="20"/>
          <w:color w:val="auto"/>
        </w:rPr>
      </w:pPr>
    </w:p>
    <w:p>
      <w:pPr>
        <w:ind w:left="960" w:right="160" w:hanging="320"/>
        <w:spacing w:after="0" w:line="222" w:lineRule="auto"/>
        <w:tabs>
          <w:tab w:leader="none" w:pos="955"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any willful and material failure by the Covered Executve during his or her employment to comply with any material policy, rule or code of conduct generally applicable to employees of Hawkins or to management employees of Hawkins, which failure is materially and demonstratvely injurious to the fnancial conditon or business reputaton of Hawkins;</w:t>
      </w:r>
    </w:p>
    <w:p>
      <w:pPr>
        <w:spacing w:after="0" w:line="213" w:lineRule="exact"/>
        <w:rPr>
          <w:rFonts w:ascii="Calibri" w:cs="Calibri" w:eastAsia="Calibri" w:hAnsi="Calibri"/>
          <w:sz w:val="20"/>
          <w:szCs w:val="20"/>
          <w:color w:val="auto"/>
        </w:rPr>
      </w:pPr>
    </w:p>
    <w:p>
      <w:pPr>
        <w:ind w:left="960" w:right="240" w:hanging="320"/>
        <w:spacing w:after="0" w:line="221" w:lineRule="auto"/>
        <w:tabs>
          <w:tab w:leader="none" w:pos="962"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the Covered Executve’s embezzlement or misappropriaton of funds of Hawkins or any other willful act or omission by the Covered Executve which is materially injurious to the fnancial conditon or business reputaton of Hawkins; or</w:t>
      </w:r>
    </w:p>
    <w:p>
      <w:pPr>
        <w:spacing w:after="0" w:line="198" w:lineRule="exact"/>
        <w:rPr>
          <w:rFonts w:ascii="Calibri" w:cs="Calibri" w:eastAsia="Calibri" w:hAnsi="Calibri"/>
          <w:sz w:val="20"/>
          <w:szCs w:val="20"/>
          <w:color w:val="auto"/>
        </w:rPr>
      </w:pPr>
    </w:p>
    <w:p>
      <w:pPr>
        <w:ind w:left="960" w:right="20" w:hanging="320"/>
        <w:spacing w:after="0" w:line="222" w:lineRule="auto"/>
        <w:tabs>
          <w:tab w:leader="none" w:pos="955"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the Covered Executve’s convicton or confession of an act or acts consttutng a felony under the laws of the United States or any state thereof related to the business of Hawkins or which is materially injurious to the fnancial conditon or business reputaton of Hawkins.</w:t>
      </w:r>
    </w:p>
    <w:p>
      <w:pPr>
        <w:spacing w:after="0" w:line="204"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20"/>
          <w:szCs w:val="20"/>
          <w:color w:val="auto"/>
        </w:rPr>
        <w:t>1.6</w:t>
        <w:tab/>
        <w:t>“</w:t>
      </w:r>
      <w:r>
        <w:rPr>
          <w:rFonts w:ascii="Calibri" w:cs="Calibri" w:eastAsia="Calibri" w:hAnsi="Calibri"/>
          <w:sz w:val="20"/>
          <w:szCs w:val="20"/>
          <w:u w:val="single" w:color="auto"/>
          <w:color w:val="auto"/>
        </w:rPr>
        <w:t>Change in Control</w:t>
      </w:r>
      <w:r>
        <w:rPr>
          <w:rFonts w:ascii="Calibri" w:cs="Calibri" w:eastAsia="Calibri" w:hAnsi="Calibri"/>
          <w:sz w:val="20"/>
          <w:szCs w:val="20"/>
          <w:color w:val="auto"/>
        </w:rPr>
        <w:t>” means the occurrence of any of the following events:</w:t>
      </w:r>
    </w:p>
    <w:p>
      <w:pPr>
        <w:spacing w:after="0" w:line="198" w:lineRule="exact"/>
        <w:rPr>
          <w:sz w:val="20"/>
          <w:szCs w:val="20"/>
          <w:color w:val="auto"/>
        </w:rPr>
      </w:pPr>
    </w:p>
    <w:p>
      <w:pPr>
        <w:ind w:left="1120" w:hanging="480"/>
        <w:spacing w:after="0" w:line="219" w:lineRule="auto"/>
        <w:tabs>
          <w:tab w:leader="none" w:pos="112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the consummaton of a Corporate Transacton unless, immediately following such Corporate Transacton, all or substantally all of the persons who were the Benefcial Owners of Votng Securites of Hawkins immediately prior to such Corporate Transacton benefcially own, directly or indirectly, more than 50% of the combined votng power of the then outstanding Votng Securites (or comparable equity interests) of the surviving or acquiring entty (or its parent) resultng from such Corporate Transacton in substantally the same proportons as their ownership of Votng Securites of Hawkins immediately prior to such Corporate Transacton; or</w:t>
      </w:r>
    </w:p>
    <w:p>
      <w:pPr>
        <w:spacing w:after="0" w:line="215" w:lineRule="exact"/>
        <w:rPr>
          <w:rFonts w:ascii="Calibri" w:cs="Calibri" w:eastAsia="Calibri" w:hAnsi="Calibri"/>
          <w:sz w:val="20"/>
          <w:szCs w:val="20"/>
          <w:color w:val="auto"/>
        </w:rPr>
      </w:pPr>
    </w:p>
    <w:p>
      <w:pPr>
        <w:ind w:left="1120" w:right="80" w:hanging="480"/>
        <w:spacing w:after="0" w:line="218" w:lineRule="auto"/>
        <w:tabs>
          <w:tab w:leader="none" w:pos="1115"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any person or group, other than (i) one or more subsidiaries of Hawkins, or (ii) any employee beneft plan (or related trust) sponsored or maintained by Hawkins or any Afliate, becomes the Benefcial Owner of equity securites of Hawkins representng more than 50% of the combined votng power of the then outstanding Votng Securites of Hawkins, except that (A) any acquisiton of equity securites of Hawkins directly from Hawkins for the purpose of providing fnancing to Hawkins, any formaton of a group consistng solely of Benefcial Owners of Votng Securites of Hawkins as of the Efectve Date, or any repurchase or other acquisiton by Hawkins of its equity securites that causes any person to become the benefcial owner of more than 50% of the combined votng power of the Votng Securites of Hawkins, will not be considered a Change in Control unless and untl, in either case, such person acquires Benefcial Ownership of additonal Votng Securites of Hawkins afer the person initally became the Benefcial Owner of more than 50% of the combined votng power of the Votng Securites of Hawkins by one of the means described in this clause (A); and (B) a Change in Control will occur if a person or group becomes the Benefcial Owner of more than 50% of Votng Securites of Hawkins as the result of a Corporate Transacton only if the Corporate Transacton is itself a Change in Control pursuant to subsecton (a) of this secton; or</w:t>
      </w:r>
    </w:p>
    <w:p>
      <w:pPr>
        <w:spacing w:after="0" w:line="198" w:lineRule="exact"/>
        <w:rPr>
          <w:rFonts w:ascii="Calibri" w:cs="Calibri" w:eastAsia="Calibri" w:hAnsi="Calibri"/>
          <w:sz w:val="20"/>
          <w:szCs w:val="20"/>
          <w:color w:val="auto"/>
        </w:rPr>
      </w:pPr>
    </w:p>
    <w:p>
      <w:pPr>
        <w:ind w:left="1120" w:hanging="480"/>
        <w:spacing w:after="0"/>
        <w:tabs>
          <w:tab w:leader="none" w:pos="112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individuals who are Contnuing Directors cease for any reason to consttute a majority of the members of the Board.</w:t>
      </w:r>
    </w:p>
    <w:p>
      <w:pPr>
        <w:spacing w:after="0" w:line="201"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20"/>
          <w:szCs w:val="20"/>
          <w:color w:val="auto"/>
        </w:rPr>
        <w:t>1.7</w:t>
        <w:tab/>
        <w:t>“</w:t>
      </w:r>
      <w:r>
        <w:rPr>
          <w:rFonts w:ascii="Calibri" w:cs="Calibri" w:eastAsia="Calibri" w:hAnsi="Calibri"/>
          <w:sz w:val="20"/>
          <w:szCs w:val="20"/>
          <w:u w:val="single" w:color="auto"/>
          <w:color w:val="auto"/>
        </w:rPr>
        <w:t>COBRA</w:t>
      </w:r>
      <w:r>
        <w:rPr>
          <w:rFonts w:ascii="Calibri" w:cs="Calibri" w:eastAsia="Calibri" w:hAnsi="Calibri"/>
          <w:sz w:val="20"/>
          <w:szCs w:val="20"/>
          <w:color w:val="auto"/>
        </w:rPr>
        <w:t>” means the Consolidated Omnibus Budget Reconciliaton Act of 1985, as amended.</w:t>
      </w:r>
    </w:p>
    <w:p>
      <w:pPr>
        <w:spacing w:after="0" w:line="188"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20"/>
          <w:szCs w:val="20"/>
          <w:color w:val="auto"/>
        </w:rPr>
        <w:t>1.8</w:t>
        <w:tab/>
        <w:t>“</w:t>
      </w:r>
      <w:r>
        <w:rPr>
          <w:rFonts w:ascii="Calibri" w:cs="Calibri" w:eastAsia="Calibri" w:hAnsi="Calibri"/>
          <w:sz w:val="20"/>
          <w:szCs w:val="20"/>
          <w:u w:val="single" w:color="auto"/>
          <w:color w:val="auto"/>
        </w:rPr>
        <w:t>Code</w:t>
      </w:r>
      <w:r>
        <w:rPr>
          <w:rFonts w:ascii="Calibri" w:cs="Calibri" w:eastAsia="Calibri" w:hAnsi="Calibri"/>
          <w:sz w:val="20"/>
          <w:szCs w:val="20"/>
          <w:color w:val="auto"/>
        </w:rPr>
        <w:t>” means the Internal Revenue Code of 1986, as amended, and the regulatons and guidance issued thereunder.</w:t>
      </w:r>
    </w:p>
    <w:p>
      <w:pPr>
        <w:sectPr>
          <w:pgSz w:w="11900" w:h="16838" w:orient="portrait"/>
          <w:cols w:equalWidth="0" w:num="1">
            <w:col w:w="10900"/>
          </w:cols>
          <w:pgMar w:left="660" w:top="1064" w:right="339" w:bottom="1440" w:gutter="0" w:footer="0" w:header="0"/>
        </w:sectPr>
      </w:pPr>
    </w:p>
    <w:bookmarkStart w:id="35" w:name="page36"/>
    <w:bookmarkEnd w:id="35"/>
    <w:p>
      <w:pPr>
        <w:ind w:left="480" w:right="420" w:hanging="485"/>
        <w:spacing w:after="0" w:line="221" w:lineRule="auto"/>
        <w:tabs>
          <w:tab w:leader="none" w:pos="460" w:val="left"/>
        </w:tabs>
        <w:rPr>
          <w:sz w:val="20"/>
          <w:szCs w:val="20"/>
          <w:color w:val="auto"/>
        </w:rPr>
      </w:pPr>
      <w:r>
        <w:rPr>
          <w:rFonts w:ascii="Calibri" w:cs="Calibri" w:eastAsia="Calibri" w:hAnsi="Calibri"/>
          <w:sz w:val="20"/>
          <w:szCs w:val="20"/>
          <w:color w:val="auto"/>
        </w:rPr>
        <w:t>1.9</w:t>
        <w:tab/>
        <w:t>“</w:t>
      </w:r>
      <w:r>
        <w:rPr>
          <w:rFonts w:ascii="Calibri" w:cs="Calibri" w:eastAsia="Calibri" w:hAnsi="Calibri"/>
          <w:sz w:val="20"/>
          <w:szCs w:val="20"/>
          <w:u w:val="single" w:color="auto"/>
          <w:color w:val="auto"/>
        </w:rPr>
        <w:t>Commitee</w:t>
      </w:r>
      <w:r>
        <w:rPr>
          <w:rFonts w:ascii="Calibri" w:cs="Calibri" w:eastAsia="Calibri" w:hAnsi="Calibri"/>
          <w:sz w:val="20"/>
          <w:szCs w:val="20"/>
          <w:color w:val="auto"/>
        </w:rPr>
        <w:t>” means the Compensaton Commitee of the Board or such other commitee of the Board (including, without limitaton, the full Board) to which the Board has delegated power to act under or pursuant to the provisions of the Plan.</w:t>
      </w:r>
    </w:p>
    <w:p>
      <w:pPr>
        <w:spacing w:after="0" w:line="212" w:lineRule="exact"/>
        <w:rPr>
          <w:sz w:val="20"/>
          <w:szCs w:val="20"/>
          <w:color w:val="auto"/>
        </w:rPr>
      </w:pPr>
    </w:p>
    <w:p>
      <w:pPr>
        <w:ind w:left="480" w:right="20" w:hanging="485"/>
        <w:spacing w:after="0"/>
        <w:rPr>
          <w:sz w:val="20"/>
          <w:szCs w:val="20"/>
          <w:color w:val="auto"/>
        </w:rPr>
      </w:pPr>
      <w:r>
        <w:rPr>
          <w:rFonts w:ascii="Calibri" w:cs="Calibri" w:eastAsia="Calibri" w:hAnsi="Calibri"/>
          <w:sz w:val="20"/>
          <w:szCs w:val="20"/>
          <w:color w:val="auto"/>
        </w:rPr>
        <w:t>1.10 “</w:t>
      </w:r>
      <w:r>
        <w:rPr>
          <w:rFonts w:ascii="Calibri" w:cs="Calibri" w:eastAsia="Calibri" w:hAnsi="Calibri"/>
          <w:sz w:val="20"/>
          <w:szCs w:val="20"/>
          <w:u w:val="single" w:color="auto"/>
          <w:color w:val="auto"/>
        </w:rPr>
        <w:t>Contnuing Director</w:t>
      </w:r>
      <w:r>
        <w:rPr>
          <w:rFonts w:ascii="Calibri" w:cs="Calibri" w:eastAsia="Calibri" w:hAnsi="Calibri"/>
          <w:sz w:val="20"/>
          <w:szCs w:val="20"/>
          <w:color w:val="auto"/>
        </w:rPr>
        <w:t>” means an individual (a) who is, as of the Efectve Date, a director of Hawkins, or (b) who becomes a director of Hawkins afer the Efectve Date and whose inital electon, or nominaton for electon by Hawkins’ stockholders, was approved by at least a majority of the then Contnuing Directors, but excluding, for this purpose, any such individual whose inital assumpton of ofce occurs as a result of an actual or threatened electon contest with respect to the electon or removal of directors or other actual or threatened solicitaton of proxies or consents by or on behalf of a person other than the Board.</w:t>
      </w:r>
    </w:p>
    <w:p>
      <w:pPr>
        <w:spacing w:after="0" w:line="318" w:lineRule="exact"/>
        <w:rPr>
          <w:sz w:val="20"/>
          <w:szCs w:val="20"/>
          <w:color w:val="auto"/>
        </w:rPr>
      </w:pPr>
    </w:p>
    <w:p>
      <w:pPr>
        <w:ind w:left="480" w:right="340" w:hanging="485"/>
        <w:spacing w:after="0" w:line="222" w:lineRule="auto"/>
        <w:rPr>
          <w:sz w:val="20"/>
          <w:szCs w:val="20"/>
          <w:color w:val="auto"/>
        </w:rPr>
      </w:pPr>
      <w:r>
        <w:rPr>
          <w:rFonts w:ascii="Calibri" w:cs="Calibri" w:eastAsia="Calibri" w:hAnsi="Calibri"/>
          <w:sz w:val="20"/>
          <w:szCs w:val="20"/>
          <w:color w:val="auto"/>
        </w:rPr>
        <w:t>1.11 “</w:t>
      </w:r>
      <w:r>
        <w:rPr>
          <w:rFonts w:ascii="Calibri" w:cs="Calibri" w:eastAsia="Calibri" w:hAnsi="Calibri"/>
          <w:sz w:val="20"/>
          <w:szCs w:val="20"/>
          <w:u w:val="single" w:color="auto"/>
          <w:color w:val="auto"/>
        </w:rPr>
        <w:t>Corporate Transacton</w:t>
      </w:r>
      <w:r>
        <w:rPr>
          <w:rFonts w:ascii="Calibri" w:cs="Calibri" w:eastAsia="Calibri" w:hAnsi="Calibri"/>
          <w:sz w:val="20"/>
          <w:szCs w:val="20"/>
          <w:color w:val="auto"/>
        </w:rPr>
        <w:t>” means a dissoluton or liquidaton of Hawkins, a sale of substantally all of the assets of Hawkins, a merger or consolidaton of Hawkins with or into any other corporaton, regardless of whether Hawkins is the surviving corporaton, or a statutory share exchange involving capital stock of Hawkins.</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color w:val="auto"/>
        </w:rPr>
        <w:t>1.12  “</w:t>
      </w:r>
      <w:r>
        <w:rPr>
          <w:rFonts w:ascii="Calibri" w:cs="Calibri" w:eastAsia="Calibri" w:hAnsi="Calibri"/>
          <w:sz w:val="20"/>
          <w:szCs w:val="20"/>
          <w:u w:val="single" w:color="auto"/>
          <w:color w:val="auto"/>
        </w:rPr>
        <w:t>Covered Executve</w:t>
      </w:r>
      <w:r>
        <w:rPr>
          <w:rFonts w:ascii="Calibri" w:cs="Calibri" w:eastAsia="Calibri" w:hAnsi="Calibri"/>
          <w:sz w:val="20"/>
          <w:szCs w:val="20"/>
          <w:color w:val="auto"/>
        </w:rPr>
        <w:t>” means any Employee who is specifcally designated by the Commitee to partcipate in the Plan.</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1.13  “</w:t>
      </w:r>
      <w:r>
        <w:rPr>
          <w:rFonts w:ascii="Calibri" w:cs="Calibri" w:eastAsia="Calibri" w:hAnsi="Calibri"/>
          <w:sz w:val="20"/>
          <w:szCs w:val="20"/>
          <w:u w:val="single" w:color="auto"/>
          <w:color w:val="auto"/>
        </w:rPr>
        <w:t>Date of Terminaton</w:t>
      </w:r>
      <w:r>
        <w:rPr>
          <w:rFonts w:ascii="Calibri" w:cs="Calibri" w:eastAsia="Calibri" w:hAnsi="Calibri"/>
          <w:sz w:val="20"/>
          <w:szCs w:val="20"/>
          <w:color w:val="auto"/>
        </w:rPr>
        <w:t>” means the efectve date of a Terminaton of Employment.</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1.14  “</w:t>
      </w:r>
      <w:r>
        <w:rPr>
          <w:rFonts w:ascii="Calibri" w:cs="Calibri" w:eastAsia="Calibri" w:hAnsi="Calibri"/>
          <w:sz w:val="20"/>
          <w:szCs w:val="20"/>
          <w:u w:val="single" w:color="auto"/>
          <w:color w:val="auto"/>
        </w:rPr>
        <w:t>Deferred Compensaton Plan</w:t>
      </w:r>
      <w:r>
        <w:rPr>
          <w:rFonts w:ascii="Calibri" w:cs="Calibri" w:eastAsia="Calibri" w:hAnsi="Calibri"/>
          <w:sz w:val="20"/>
          <w:szCs w:val="20"/>
          <w:color w:val="auto"/>
        </w:rPr>
        <w:t>” means the Hawkins, Inc. Deferred Compensaton Plan.</w:t>
      </w:r>
    </w:p>
    <w:p>
      <w:pPr>
        <w:spacing w:after="0" w:line="211" w:lineRule="exact"/>
        <w:rPr>
          <w:sz w:val="20"/>
          <w:szCs w:val="20"/>
          <w:color w:val="auto"/>
        </w:rPr>
      </w:pPr>
    </w:p>
    <w:p>
      <w:pPr>
        <w:ind w:left="480" w:hanging="485"/>
        <w:spacing w:after="0" w:line="220" w:lineRule="auto"/>
        <w:rPr>
          <w:sz w:val="20"/>
          <w:szCs w:val="20"/>
          <w:color w:val="auto"/>
        </w:rPr>
      </w:pPr>
      <w:r>
        <w:rPr>
          <w:rFonts w:ascii="Calibri" w:cs="Calibri" w:eastAsia="Calibri" w:hAnsi="Calibri"/>
          <w:sz w:val="20"/>
          <w:szCs w:val="20"/>
          <w:color w:val="auto"/>
        </w:rPr>
        <w:t>1.15 “</w:t>
      </w:r>
      <w:r>
        <w:rPr>
          <w:rFonts w:ascii="Calibri" w:cs="Calibri" w:eastAsia="Calibri" w:hAnsi="Calibri"/>
          <w:sz w:val="20"/>
          <w:szCs w:val="20"/>
          <w:u w:val="single" w:color="auto"/>
          <w:color w:val="auto"/>
        </w:rPr>
        <w:t>Disability</w:t>
      </w:r>
      <w:r>
        <w:rPr>
          <w:rFonts w:ascii="Calibri" w:cs="Calibri" w:eastAsia="Calibri" w:hAnsi="Calibri"/>
          <w:sz w:val="20"/>
          <w:szCs w:val="20"/>
          <w:color w:val="auto"/>
        </w:rPr>
        <w:t>” means any medically determinable physical or mental impairment that can be expected to result in death or can be expected to last for a contnuous period of not less than six months, where such impairment causes the Covered Executve to be unable to perform the dutes of the Covered Executve’s positon of employment or any substantally similar positon of employment.</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color w:val="auto"/>
        </w:rPr>
        <w:t>1.16  “</w:t>
      </w:r>
      <w:r>
        <w:rPr>
          <w:rFonts w:ascii="Calibri" w:cs="Calibri" w:eastAsia="Calibri" w:hAnsi="Calibri"/>
          <w:sz w:val="20"/>
          <w:szCs w:val="20"/>
          <w:u w:val="single" w:color="auto"/>
          <w:color w:val="auto"/>
        </w:rPr>
        <w:t>Efectve Date</w:t>
      </w:r>
      <w:r>
        <w:rPr>
          <w:rFonts w:ascii="Calibri" w:cs="Calibri" w:eastAsia="Calibri" w:hAnsi="Calibri"/>
          <w:sz w:val="20"/>
          <w:szCs w:val="20"/>
          <w:color w:val="auto"/>
        </w:rPr>
        <w:t>” means the efectve date of this Plan, which is August 2, 2011.</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1.17  “</w:t>
      </w:r>
      <w:r>
        <w:rPr>
          <w:rFonts w:ascii="Calibri" w:cs="Calibri" w:eastAsia="Calibri" w:hAnsi="Calibri"/>
          <w:sz w:val="20"/>
          <w:szCs w:val="20"/>
          <w:u w:val="single" w:color="auto"/>
          <w:color w:val="auto"/>
        </w:rPr>
        <w:t>Employee</w:t>
      </w:r>
      <w:r>
        <w:rPr>
          <w:rFonts w:ascii="Calibri" w:cs="Calibri" w:eastAsia="Calibri" w:hAnsi="Calibri"/>
          <w:sz w:val="20"/>
          <w:szCs w:val="20"/>
          <w:color w:val="auto"/>
        </w:rPr>
        <w:t>” means any common-law employee of Hawkins or an Afliate (while it is an Afliate).</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1.18  “</w:t>
      </w:r>
      <w:r>
        <w:rPr>
          <w:rFonts w:ascii="Calibri" w:cs="Calibri" w:eastAsia="Calibri" w:hAnsi="Calibri"/>
          <w:sz w:val="20"/>
          <w:szCs w:val="20"/>
          <w:u w:val="single" w:color="auto"/>
          <w:color w:val="auto"/>
        </w:rPr>
        <w:t>ERISA</w:t>
      </w:r>
      <w:r>
        <w:rPr>
          <w:rFonts w:ascii="Calibri" w:cs="Calibri" w:eastAsia="Calibri" w:hAnsi="Calibri"/>
          <w:sz w:val="20"/>
          <w:szCs w:val="20"/>
          <w:color w:val="auto"/>
        </w:rPr>
        <w:t>” means the Employee Retrement Income Security Act of 1974, as amended, and the regulatons and guidance issued.</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1.19  “</w:t>
      </w:r>
      <w:r>
        <w:rPr>
          <w:rFonts w:ascii="Calibri" w:cs="Calibri" w:eastAsia="Calibri" w:hAnsi="Calibri"/>
          <w:sz w:val="20"/>
          <w:szCs w:val="20"/>
          <w:u w:val="single" w:color="auto"/>
          <w:color w:val="auto"/>
        </w:rPr>
        <w:t>Good Reason</w:t>
      </w:r>
      <w:r>
        <w:rPr>
          <w:rFonts w:ascii="Calibri" w:cs="Calibri" w:eastAsia="Calibri" w:hAnsi="Calibri"/>
          <w:sz w:val="20"/>
          <w:szCs w:val="20"/>
          <w:color w:val="auto"/>
        </w:rPr>
        <w:t>” means any of the following conditons arising without the consent of the Covered Executve:</w:t>
      </w:r>
    </w:p>
    <w:p>
      <w:pPr>
        <w:spacing w:after="0" w:line="188" w:lineRule="exact"/>
        <w:rPr>
          <w:sz w:val="20"/>
          <w:szCs w:val="20"/>
          <w:color w:val="auto"/>
        </w:rPr>
      </w:pPr>
    </w:p>
    <w:p>
      <w:pPr>
        <w:ind w:left="1120" w:hanging="480"/>
        <w:spacing w:after="0"/>
        <w:tabs>
          <w:tab w:leader="none" w:pos="112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a material decrease in the Covered Executve’s base compensaton;</w:t>
      </w:r>
    </w:p>
    <w:p>
      <w:pPr>
        <w:spacing w:after="0" w:line="201" w:lineRule="exact"/>
        <w:rPr>
          <w:rFonts w:ascii="Calibri" w:cs="Calibri" w:eastAsia="Calibri" w:hAnsi="Calibri"/>
          <w:sz w:val="20"/>
          <w:szCs w:val="20"/>
          <w:color w:val="auto"/>
        </w:rPr>
      </w:pPr>
    </w:p>
    <w:p>
      <w:pPr>
        <w:ind w:left="1120" w:hanging="480"/>
        <w:spacing w:after="0"/>
        <w:tabs>
          <w:tab w:leader="none" w:pos="112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a material diminuton in the Covered Executve’s authority, dutes, or responsibilites;</w:t>
      </w:r>
    </w:p>
    <w:p>
      <w:pPr>
        <w:spacing w:after="0" w:line="187" w:lineRule="exact"/>
        <w:rPr>
          <w:rFonts w:ascii="Calibri" w:cs="Calibri" w:eastAsia="Calibri" w:hAnsi="Calibri"/>
          <w:sz w:val="20"/>
          <w:szCs w:val="20"/>
          <w:color w:val="auto"/>
        </w:rPr>
      </w:pPr>
    </w:p>
    <w:p>
      <w:pPr>
        <w:ind w:left="1120" w:hanging="480"/>
        <w:spacing w:after="0"/>
        <w:tabs>
          <w:tab w:leader="none" w:pos="112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relocaton of Covered Executve’s principal ofce more than 50 miles from its current locaton; or</w:t>
      </w:r>
    </w:p>
    <w:p>
      <w:pPr>
        <w:spacing w:after="0" w:line="211" w:lineRule="exact"/>
        <w:rPr>
          <w:rFonts w:ascii="Calibri" w:cs="Calibri" w:eastAsia="Calibri" w:hAnsi="Calibri"/>
          <w:sz w:val="20"/>
          <w:szCs w:val="20"/>
          <w:color w:val="auto"/>
        </w:rPr>
      </w:pPr>
    </w:p>
    <w:p>
      <w:pPr>
        <w:ind w:left="1120" w:right="20" w:hanging="480"/>
        <w:spacing w:after="0" w:line="221" w:lineRule="auto"/>
        <w:tabs>
          <w:tab w:leader="none" w:pos="1115"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any other acton or inacton that consttutes a material breach by Hawkins of any terms or conditons of any agreement between Hawkins and the Covered Executve, which breach has not been caused by the Covered Executve.</w:t>
      </w:r>
    </w:p>
    <w:p>
      <w:pPr>
        <w:spacing w:after="0" w:line="198" w:lineRule="exact"/>
        <w:rPr>
          <w:sz w:val="20"/>
          <w:szCs w:val="20"/>
          <w:color w:val="auto"/>
        </w:rPr>
      </w:pPr>
    </w:p>
    <w:p>
      <w:pPr>
        <w:ind w:left="480" w:right="640" w:hanging="485"/>
        <w:spacing w:after="0" w:line="228" w:lineRule="auto"/>
        <w:rPr>
          <w:sz w:val="20"/>
          <w:szCs w:val="20"/>
          <w:color w:val="auto"/>
        </w:rPr>
      </w:pPr>
      <w:r>
        <w:rPr>
          <w:rFonts w:ascii="Calibri" w:cs="Calibri" w:eastAsia="Calibri" w:hAnsi="Calibri"/>
          <w:sz w:val="20"/>
          <w:szCs w:val="20"/>
          <w:color w:val="auto"/>
        </w:rPr>
        <w:t>1.20 “</w:t>
      </w:r>
      <w:r>
        <w:rPr>
          <w:rFonts w:ascii="Calibri" w:cs="Calibri" w:eastAsia="Calibri" w:hAnsi="Calibri"/>
          <w:sz w:val="20"/>
          <w:szCs w:val="20"/>
          <w:u w:val="single" w:color="auto"/>
          <w:color w:val="auto"/>
        </w:rPr>
        <w:t>Hawkins</w:t>
      </w:r>
      <w:r>
        <w:rPr>
          <w:rFonts w:ascii="Calibri" w:cs="Calibri" w:eastAsia="Calibri" w:hAnsi="Calibri"/>
          <w:sz w:val="20"/>
          <w:szCs w:val="20"/>
          <w:color w:val="auto"/>
        </w:rPr>
        <w:t>” means Hawkins, Inc., a Minnesota corporaton, or any successor to all or substantally all of its businesses by merger, consolidaton, purchase of assets or otherwise.</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1.21  “</w:t>
      </w:r>
      <w:r>
        <w:rPr>
          <w:rFonts w:ascii="Calibri" w:cs="Calibri" w:eastAsia="Calibri" w:hAnsi="Calibri"/>
          <w:sz w:val="20"/>
          <w:szCs w:val="20"/>
          <w:u w:val="single" w:color="auto"/>
          <w:color w:val="auto"/>
        </w:rPr>
        <w:t>Plan Year</w:t>
      </w:r>
      <w:r>
        <w:rPr>
          <w:rFonts w:ascii="Calibri" w:cs="Calibri" w:eastAsia="Calibri" w:hAnsi="Calibri"/>
          <w:sz w:val="20"/>
          <w:szCs w:val="20"/>
          <w:color w:val="auto"/>
        </w:rPr>
        <w:t>” has the meaning given to such term in the Proft Sharing Plan.</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1.22  “</w:t>
      </w:r>
      <w:r>
        <w:rPr>
          <w:rFonts w:ascii="Calibri" w:cs="Calibri" w:eastAsia="Calibri" w:hAnsi="Calibri"/>
          <w:sz w:val="20"/>
          <w:szCs w:val="20"/>
          <w:u w:val="single" w:color="auto"/>
          <w:color w:val="auto"/>
        </w:rPr>
        <w:t>Proft Sharing Plan</w:t>
      </w:r>
      <w:r>
        <w:rPr>
          <w:rFonts w:ascii="Calibri" w:cs="Calibri" w:eastAsia="Calibri" w:hAnsi="Calibri"/>
          <w:sz w:val="20"/>
          <w:szCs w:val="20"/>
          <w:color w:val="auto"/>
        </w:rPr>
        <w:t>” means the Hawkins, Inc. Proft Sharing Plan.</w:t>
      </w:r>
    </w:p>
    <w:p>
      <w:pPr>
        <w:sectPr>
          <w:pgSz w:w="11900" w:h="16838" w:orient="portrait"/>
          <w:cols w:equalWidth="0" w:num="1">
            <w:col w:w="10900"/>
          </w:cols>
          <w:pgMar w:left="660" w:top="1074" w:right="339" w:bottom="1440" w:gutter="0" w:footer="0" w:header="0"/>
        </w:sectPr>
      </w:pPr>
    </w:p>
    <w:bookmarkStart w:id="36" w:name="page37"/>
    <w:bookmarkEnd w:id="36"/>
    <w:p>
      <w:pPr>
        <w:ind w:left="480" w:right="20" w:hanging="485"/>
        <w:spacing w:after="0" w:line="219" w:lineRule="auto"/>
        <w:rPr>
          <w:sz w:val="20"/>
          <w:szCs w:val="20"/>
          <w:color w:val="auto"/>
        </w:rPr>
      </w:pPr>
      <w:r>
        <w:rPr>
          <w:rFonts w:ascii="Calibri" w:cs="Calibri" w:eastAsia="Calibri" w:hAnsi="Calibri"/>
          <w:sz w:val="20"/>
          <w:szCs w:val="20"/>
          <w:color w:val="auto"/>
        </w:rPr>
        <w:t>1.23 “</w:t>
      </w:r>
      <w:r>
        <w:rPr>
          <w:rFonts w:ascii="Calibri" w:cs="Calibri" w:eastAsia="Calibri" w:hAnsi="Calibri"/>
          <w:sz w:val="20"/>
          <w:szCs w:val="20"/>
          <w:u w:val="single" w:color="auto"/>
          <w:color w:val="auto"/>
        </w:rPr>
        <w:t>Release</w:t>
      </w:r>
      <w:r>
        <w:rPr>
          <w:rFonts w:ascii="Calibri" w:cs="Calibri" w:eastAsia="Calibri" w:hAnsi="Calibri"/>
          <w:sz w:val="20"/>
          <w:szCs w:val="20"/>
          <w:color w:val="auto"/>
        </w:rPr>
        <w:t>” means a writen agreement and release of claims in a form furnished by Hawkins. In such release, the Covered Executve will be asked to release Hawkins and its directors, ofcer, employees and agents from any and all claims the Covered Executve may have against them, including but not limited to any contract, tort, or wage and hour claims, and any claims under Title VII, the ADEA, the ADA, ERISA, and other federal, state, local or foreign laws. Under the Release, the Covered Executve must also agree not to solicit business similar to any business ofered by Hawkins from any Hawkins customer, not to advise any entty to cancel or limit its business with Hawkins, not to recruit, solicit or encourage any employee to leave their employment with Hawkins, not to disclose any of Hawkins’ trade secrets or confdental informaton, and not to disparage Hawkins or its employees in any way. These obligatons are in additon to any other non-solicitaton, noncompete, nondisclosure, or confdentality agreements the Covered Executve may have executed while employed by Hawkins. The Release shall not diminish or terminate the Covered Executve’s rights under this Plan.</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color w:val="auto"/>
        </w:rPr>
        <w:t>1.24  “</w:t>
      </w:r>
      <w:r>
        <w:rPr>
          <w:rFonts w:ascii="Calibri" w:cs="Calibri" w:eastAsia="Calibri" w:hAnsi="Calibri"/>
          <w:sz w:val="20"/>
          <w:szCs w:val="20"/>
          <w:u w:val="single" w:color="auto"/>
          <w:color w:val="auto"/>
        </w:rPr>
        <w:t>Restatement Date</w:t>
      </w:r>
      <w:r>
        <w:rPr>
          <w:rFonts w:ascii="Calibri" w:cs="Calibri" w:eastAsia="Calibri" w:hAnsi="Calibri"/>
          <w:sz w:val="20"/>
          <w:szCs w:val="20"/>
          <w:color w:val="auto"/>
        </w:rPr>
        <w:t>” means the efectve date of the amendment and restatement of this Plan, which is July 31, 2024.</w:t>
      </w:r>
    </w:p>
    <w:p>
      <w:pPr>
        <w:spacing w:after="0" w:line="211" w:lineRule="exact"/>
        <w:rPr>
          <w:sz w:val="20"/>
          <w:szCs w:val="20"/>
          <w:color w:val="auto"/>
        </w:rPr>
      </w:pPr>
    </w:p>
    <w:p>
      <w:pPr>
        <w:ind w:left="480" w:right="240" w:hanging="485"/>
        <w:spacing w:after="0" w:line="218" w:lineRule="auto"/>
        <w:rPr>
          <w:sz w:val="20"/>
          <w:szCs w:val="20"/>
          <w:color w:val="auto"/>
        </w:rPr>
      </w:pPr>
      <w:r>
        <w:rPr>
          <w:rFonts w:ascii="Calibri" w:cs="Calibri" w:eastAsia="Calibri" w:hAnsi="Calibri"/>
          <w:sz w:val="20"/>
          <w:szCs w:val="20"/>
          <w:color w:val="auto"/>
        </w:rPr>
        <w:t>1.25 “</w:t>
      </w:r>
      <w:r>
        <w:rPr>
          <w:rFonts w:ascii="Calibri" w:cs="Calibri" w:eastAsia="Calibri" w:hAnsi="Calibri"/>
          <w:sz w:val="20"/>
          <w:szCs w:val="20"/>
          <w:u w:val="single" w:color="auto"/>
          <w:color w:val="auto"/>
        </w:rPr>
        <w:t>Salary Contnuaton Period</w:t>
      </w:r>
      <w:r>
        <w:rPr>
          <w:rFonts w:ascii="Calibri" w:cs="Calibri" w:eastAsia="Calibri" w:hAnsi="Calibri"/>
          <w:sz w:val="20"/>
          <w:szCs w:val="20"/>
          <w:color w:val="auto"/>
        </w:rPr>
        <w:t xml:space="preserve">” means the relevant period (which shall depend upon the Covered Executve’s Tier on his or her Date of Terminaton and whether the Covered Executve’s Terminaton of Employment is a Terminaton Due to a Change in Control) as described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xml:space="preserve"> for determining the Severance Benefts payable to a Covered Executve.</w:t>
      </w:r>
    </w:p>
    <w:p>
      <w:pPr>
        <w:spacing w:after="0" w:line="212" w:lineRule="exact"/>
        <w:rPr>
          <w:sz w:val="20"/>
          <w:szCs w:val="20"/>
          <w:color w:val="auto"/>
        </w:rPr>
      </w:pPr>
    </w:p>
    <w:p>
      <w:pPr>
        <w:ind w:left="480" w:right="60" w:hanging="485"/>
        <w:spacing w:after="0" w:line="218" w:lineRule="auto"/>
        <w:rPr>
          <w:sz w:val="20"/>
          <w:szCs w:val="20"/>
          <w:color w:val="auto"/>
        </w:rPr>
      </w:pPr>
      <w:r>
        <w:rPr>
          <w:rFonts w:ascii="Calibri" w:cs="Calibri" w:eastAsia="Calibri" w:hAnsi="Calibri"/>
          <w:sz w:val="20"/>
          <w:szCs w:val="20"/>
          <w:color w:val="auto"/>
        </w:rPr>
        <w:t>1.26 “</w:t>
      </w:r>
      <w:r>
        <w:rPr>
          <w:rFonts w:ascii="Calibri" w:cs="Calibri" w:eastAsia="Calibri" w:hAnsi="Calibri"/>
          <w:sz w:val="20"/>
          <w:szCs w:val="20"/>
          <w:u w:val="single" w:color="auto"/>
          <w:color w:val="auto"/>
        </w:rPr>
        <w:t>Separaton Pay Plan Amount</w:t>
      </w:r>
      <w:r>
        <w:rPr>
          <w:rFonts w:ascii="Calibri" w:cs="Calibri" w:eastAsia="Calibri" w:hAnsi="Calibri"/>
          <w:sz w:val="20"/>
          <w:szCs w:val="20"/>
          <w:color w:val="auto"/>
        </w:rPr>
        <w:t>” means an amount payable pursuant to an arrangement that consttutes a “separaton pay plan due to involuntary separaton from service” under Treas. Reg. § 1.409A-1(b)(9)(iii) (or a successor rule thereto), and which, with respect to a Covered Executve, shall be equal to two tmes the lesser of (a) the maximum amount that may be taken into account under a qualifed pension plan under Code § 401(a)(17) for the year in which the Date of Terminaton occurs; or (b) the Covered Executve’s annualized compensaton for the calendar year prior to the calendar year in which the Date of Terminaton occurs (adjusted for any increase during that year that was expected to contnue indefnitely if the Covered Executve had not separated from service).</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color w:val="auto"/>
        </w:rPr>
        <w:t>1.27  “</w:t>
      </w:r>
      <w:r>
        <w:rPr>
          <w:rFonts w:ascii="Calibri" w:cs="Calibri" w:eastAsia="Calibri" w:hAnsi="Calibri"/>
          <w:sz w:val="20"/>
          <w:szCs w:val="20"/>
          <w:u w:val="single" w:color="auto"/>
          <w:color w:val="auto"/>
        </w:rPr>
        <w:t>Severance Benefts</w:t>
      </w:r>
      <w:r>
        <w:rPr>
          <w:rFonts w:ascii="Calibri" w:cs="Calibri" w:eastAsia="Calibri" w:hAnsi="Calibri"/>
          <w:sz w:val="20"/>
          <w:szCs w:val="20"/>
          <w:color w:val="auto"/>
        </w:rPr>
        <w:t>” means the benefts payable under this Plan as described in Artcle 3.</w:t>
      </w:r>
    </w:p>
    <w:p>
      <w:pPr>
        <w:spacing w:after="0" w:line="198" w:lineRule="exact"/>
        <w:rPr>
          <w:sz w:val="20"/>
          <w:szCs w:val="20"/>
          <w:color w:val="auto"/>
        </w:rPr>
      </w:pPr>
    </w:p>
    <w:p>
      <w:pPr>
        <w:ind w:left="480" w:right="20" w:hanging="485"/>
        <w:spacing w:after="0" w:line="223" w:lineRule="auto"/>
        <w:rPr>
          <w:sz w:val="20"/>
          <w:szCs w:val="20"/>
          <w:color w:val="auto"/>
        </w:rPr>
      </w:pPr>
      <w:r>
        <w:rPr>
          <w:rFonts w:ascii="Calibri" w:cs="Calibri" w:eastAsia="Calibri" w:hAnsi="Calibri"/>
          <w:sz w:val="20"/>
          <w:szCs w:val="20"/>
          <w:color w:val="auto"/>
        </w:rPr>
        <w:t>1.28 “</w:t>
      </w:r>
      <w:r>
        <w:rPr>
          <w:rFonts w:ascii="Calibri" w:cs="Calibri" w:eastAsia="Calibri" w:hAnsi="Calibri"/>
          <w:sz w:val="20"/>
          <w:szCs w:val="20"/>
          <w:u w:val="single" w:color="auto"/>
          <w:color w:val="auto"/>
        </w:rPr>
        <w:t>Target Annual Bonus</w:t>
      </w:r>
      <w:r>
        <w:rPr>
          <w:rFonts w:ascii="Calibri" w:cs="Calibri" w:eastAsia="Calibri" w:hAnsi="Calibri"/>
          <w:sz w:val="20"/>
          <w:szCs w:val="20"/>
          <w:color w:val="auto"/>
        </w:rPr>
        <w:t>” means the target annual bonus established under Hawkins’ annual incentve bonus program and approved by the Commitee, as applicable, for the fscal year in which the Covered Executve’s Date of Terminaton occurs, or if such target annual bonus has not been established for such fscal year by the Covered Executve’s Date of Terminaton, the target annual bonus for the prior fscal year.</w:t>
      </w:r>
    </w:p>
    <w:p>
      <w:pPr>
        <w:spacing w:after="0" w:line="200" w:lineRule="exact"/>
        <w:rPr>
          <w:sz w:val="20"/>
          <w:szCs w:val="20"/>
          <w:color w:val="auto"/>
        </w:rPr>
      </w:pPr>
    </w:p>
    <w:p>
      <w:pPr>
        <w:jc w:val="center"/>
        <w:ind w:right="320"/>
        <w:spacing w:after="0" w:line="221" w:lineRule="auto"/>
        <w:rPr>
          <w:sz w:val="20"/>
          <w:szCs w:val="20"/>
          <w:color w:val="auto"/>
        </w:rPr>
      </w:pPr>
      <w:r>
        <w:rPr>
          <w:rFonts w:ascii="Calibri" w:cs="Calibri" w:eastAsia="Calibri" w:hAnsi="Calibri"/>
          <w:sz w:val="20"/>
          <w:szCs w:val="20"/>
          <w:color w:val="auto"/>
        </w:rPr>
        <w:t>1.29  “</w:t>
      </w:r>
      <w:r>
        <w:rPr>
          <w:rFonts w:ascii="Calibri" w:cs="Calibri" w:eastAsia="Calibri" w:hAnsi="Calibri"/>
          <w:sz w:val="20"/>
          <w:szCs w:val="20"/>
          <w:u w:val="single" w:color="auto"/>
          <w:color w:val="auto"/>
        </w:rPr>
        <w:t>Terminaton Due to Change in Control</w:t>
      </w:r>
      <w:r>
        <w:rPr>
          <w:rFonts w:ascii="Calibri" w:cs="Calibri" w:eastAsia="Calibri" w:hAnsi="Calibri"/>
          <w:sz w:val="20"/>
          <w:szCs w:val="20"/>
          <w:color w:val="auto"/>
        </w:rPr>
        <w:t>” means a Terminaton for Good Reason or a Terminaton Without Cause that occurs during the 30-day period preceding or the two-year period commencing upon the occurrence of a Change in Control.</w:t>
      </w:r>
    </w:p>
    <w:p>
      <w:pPr>
        <w:spacing w:after="0" w:line="212" w:lineRule="exact"/>
        <w:rPr>
          <w:sz w:val="20"/>
          <w:szCs w:val="20"/>
          <w:color w:val="auto"/>
        </w:rPr>
      </w:pPr>
    </w:p>
    <w:p>
      <w:pPr>
        <w:ind w:left="480" w:right="80" w:hanging="485"/>
        <w:spacing w:after="0" w:line="222" w:lineRule="auto"/>
        <w:rPr>
          <w:sz w:val="20"/>
          <w:szCs w:val="20"/>
          <w:color w:val="auto"/>
        </w:rPr>
      </w:pPr>
      <w:r>
        <w:rPr>
          <w:rFonts w:ascii="Calibri" w:cs="Calibri" w:eastAsia="Calibri" w:hAnsi="Calibri"/>
          <w:sz w:val="20"/>
          <w:szCs w:val="20"/>
          <w:color w:val="auto"/>
        </w:rPr>
        <w:t>1.30 “</w:t>
      </w:r>
      <w:r>
        <w:rPr>
          <w:rFonts w:ascii="Calibri" w:cs="Calibri" w:eastAsia="Calibri" w:hAnsi="Calibri"/>
          <w:sz w:val="20"/>
          <w:szCs w:val="20"/>
          <w:u w:val="single" w:color="auto"/>
          <w:color w:val="auto"/>
        </w:rPr>
        <w:t>Terminaton for Good Reason</w:t>
      </w:r>
      <w:r>
        <w:rPr>
          <w:rFonts w:ascii="Calibri" w:cs="Calibri" w:eastAsia="Calibri" w:hAnsi="Calibri"/>
          <w:sz w:val="20"/>
          <w:szCs w:val="20"/>
          <w:color w:val="auto"/>
        </w:rPr>
        <w:t>” means a Terminaton of Employment by the Covered Executve for Good Reason; provided, however, that a Terminaton of Employment shall not be considered to be a Terminaton for Good Reason unless the following conditons are satsfed:</w:t>
      </w:r>
    </w:p>
    <w:p>
      <w:pPr>
        <w:spacing w:after="0" w:line="200" w:lineRule="exact"/>
        <w:rPr>
          <w:sz w:val="20"/>
          <w:szCs w:val="20"/>
          <w:color w:val="auto"/>
        </w:rPr>
      </w:pPr>
    </w:p>
    <w:p>
      <w:pPr>
        <w:ind w:left="1120" w:hanging="480"/>
        <w:spacing w:after="0" w:line="222" w:lineRule="auto"/>
        <w:tabs>
          <w:tab w:leader="none" w:pos="1120" w:val="left"/>
        </w:tabs>
        <w:numPr>
          <w:ilvl w:val="0"/>
          <w:numId w:val="10"/>
        </w:numPr>
        <w:rPr>
          <w:rFonts w:ascii="Calibri" w:cs="Calibri" w:eastAsia="Calibri" w:hAnsi="Calibri"/>
          <w:sz w:val="20"/>
          <w:szCs w:val="20"/>
          <w:color w:val="auto"/>
        </w:rPr>
      </w:pPr>
      <w:r>
        <w:rPr>
          <w:rFonts w:ascii="Calibri" w:cs="Calibri" w:eastAsia="Calibri" w:hAnsi="Calibri"/>
          <w:sz w:val="20"/>
          <w:szCs w:val="20"/>
          <w:color w:val="auto"/>
        </w:rPr>
        <w:t>The Covered Executve has frst given writen notce to Hawkins of the existence of a conditon consttutng “Good Reason” as described in Sec. 1.19 within 90 days of its frst occurrence, and Hawkins has failed to remedy the conditon within 30 days thereafer.</w:t>
      </w:r>
    </w:p>
    <w:p>
      <w:pPr>
        <w:spacing w:after="0" w:line="200" w:lineRule="exact"/>
        <w:rPr>
          <w:rFonts w:ascii="Calibri" w:cs="Calibri" w:eastAsia="Calibri" w:hAnsi="Calibri"/>
          <w:sz w:val="20"/>
          <w:szCs w:val="20"/>
          <w:color w:val="auto"/>
        </w:rPr>
      </w:pPr>
    </w:p>
    <w:p>
      <w:pPr>
        <w:ind w:left="1120" w:right="640" w:hanging="480"/>
        <w:spacing w:after="0" w:line="228" w:lineRule="auto"/>
        <w:tabs>
          <w:tab w:leader="none" w:pos="1115" w:val="left"/>
        </w:tabs>
        <w:numPr>
          <w:ilvl w:val="0"/>
          <w:numId w:val="10"/>
        </w:numPr>
        <w:rPr>
          <w:rFonts w:ascii="Calibri" w:cs="Calibri" w:eastAsia="Calibri" w:hAnsi="Calibri"/>
          <w:sz w:val="20"/>
          <w:szCs w:val="20"/>
          <w:color w:val="auto"/>
        </w:rPr>
      </w:pPr>
      <w:r>
        <w:rPr>
          <w:rFonts w:ascii="Calibri" w:cs="Calibri" w:eastAsia="Calibri" w:hAnsi="Calibri"/>
          <w:sz w:val="20"/>
          <w:szCs w:val="20"/>
          <w:color w:val="auto"/>
        </w:rPr>
        <w:t>The Terminaton of Employment occurs not later than the expiraton of the two-year period following the inital existence of a conditon consttutng “Good Reason” as described in Sec. 1.19.</w:t>
      </w:r>
    </w:p>
    <w:p>
      <w:pPr>
        <w:sectPr>
          <w:pgSz w:w="11900" w:h="16838" w:orient="portrait"/>
          <w:cols w:equalWidth="0" w:num="1">
            <w:col w:w="10880"/>
          </w:cols>
          <w:pgMar w:left="660" w:top="1074" w:right="359" w:bottom="1440" w:gutter="0" w:footer="0" w:header="0"/>
        </w:sectPr>
      </w:pPr>
    </w:p>
    <w:bookmarkStart w:id="37" w:name="page38"/>
    <w:bookmarkEnd w:id="37"/>
    <w:p>
      <w:pPr>
        <w:ind w:right="120" w:hanging="485"/>
        <w:spacing w:after="0" w:line="222" w:lineRule="auto"/>
        <w:rPr>
          <w:sz w:val="20"/>
          <w:szCs w:val="20"/>
          <w:color w:val="auto"/>
        </w:rPr>
      </w:pPr>
      <w:r>
        <w:rPr>
          <w:rFonts w:ascii="Calibri" w:cs="Calibri" w:eastAsia="Calibri" w:hAnsi="Calibri"/>
          <w:sz w:val="20"/>
          <w:szCs w:val="20"/>
          <w:color w:val="auto"/>
        </w:rPr>
        <w:t>1.31 “</w:t>
      </w:r>
      <w:r>
        <w:rPr>
          <w:rFonts w:ascii="Calibri" w:cs="Calibri" w:eastAsia="Calibri" w:hAnsi="Calibri"/>
          <w:sz w:val="20"/>
          <w:szCs w:val="20"/>
          <w:u w:val="single" w:color="auto"/>
          <w:color w:val="auto"/>
        </w:rPr>
        <w:t>Terminaton of Employment</w:t>
      </w:r>
      <w:r>
        <w:rPr>
          <w:rFonts w:ascii="Calibri" w:cs="Calibri" w:eastAsia="Calibri" w:hAnsi="Calibri"/>
          <w:sz w:val="20"/>
          <w:szCs w:val="20"/>
          <w:color w:val="auto"/>
        </w:rPr>
        <w:t>” means a terminaton of a Covered Executve’s employment with Hawkins and its Afliates, whether by acton of the Covered Executve or by Hawkins or an Afliate, provided that such Terminaton of Employment also consttutes a “separaton from service” under Code § 409A and the regulatons thereunder.</w:t>
      </w:r>
    </w:p>
    <w:p>
      <w:pPr>
        <w:spacing w:after="0" w:line="200" w:lineRule="exact"/>
        <w:rPr>
          <w:sz w:val="20"/>
          <w:szCs w:val="20"/>
          <w:color w:val="auto"/>
        </w:rPr>
      </w:pPr>
    </w:p>
    <w:p>
      <w:pPr>
        <w:ind w:hanging="485"/>
        <w:spacing w:after="0" w:line="228" w:lineRule="auto"/>
        <w:rPr>
          <w:sz w:val="20"/>
          <w:szCs w:val="20"/>
          <w:color w:val="auto"/>
        </w:rPr>
      </w:pPr>
      <w:r>
        <w:rPr>
          <w:rFonts w:ascii="Calibri" w:cs="Calibri" w:eastAsia="Calibri" w:hAnsi="Calibri"/>
          <w:sz w:val="20"/>
          <w:szCs w:val="20"/>
          <w:color w:val="auto"/>
        </w:rPr>
        <w:t>1.32 “</w:t>
      </w:r>
      <w:r>
        <w:rPr>
          <w:rFonts w:ascii="Calibri" w:cs="Calibri" w:eastAsia="Calibri" w:hAnsi="Calibri"/>
          <w:sz w:val="20"/>
          <w:szCs w:val="20"/>
          <w:u w:val="single" w:color="auto"/>
          <w:color w:val="auto"/>
        </w:rPr>
        <w:t>Terminaton Without Cause</w:t>
      </w:r>
      <w:r>
        <w:rPr>
          <w:rFonts w:ascii="Calibri" w:cs="Calibri" w:eastAsia="Calibri" w:hAnsi="Calibri"/>
          <w:sz w:val="20"/>
          <w:szCs w:val="20"/>
          <w:color w:val="auto"/>
        </w:rPr>
        <w:t>” means a Terminaton of Employment for any reason other than Cause or the Covered Executve’s death or Disability.</w:t>
      </w:r>
    </w:p>
    <w:p>
      <w:pPr>
        <w:spacing w:after="0" w:line="198" w:lineRule="exact"/>
        <w:rPr>
          <w:sz w:val="20"/>
          <w:szCs w:val="20"/>
          <w:color w:val="auto"/>
        </w:rPr>
      </w:pPr>
    </w:p>
    <w:p>
      <w:pPr>
        <w:ind w:right="40" w:hanging="485"/>
        <w:spacing w:after="0" w:line="228" w:lineRule="auto"/>
        <w:rPr>
          <w:sz w:val="20"/>
          <w:szCs w:val="20"/>
          <w:color w:val="auto"/>
        </w:rPr>
      </w:pPr>
      <w:r>
        <w:rPr>
          <w:rFonts w:ascii="Calibri" w:cs="Calibri" w:eastAsia="Calibri" w:hAnsi="Calibri"/>
          <w:sz w:val="20"/>
          <w:szCs w:val="20"/>
          <w:color w:val="auto"/>
        </w:rPr>
        <w:t>1.33 “</w:t>
      </w:r>
      <w:r>
        <w:rPr>
          <w:rFonts w:ascii="Calibri" w:cs="Calibri" w:eastAsia="Calibri" w:hAnsi="Calibri"/>
          <w:sz w:val="20"/>
          <w:szCs w:val="20"/>
          <w:u w:val="single" w:color="auto"/>
          <w:color w:val="auto"/>
        </w:rPr>
        <w:t>Votng Securites</w:t>
      </w:r>
      <w:r>
        <w:rPr>
          <w:rFonts w:ascii="Calibri" w:cs="Calibri" w:eastAsia="Calibri" w:hAnsi="Calibri"/>
          <w:sz w:val="20"/>
          <w:szCs w:val="20"/>
          <w:color w:val="auto"/>
        </w:rPr>
        <w:t>” means, with respect to any company, the company’s outstanding securites enttled to vote generally in the electon of directors.</w:t>
      </w:r>
    </w:p>
    <w:p>
      <w:pPr>
        <w:sectPr>
          <w:pgSz w:w="11900" w:h="16838" w:orient="portrait"/>
          <w:cols w:equalWidth="0" w:num="1">
            <w:col w:w="10400"/>
          </w:cols>
          <w:pgMar w:left="1140" w:top="1074" w:right="359" w:bottom="1440" w:gutter="0" w:footer="0" w:header="0"/>
        </w:sectPr>
      </w:pPr>
    </w:p>
    <w:bookmarkStart w:id="38" w:name="page39"/>
    <w:bookmarkEnd w:id="38"/>
    <w:p>
      <w:pPr>
        <w:jc w:val="center"/>
        <w:ind w:right="300"/>
        <w:spacing w:after="0"/>
        <w:rPr>
          <w:sz w:val="20"/>
          <w:szCs w:val="20"/>
          <w:color w:val="auto"/>
        </w:rPr>
      </w:pPr>
      <w:r>
        <w:rPr>
          <w:rFonts w:ascii="Calibri" w:cs="Calibri" w:eastAsia="Calibri" w:hAnsi="Calibri"/>
          <w:sz w:val="20"/>
          <w:szCs w:val="20"/>
          <w:b w:val="1"/>
          <w:bCs w:val="1"/>
          <w:color w:val="auto"/>
        </w:rPr>
        <w:t>ARTICLE 2</w:t>
      </w:r>
    </w:p>
    <w:p>
      <w:pPr>
        <w:spacing w:after="0" w:line="188" w:lineRule="exact"/>
        <w:rPr>
          <w:sz w:val="20"/>
          <w:szCs w:val="20"/>
          <w:color w:val="auto"/>
        </w:rPr>
      </w:pPr>
    </w:p>
    <w:p>
      <w:pPr>
        <w:jc w:val="center"/>
        <w:ind w:right="300"/>
        <w:spacing w:after="0"/>
        <w:rPr>
          <w:sz w:val="20"/>
          <w:szCs w:val="20"/>
          <w:color w:val="auto"/>
        </w:rPr>
      </w:pPr>
      <w:r>
        <w:rPr>
          <w:rFonts w:ascii="Calibri" w:cs="Calibri" w:eastAsia="Calibri" w:hAnsi="Calibri"/>
          <w:sz w:val="20"/>
          <w:szCs w:val="20"/>
          <w:b w:val="1"/>
          <w:bCs w:val="1"/>
          <w:color w:val="auto"/>
        </w:rPr>
        <w:t>ELIGIBILITY</w:t>
      </w:r>
    </w:p>
    <w:p>
      <w:pPr>
        <w:spacing w:after="0" w:line="211" w:lineRule="exact"/>
        <w:rPr>
          <w:sz w:val="20"/>
          <w:szCs w:val="20"/>
          <w:color w:val="auto"/>
        </w:rPr>
      </w:pPr>
    </w:p>
    <w:p>
      <w:pPr>
        <w:ind w:left="480" w:right="180" w:hanging="485"/>
        <w:spacing w:after="0" w:line="222" w:lineRule="auto"/>
        <w:tabs>
          <w:tab w:leader="none" w:pos="460" w:val="left"/>
        </w:tabs>
        <w:rPr>
          <w:sz w:val="20"/>
          <w:szCs w:val="20"/>
          <w:color w:val="auto"/>
        </w:rPr>
      </w:pPr>
      <w:r>
        <w:rPr>
          <w:rFonts w:ascii="Calibri" w:cs="Calibri" w:eastAsia="Calibri" w:hAnsi="Calibri"/>
          <w:sz w:val="20"/>
          <w:szCs w:val="20"/>
          <w:color w:val="auto"/>
        </w:rPr>
        <w:t>2.1</w:t>
      </w:r>
      <w:r>
        <w:rPr>
          <w:sz w:val="20"/>
          <w:szCs w:val="20"/>
          <w:color w:val="auto"/>
        </w:rPr>
        <w:tab/>
      </w:r>
      <w:r>
        <w:rPr>
          <w:rFonts w:ascii="Calibri" w:cs="Calibri" w:eastAsia="Calibri" w:hAnsi="Calibri"/>
          <w:sz w:val="20"/>
          <w:szCs w:val="20"/>
          <w:u w:val="single" w:color="auto"/>
          <w:color w:val="auto"/>
        </w:rPr>
        <w:t>Eligibility</w:t>
      </w:r>
      <w:r>
        <w:rPr>
          <w:rFonts w:ascii="Calibri" w:cs="Calibri" w:eastAsia="Calibri" w:hAnsi="Calibri"/>
          <w:sz w:val="20"/>
          <w:szCs w:val="20"/>
          <w:color w:val="auto"/>
        </w:rPr>
        <w:t>. An Employee shall be enttled to partcipate in, and shall become a Covered Executve under, the Plan upon his or</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her selecton by the Commitee for partcipaton in the Plan. Hawkins shall advise each Covered Executve who is selected for partcipaton in the Plan of his or her partcipaton in the Plan.</w:t>
      </w:r>
    </w:p>
    <w:p>
      <w:pPr>
        <w:spacing w:after="0" w:line="200" w:lineRule="exact"/>
        <w:rPr>
          <w:sz w:val="20"/>
          <w:szCs w:val="20"/>
          <w:color w:val="auto"/>
        </w:rPr>
      </w:pPr>
    </w:p>
    <w:p>
      <w:pPr>
        <w:ind w:left="480" w:right="60" w:hanging="485"/>
        <w:spacing w:after="0" w:line="219" w:lineRule="auto"/>
        <w:tabs>
          <w:tab w:leader="none" w:pos="460" w:val="left"/>
        </w:tabs>
        <w:rPr>
          <w:sz w:val="20"/>
          <w:szCs w:val="20"/>
          <w:color w:val="auto"/>
        </w:rPr>
      </w:pPr>
      <w:r>
        <w:rPr>
          <w:rFonts w:ascii="Calibri" w:cs="Calibri" w:eastAsia="Calibri" w:hAnsi="Calibri"/>
          <w:sz w:val="20"/>
          <w:szCs w:val="20"/>
          <w:color w:val="auto"/>
        </w:rPr>
        <w:t>2.2</w:t>
      </w:r>
      <w:r>
        <w:rPr>
          <w:sz w:val="20"/>
          <w:szCs w:val="20"/>
          <w:color w:val="auto"/>
        </w:rPr>
        <w:tab/>
      </w:r>
      <w:r>
        <w:rPr>
          <w:rFonts w:ascii="Calibri" w:cs="Calibri" w:eastAsia="Calibri" w:hAnsi="Calibri"/>
          <w:sz w:val="20"/>
          <w:szCs w:val="20"/>
          <w:u w:val="single" w:color="auto"/>
          <w:color w:val="auto"/>
        </w:rPr>
        <w:t>Tiers</w:t>
      </w:r>
      <w:r>
        <w:rPr>
          <w:rFonts w:ascii="Calibri" w:cs="Calibri" w:eastAsia="Calibri" w:hAnsi="Calibri"/>
          <w:sz w:val="20"/>
          <w:szCs w:val="20"/>
          <w:color w:val="auto"/>
        </w:rPr>
        <w:t>. Each Covered Executve shall be assigned a Tier by the Commitee for purposes of determining the Covered Executve’s</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enttlement to certain Severance Benefts under this Plan. However, unless the Commitee makes a diferent assignment, the Chief Executve Ofcer is assigned to Tier 1. Notwithstanding the foregoing, if the Covered Executve was assigned to a higher Tier during the 90-day period immediately preceding the Covered Executve’s Date of Terminaton, the Covered Executve shall be deemed to be assigned to such higher Tier for purposes of determining the Covered Executve’s Severance Benefts under this Plan.</w:t>
      </w:r>
    </w:p>
    <w:p>
      <w:pPr>
        <w:spacing w:after="0" w:line="216" w:lineRule="exact"/>
        <w:rPr>
          <w:sz w:val="20"/>
          <w:szCs w:val="20"/>
          <w:color w:val="auto"/>
        </w:rPr>
      </w:pPr>
    </w:p>
    <w:p>
      <w:pPr>
        <w:jc w:val="both"/>
        <w:ind w:left="480" w:hanging="485"/>
        <w:spacing w:after="0" w:line="218" w:lineRule="auto"/>
        <w:tabs>
          <w:tab w:leader="none" w:pos="460" w:val="left"/>
        </w:tabs>
        <w:rPr>
          <w:sz w:val="20"/>
          <w:szCs w:val="20"/>
          <w:color w:val="auto"/>
        </w:rPr>
      </w:pPr>
      <w:r>
        <w:rPr>
          <w:rFonts w:ascii="Calibri" w:cs="Calibri" w:eastAsia="Calibri" w:hAnsi="Calibri"/>
          <w:sz w:val="20"/>
          <w:szCs w:val="20"/>
          <w:color w:val="auto"/>
        </w:rPr>
        <w:t>2.3</w:t>
      </w:r>
      <w:r>
        <w:rPr>
          <w:sz w:val="20"/>
          <w:szCs w:val="20"/>
          <w:color w:val="auto"/>
        </w:rPr>
        <w:tab/>
      </w:r>
      <w:r>
        <w:rPr>
          <w:rFonts w:ascii="Calibri" w:cs="Calibri" w:eastAsia="Calibri" w:hAnsi="Calibri"/>
          <w:sz w:val="20"/>
          <w:szCs w:val="20"/>
          <w:u w:val="single" w:color="auto"/>
          <w:color w:val="auto"/>
        </w:rPr>
        <w:t>Conditon to Receiving Benefts</w:t>
      </w:r>
      <w:r>
        <w:rPr>
          <w:rFonts w:ascii="Calibri" w:cs="Calibri" w:eastAsia="Calibri" w:hAnsi="Calibri"/>
          <w:sz w:val="20"/>
          <w:szCs w:val="20"/>
          <w:color w:val="auto"/>
        </w:rPr>
        <w:t>. As a conditon precedent to receiving Severance Benefts under the Plan, a Covered Executve</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must complete, execute and return to Hawkins, not later than 50 days following the Covered Executve’s Date of Terminaton, a Release which has not been rescinded by the Covered Executve prior to the expiraton of all applicable rescission period(s).</w:t>
      </w:r>
    </w:p>
    <w:p>
      <w:pPr>
        <w:ind w:left="480"/>
        <w:spacing w:after="0" w:line="226" w:lineRule="auto"/>
        <w:rPr>
          <w:sz w:val="20"/>
          <w:szCs w:val="20"/>
          <w:color w:val="auto"/>
        </w:rPr>
      </w:pPr>
      <w:r>
        <w:rPr>
          <w:rFonts w:ascii="Calibri" w:cs="Calibri" w:eastAsia="Calibri" w:hAnsi="Calibri"/>
          <w:sz w:val="20"/>
          <w:szCs w:val="20"/>
          <w:color w:val="auto"/>
        </w:rPr>
        <w:t>Such Release shall be furnished to the Covered Executve within fve days afer the Covered Executve’s Date of Terminaton.</w:t>
      </w:r>
    </w:p>
    <w:p>
      <w:pPr>
        <w:sectPr>
          <w:pgSz w:w="11900" w:h="16838" w:orient="portrait"/>
          <w:cols w:equalWidth="0" w:num="1">
            <w:col w:w="10880"/>
          </w:cols>
          <w:pgMar w:left="660" w:top="1064" w:right="359" w:bottom="1440" w:gutter="0" w:footer="0" w:header="0"/>
        </w:sectPr>
      </w:pPr>
    </w:p>
    <w:bookmarkStart w:id="39" w:name="page40"/>
    <w:bookmarkEnd w:id="39"/>
    <w:p>
      <w:pPr>
        <w:jc w:val="center"/>
        <w:ind w:right="320"/>
        <w:spacing w:after="0"/>
        <w:rPr>
          <w:sz w:val="20"/>
          <w:szCs w:val="20"/>
          <w:color w:val="auto"/>
        </w:rPr>
      </w:pPr>
      <w:r>
        <w:rPr>
          <w:rFonts w:ascii="Calibri" w:cs="Calibri" w:eastAsia="Calibri" w:hAnsi="Calibri"/>
          <w:sz w:val="20"/>
          <w:szCs w:val="20"/>
          <w:b w:val="1"/>
          <w:bCs w:val="1"/>
          <w:color w:val="auto"/>
        </w:rPr>
        <w:t>ARTICLE 3</w:t>
      </w:r>
    </w:p>
    <w:p>
      <w:pPr>
        <w:spacing w:after="0" w:line="188" w:lineRule="exact"/>
        <w:rPr>
          <w:sz w:val="20"/>
          <w:szCs w:val="20"/>
          <w:color w:val="auto"/>
        </w:rPr>
      </w:pPr>
    </w:p>
    <w:p>
      <w:pPr>
        <w:jc w:val="center"/>
        <w:ind w:right="320"/>
        <w:spacing w:after="0"/>
        <w:rPr>
          <w:sz w:val="20"/>
          <w:szCs w:val="20"/>
          <w:color w:val="auto"/>
        </w:rPr>
      </w:pPr>
      <w:r>
        <w:rPr>
          <w:rFonts w:ascii="Calibri" w:cs="Calibri" w:eastAsia="Calibri" w:hAnsi="Calibri"/>
          <w:sz w:val="20"/>
          <w:szCs w:val="20"/>
          <w:b w:val="1"/>
          <w:bCs w:val="1"/>
          <w:color w:val="auto"/>
        </w:rPr>
        <w:t>SEVERANCE BENEFITS</w:t>
      </w:r>
    </w:p>
    <w:p>
      <w:pPr>
        <w:spacing w:after="0" w:line="211" w:lineRule="exact"/>
        <w:rPr>
          <w:sz w:val="20"/>
          <w:szCs w:val="20"/>
          <w:color w:val="auto"/>
        </w:rPr>
      </w:pPr>
    </w:p>
    <w:p>
      <w:pPr>
        <w:ind w:left="320" w:right="80" w:hanging="323"/>
        <w:spacing w:after="0" w:line="220" w:lineRule="auto"/>
        <w:rPr>
          <w:sz w:val="20"/>
          <w:szCs w:val="20"/>
          <w:color w:val="auto"/>
        </w:rPr>
      </w:pPr>
      <w:r>
        <w:rPr>
          <w:rFonts w:ascii="Calibri" w:cs="Calibri" w:eastAsia="Calibri" w:hAnsi="Calibri"/>
          <w:sz w:val="20"/>
          <w:szCs w:val="20"/>
          <w:color w:val="auto"/>
        </w:rPr>
        <w:t xml:space="preserve">3.1 </w:t>
      </w:r>
      <w:r>
        <w:rPr>
          <w:rFonts w:ascii="Calibri" w:cs="Calibri" w:eastAsia="Calibri" w:hAnsi="Calibri"/>
          <w:sz w:val="20"/>
          <w:szCs w:val="20"/>
          <w:u w:val="single" w:color="auto"/>
          <w:color w:val="auto"/>
        </w:rPr>
        <w:t>Terminaton Without Cause Not In Connecton with a Change In Control</w:t>
      </w:r>
      <w:r>
        <w:rPr>
          <w:rFonts w:ascii="Calibri" w:cs="Calibri" w:eastAsia="Calibri" w:hAnsi="Calibri"/>
          <w:sz w:val="20"/>
          <w:szCs w:val="20"/>
          <w:color w:val="auto"/>
        </w:rPr>
        <w:t xml:space="preserve">. In the event of the Covered Executve’s Terminaton Without Cause which is not a Terminaton Due to Change in Control, the Covered Executve shall be enttled to the Severance Benefts described in this Sec. 3.1. For purposes of determining a Covered Executve’s Severance Benefts under this Sec. 3.1, the Salary Contnuaton Period for a Covered Executve shall be the relevant period described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w:t>
      </w:r>
    </w:p>
    <w:p>
      <w:pPr>
        <w:spacing w:after="0" w:line="212" w:lineRule="exact"/>
        <w:rPr>
          <w:sz w:val="20"/>
          <w:szCs w:val="20"/>
          <w:color w:val="auto"/>
        </w:rPr>
      </w:pPr>
    </w:p>
    <w:p>
      <w:pPr>
        <w:ind w:left="1120" w:right="140" w:hanging="480"/>
        <w:spacing w:after="0" w:line="220" w:lineRule="auto"/>
        <w:tabs>
          <w:tab w:leader="none" w:pos="1120"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Base Salary</w:t>
      </w:r>
      <w:r>
        <w:rPr>
          <w:rFonts w:ascii="Calibri" w:cs="Calibri" w:eastAsia="Calibri" w:hAnsi="Calibri"/>
          <w:sz w:val="20"/>
          <w:szCs w:val="20"/>
          <w:color w:val="auto"/>
        </w:rPr>
        <w:t>. Hawkins shall pay the Covered Executve his or her Base Salary for the Salary Contnuaton Period. Such Base Salary shall be paid in equal installments over the Salary Contnuaton Period in accordance with Hawkins’ standard payroll practces. Notwithstanding the foregoing, the following conditons and limitatons on the payment of Base Salary shall apply:</w:t>
      </w:r>
    </w:p>
    <w:p>
      <w:pPr>
        <w:spacing w:after="0" w:line="198" w:lineRule="exact"/>
        <w:rPr>
          <w:rFonts w:ascii="Calibri" w:cs="Calibri" w:eastAsia="Calibri" w:hAnsi="Calibri"/>
          <w:sz w:val="20"/>
          <w:szCs w:val="20"/>
          <w:color w:val="auto"/>
        </w:rPr>
      </w:pPr>
    </w:p>
    <w:p>
      <w:pPr>
        <w:ind w:left="1780" w:right="320" w:hanging="492"/>
        <w:spacing w:after="0" w:line="228" w:lineRule="auto"/>
        <w:tabs>
          <w:tab w:leader="none" w:pos="1769" w:val="left"/>
        </w:tabs>
        <w:numPr>
          <w:ilvl w:val="1"/>
          <w:numId w:val="11"/>
        </w:numPr>
        <w:rPr>
          <w:rFonts w:ascii="Calibri" w:cs="Calibri" w:eastAsia="Calibri" w:hAnsi="Calibri"/>
          <w:sz w:val="20"/>
          <w:szCs w:val="20"/>
          <w:color w:val="auto"/>
        </w:rPr>
      </w:pPr>
      <w:r>
        <w:rPr>
          <w:rFonts w:ascii="Calibri" w:cs="Calibri" w:eastAsia="Calibri" w:hAnsi="Calibri"/>
          <w:sz w:val="20"/>
          <w:szCs w:val="20"/>
          <w:color w:val="auto"/>
        </w:rPr>
        <w:t>It is intended that all or a porton of the amounts payable during the six-month period following the Date of Terminaton will consttute separaton pay due to involuntary separaton from service under Treas. Reg. §</w:t>
      </w:r>
    </w:p>
    <w:p>
      <w:pPr>
        <w:ind w:left="1780"/>
        <w:spacing w:after="0" w:line="215" w:lineRule="auto"/>
        <w:rPr>
          <w:rFonts w:ascii="Calibri" w:cs="Calibri" w:eastAsia="Calibri" w:hAnsi="Calibri"/>
          <w:sz w:val="20"/>
          <w:szCs w:val="20"/>
          <w:color w:val="auto"/>
        </w:rPr>
      </w:pPr>
      <w:r>
        <w:rPr>
          <w:rFonts w:ascii="Calibri" w:cs="Calibri" w:eastAsia="Calibri" w:hAnsi="Calibri"/>
          <w:sz w:val="20"/>
          <w:szCs w:val="20"/>
          <w:color w:val="auto"/>
        </w:rPr>
        <w:t>1.409A-1(b)(9)(iii). Accordingly, the amounts in excess of the Separaton Pay Plan Amount that would otherwise have been payable during such six-month period shall be accumulated and paid (without interest) to the Covered Executve in a lump sum on the frst day of the seventh month following the Date of Terminaton (subject to satsfacton of the conditons described in Sec. 2.3 by such date).</w:t>
      </w:r>
    </w:p>
    <w:p>
      <w:pPr>
        <w:spacing w:after="0" w:line="213" w:lineRule="exact"/>
        <w:rPr>
          <w:rFonts w:ascii="Calibri" w:cs="Calibri" w:eastAsia="Calibri" w:hAnsi="Calibri"/>
          <w:sz w:val="20"/>
          <w:szCs w:val="20"/>
          <w:color w:val="auto"/>
        </w:rPr>
      </w:pPr>
    </w:p>
    <w:p>
      <w:pPr>
        <w:ind w:left="1780" w:right="80" w:hanging="492"/>
        <w:spacing w:after="0" w:line="220" w:lineRule="auto"/>
        <w:tabs>
          <w:tab w:leader="none" w:pos="1821" w:val="left"/>
        </w:tabs>
        <w:numPr>
          <w:ilvl w:val="1"/>
          <w:numId w:val="11"/>
        </w:numPr>
        <w:rPr>
          <w:rFonts w:ascii="Calibri" w:cs="Calibri" w:eastAsia="Calibri" w:hAnsi="Calibri"/>
          <w:sz w:val="20"/>
          <w:szCs w:val="20"/>
          <w:color w:val="auto"/>
        </w:rPr>
      </w:pPr>
      <w:r>
        <w:rPr>
          <w:rFonts w:ascii="Calibri" w:cs="Calibri" w:eastAsia="Calibri" w:hAnsi="Calibri"/>
          <w:sz w:val="20"/>
          <w:szCs w:val="20"/>
          <w:color w:val="auto"/>
        </w:rPr>
        <w:t>Any installment payment(s) of Base Salary that otherwise would have been paid during such six-month period to the Covered Executve pursuant to this subsecton, but solely for the fact that the conditons described in Sec. 2.3 have not yet been satsfed, shall be accumulated and paid (without interest) to the Covered Executve in a lump sum upon the frst regularly scheduled payroll date following the satsfacton of such conditons.</w:t>
      </w:r>
    </w:p>
    <w:p>
      <w:pPr>
        <w:spacing w:after="0" w:line="198" w:lineRule="exact"/>
        <w:rPr>
          <w:rFonts w:ascii="Calibri" w:cs="Calibri" w:eastAsia="Calibri" w:hAnsi="Calibri"/>
          <w:sz w:val="20"/>
          <w:szCs w:val="20"/>
          <w:color w:val="auto"/>
        </w:rPr>
      </w:pPr>
    </w:p>
    <w:p>
      <w:pPr>
        <w:ind w:left="1120" w:right="60" w:hanging="480"/>
        <w:spacing w:after="0" w:line="219" w:lineRule="auto"/>
        <w:tabs>
          <w:tab w:leader="none" w:pos="1115"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Medical and Dental</w:t>
      </w:r>
      <w:r>
        <w:rPr>
          <w:rFonts w:ascii="Calibri" w:cs="Calibri" w:eastAsia="Calibri" w:hAnsi="Calibri"/>
          <w:sz w:val="20"/>
          <w:szCs w:val="20"/>
          <w:color w:val="auto"/>
        </w:rPr>
        <w:t>. Hawkins shall reimburse the Covered Executve for the amount of the employer porton of his or her premium payments for COBRA contnuaton coverage for medical and dental benefts for the Salary Contnuaton Period, or, if shorter, the 18-month period following the Date of Terminaton, if the Covered Executve qualifes for and elects that coverage for such period. Notwithstanding the foregoing, however, Hawkins’ obligaton to make any payment or further payment pursuant to this subsecton will cease on the date the Covered Executve becomes covered by another group health plan that does not impose pre-existng conditon limitatons on the Covered Executve’s coverage. Nothing in this subsecton shall be construed to extend the period for which COBRA contnuaton coverage must be provided to the Covered Executve or the Covered Executve’s dependents beyond that mandated by law. Such payments are intended to be medical reimbursements exempt from Code § 409A pursuant to Treas. Reg. § 1.409A-1(b)(9)(v)(B).</w:t>
      </w:r>
    </w:p>
    <w:p>
      <w:pPr>
        <w:spacing w:after="0" w:line="215" w:lineRule="exact"/>
        <w:rPr>
          <w:rFonts w:ascii="Calibri" w:cs="Calibri" w:eastAsia="Calibri" w:hAnsi="Calibri"/>
          <w:sz w:val="20"/>
          <w:szCs w:val="20"/>
          <w:color w:val="auto"/>
        </w:rPr>
      </w:pPr>
    </w:p>
    <w:p>
      <w:pPr>
        <w:ind w:left="1120" w:right="120" w:hanging="480"/>
        <w:spacing w:after="0" w:line="218" w:lineRule="auto"/>
        <w:tabs>
          <w:tab w:leader="none" w:pos="1122"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Outplacement Costs</w:t>
      </w:r>
      <w:r>
        <w:rPr>
          <w:rFonts w:ascii="Calibri" w:cs="Calibri" w:eastAsia="Calibri" w:hAnsi="Calibri"/>
          <w:sz w:val="20"/>
          <w:szCs w:val="20"/>
          <w:color w:val="auto"/>
        </w:rPr>
        <w:t>. Hawkins shall engage and pay on behalf of the Covered Executve, the reasonable costs of outplacement services for the twelve-month period following the Date of Terminaton. The payments under this subsecton are intended to be exempt from Code § 409A pursuant to Treas. Reg. § 1.409A-1(b)(9)(v)(A). Accordingly, the costs of such outplacement services shall not be incurred beyond the last day of the second calendar year following the calendar year in which the Covered Executve's Date of Terminaton falls, and Hawkins’ payment shall be made before the end of the third calendar year following the calendar year in which the Covered Executve’s Date of Terminaton for the Salary Contnuaton Period.</w:t>
      </w:r>
    </w:p>
    <w:p>
      <w:pPr>
        <w:sectPr>
          <w:pgSz w:w="11900" w:h="16838" w:orient="portrait"/>
          <w:cols w:equalWidth="0" w:num="1">
            <w:col w:w="10900"/>
          </w:cols>
          <w:pgMar w:left="660" w:top="1064" w:right="339" w:bottom="1440" w:gutter="0" w:footer="0" w:header="0"/>
        </w:sectPr>
      </w:pPr>
    </w:p>
    <w:bookmarkStart w:id="40" w:name="page41"/>
    <w:bookmarkEnd w:id="40"/>
    <w:p>
      <w:pPr>
        <w:ind w:right="500" w:hanging="485"/>
        <w:spacing w:after="0" w:line="221" w:lineRule="auto"/>
        <w:rPr>
          <w:sz w:val="20"/>
          <w:szCs w:val="20"/>
          <w:color w:val="auto"/>
        </w:rPr>
      </w:pPr>
      <w:r>
        <w:rPr>
          <w:rFonts w:ascii="Calibri" w:cs="Calibri" w:eastAsia="Calibri" w:hAnsi="Calibri"/>
          <w:sz w:val="20"/>
          <w:szCs w:val="20"/>
          <w:color w:val="auto"/>
        </w:rPr>
        <w:t>3.2</w:t>
      </w:r>
      <w:r>
        <w:rPr>
          <w:sz w:val="20"/>
          <w:szCs w:val="20"/>
          <w:color w:val="auto"/>
        </w:rPr>
        <w:t xml:space="preserve"> </w:t>
      </w:r>
      <w:r>
        <w:rPr>
          <w:rFonts w:ascii="Calibri" w:cs="Calibri" w:eastAsia="Calibri" w:hAnsi="Calibri"/>
          <w:sz w:val="20"/>
          <w:szCs w:val="20"/>
          <w:u w:val="single" w:color="auto"/>
          <w:color w:val="auto"/>
        </w:rPr>
        <w:t>Terminaton Due to Change in Control</w:t>
      </w:r>
      <w:r>
        <w:rPr>
          <w:rFonts w:ascii="Calibri" w:cs="Calibri" w:eastAsia="Calibri" w:hAnsi="Calibri"/>
          <w:sz w:val="20"/>
          <w:szCs w:val="20"/>
          <w:color w:val="auto"/>
        </w:rPr>
        <w:t>. In the event of a Covered Executve’s Terminaton for Good Reason or Terminaton</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Without Cause that is also a Terminaton Due to Change in Control:</w:t>
      </w:r>
    </w:p>
    <w:p>
      <w:pPr>
        <w:spacing w:after="0" w:line="202" w:lineRule="exact"/>
        <w:rPr>
          <w:sz w:val="20"/>
          <w:szCs w:val="20"/>
          <w:color w:val="auto"/>
        </w:rPr>
      </w:pPr>
    </w:p>
    <w:p>
      <w:pPr>
        <w:ind w:left="640" w:hanging="480"/>
        <w:spacing w:after="0"/>
        <w:tabs>
          <w:tab w:leader="none" w:pos="640"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The Covered Executve shall be enttled to the Severance Benefts described in Sec. 3.1, except that:</w:t>
      </w:r>
    </w:p>
    <w:p>
      <w:pPr>
        <w:spacing w:after="0" w:line="197" w:lineRule="exact"/>
        <w:rPr>
          <w:rFonts w:ascii="Calibri" w:cs="Calibri" w:eastAsia="Calibri" w:hAnsi="Calibri"/>
          <w:sz w:val="20"/>
          <w:szCs w:val="20"/>
          <w:color w:val="auto"/>
        </w:rPr>
      </w:pPr>
    </w:p>
    <w:p>
      <w:pPr>
        <w:ind w:left="1300" w:right="680" w:hanging="492"/>
        <w:spacing w:after="0" w:line="222" w:lineRule="auto"/>
        <w:tabs>
          <w:tab w:leader="none" w:pos="1289"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 xml:space="preserve">for purposes of determining the Covered Executve’s Severance Benefts under this Sec. 3.2, the Salary Contnuaton Period shall be the Salary Contnuaton Period for a Terminaton Due to Change in Control described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w:t>
      </w:r>
    </w:p>
    <w:p>
      <w:pPr>
        <w:spacing w:after="0" w:line="213" w:lineRule="exact"/>
        <w:rPr>
          <w:rFonts w:ascii="Calibri" w:cs="Calibri" w:eastAsia="Calibri" w:hAnsi="Calibri"/>
          <w:sz w:val="20"/>
          <w:szCs w:val="20"/>
          <w:color w:val="auto"/>
        </w:rPr>
      </w:pPr>
    </w:p>
    <w:p>
      <w:pPr>
        <w:ind w:left="1300" w:right="60" w:hanging="492"/>
        <w:spacing w:after="0" w:line="220" w:lineRule="auto"/>
        <w:tabs>
          <w:tab w:leader="none" w:pos="1295"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the amounts payable during the six-month period described in Sec. 3.1(a)(i) that consttute separaton pay due to involuntary separaton from service under Treas. Reg. § 1.409A-1(b)(9)(iii) shall be paid as soon as administratvely practcable following the Date of Terminaton (subject to satsfacton of the conditons described in Sec. 2.3 by such date).</w:t>
      </w:r>
    </w:p>
    <w:p>
      <w:pPr>
        <w:spacing w:after="0" w:line="198" w:lineRule="exact"/>
        <w:rPr>
          <w:rFonts w:ascii="Calibri" w:cs="Calibri" w:eastAsia="Calibri" w:hAnsi="Calibri"/>
          <w:sz w:val="20"/>
          <w:szCs w:val="20"/>
          <w:color w:val="auto"/>
        </w:rPr>
      </w:pPr>
    </w:p>
    <w:p>
      <w:pPr>
        <w:ind w:left="1300" w:right="140" w:hanging="492"/>
        <w:spacing w:after="0" w:line="220" w:lineRule="auto"/>
        <w:tabs>
          <w:tab w:leader="none" w:pos="1301" w:val="left"/>
        </w:tabs>
        <w:numPr>
          <w:ilvl w:val="1"/>
          <w:numId w:val="12"/>
        </w:numPr>
        <w:rPr>
          <w:rFonts w:ascii="Calibri" w:cs="Calibri" w:eastAsia="Calibri" w:hAnsi="Calibri"/>
          <w:sz w:val="20"/>
          <w:szCs w:val="20"/>
          <w:color w:val="auto"/>
        </w:rPr>
      </w:pPr>
      <w:r>
        <w:rPr>
          <w:rFonts w:ascii="Calibri" w:cs="Calibri" w:eastAsia="Calibri" w:hAnsi="Calibri"/>
          <w:sz w:val="20"/>
          <w:szCs w:val="20"/>
          <w:color w:val="auto"/>
        </w:rPr>
        <w:t>if the Change in Control consttutes a change in ownership of a corporaton under Treas. Reg. § 1.409A-3(i)(5) (v), a change in the efectve control of a corporaton under Treas. Reg. § 1.409A-3(i)(5)(vi), or a change in the ownership of a substantal porton of a corporaton’s assets as defned in Treas. Reg. § 1.409A-3(i)(5)(vii), the Base Salary installment payments that would otherwise be payable for the remainder of the Salary Contnuaton Period following the period described in Sec. 3.1(a)(i) shall instead be paid in a lump sum on the frst day of the seventh month following the Date of Terminaton (subject to satsfacton of the conditons described in Sec. 2.3 by such date).</w:t>
      </w:r>
    </w:p>
    <w:p>
      <w:pPr>
        <w:spacing w:after="0" w:line="192" w:lineRule="exact"/>
        <w:rPr>
          <w:rFonts w:ascii="Calibri" w:cs="Calibri" w:eastAsia="Calibri" w:hAnsi="Calibri"/>
          <w:sz w:val="20"/>
          <w:szCs w:val="20"/>
          <w:color w:val="auto"/>
        </w:rPr>
      </w:pPr>
    </w:p>
    <w:p>
      <w:pPr>
        <w:ind w:left="640" w:hanging="480"/>
        <w:spacing w:after="0"/>
        <w:tabs>
          <w:tab w:leader="none" w:pos="640"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The Covered Executve shall be enttled to the following additonal Severance Benefts:</w:t>
      </w:r>
    </w:p>
    <w:p>
      <w:pPr>
        <w:spacing w:after="0" w:line="211" w:lineRule="exact"/>
        <w:rPr>
          <w:rFonts w:ascii="Calibri" w:cs="Calibri" w:eastAsia="Calibri" w:hAnsi="Calibri"/>
          <w:sz w:val="20"/>
          <w:szCs w:val="20"/>
          <w:color w:val="auto"/>
        </w:rPr>
      </w:pPr>
    </w:p>
    <w:p>
      <w:pPr>
        <w:ind w:left="1300" w:hanging="492"/>
        <w:spacing w:after="0" w:line="219" w:lineRule="auto"/>
        <w:tabs>
          <w:tab w:leader="none" w:pos="1289" w:val="left"/>
        </w:tabs>
        <w:numPr>
          <w:ilvl w:val="1"/>
          <w:numId w:val="12"/>
        </w:numPr>
        <w:rPr>
          <w:rFonts w:ascii="Calibri" w:cs="Calibri" w:eastAsia="Calibri" w:hAnsi="Calibri"/>
          <w:sz w:val="20"/>
          <w:szCs w:val="20"/>
          <w:color w:val="auto"/>
        </w:rPr>
      </w:pPr>
      <w:r>
        <w:rPr>
          <w:rFonts w:ascii="Calibri" w:cs="Calibri" w:eastAsia="Calibri" w:hAnsi="Calibri"/>
          <w:sz w:val="20"/>
          <w:szCs w:val="20"/>
          <w:u w:val="single" w:color="auto"/>
          <w:color w:val="auto"/>
        </w:rPr>
        <w:t>Bonus</w:t>
      </w:r>
      <w:r>
        <w:rPr>
          <w:rFonts w:ascii="Calibri" w:cs="Calibri" w:eastAsia="Calibri" w:hAnsi="Calibri"/>
          <w:sz w:val="20"/>
          <w:szCs w:val="20"/>
          <w:color w:val="auto"/>
        </w:rPr>
        <w:t xml:space="preserve">. The Covered Executve shall be enttled to receive an amount equal to one-twelfh (1/12) of his or her Target Annual Bonus multplied by the number of months in the Salary Contnuaton Period for a Terminaton Due to a Change in Control described in </w:t>
      </w:r>
      <w:r>
        <w:rPr>
          <w:rFonts w:ascii="Calibri" w:cs="Calibri" w:eastAsia="Calibri" w:hAnsi="Calibri"/>
          <w:sz w:val="20"/>
          <w:szCs w:val="20"/>
          <w:u w:val="single" w:color="auto"/>
          <w:color w:val="auto"/>
        </w:rPr>
        <w:t>Appendix A</w:t>
      </w:r>
      <w:r>
        <w:rPr>
          <w:rFonts w:ascii="Calibri" w:cs="Calibri" w:eastAsia="Calibri" w:hAnsi="Calibri"/>
          <w:sz w:val="20"/>
          <w:szCs w:val="20"/>
          <w:color w:val="auto"/>
        </w:rPr>
        <w:t>. Such payment shall be made in a lump sum as soon as administratvely practcable afer the expiraton of all rescission period(s) described in Sec. 2.3, but in any event not later than two and half months following the end of the year in which the Date of Terminaton occurs. Such amount is intended to be a short-term deferral pursuant to Treas. Reg. § 1.409A-1(b)(4).</w:t>
      </w:r>
    </w:p>
    <w:p>
      <w:pPr>
        <w:sectPr>
          <w:pgSz w:w="11900" w:h="16838" w:orient="portrait"/>
          <w:cols w:equalWidth="0" w:num="1">
            <w:col w:w="10400"/>
          </w:cols>
          <w:pgMar w:left="1140" w:top="1074" w:right="359" w:bottom="1440" w:gutter="0" w:footer="0" w:header="0"/>
        </w:sectPr>
      </w:pPr>
    </w:p>
    <w:bookmarkStart w:id="41" w:name="page42"/>
    <w:bookmarkEnd w:id="41"/>
    <w:p>
      <w:pPr>
        <w:ind w:left="1300" w:right="20" w:hanging="492"/>
        <w:spacing w:after="0" w:line="218" w:lineRule="auto"/>
        <w:tabs>
          <w:tab w:leader="none" w:pos="1294" w:val="left"/>
        </w:tabs>
        <w:numPr>
          <w:ilvl w:val="0"/>
          <w:numId w:val="13"/>
        </w:numPr>
        <w:rPr>
          <w:rFonts w:ascii="Arial" w:cs="Arial" w:eastAsia="Arial" w:hAnsi="Arial"/>
          <w:sz w:val="22"/>
          <w:szCs w:val="22"/>
          <w:color w:val="auto"/>
        </w:rPr>
      </w:pPr>
      <w:r>
        <w:rPr>
          <w:rFonts w:ascii="Calibri" w:cs="Calibri" w:eastAsia="Calibri" w:hAnsi="Calibri"/>
          <w:sz w:val="20"/>
          <w:szCs w:val="20"/>
          <w:u w:val="single" w:color="auto"/>
          <w:color w:val="auto"/>
        </w:rPr>
        <w:t>Proft Sharing Plan</w:t>
      </w:r>
      <w:r>
        <w:rPr>
          <w:rFonts w:ascii="Calibri" w:cs="Calibri" w:eastAsia="Calibri" w:hAnsi="Calibri"/>
          <w:sz w:val="20"/>
          <w:szCs w:val="20"/>
          <w:color w:val="auto"/>
        </w:rPr>
        <w:t>. The Covered Executve shall be enttled to receive an amount intended to provide a beneft equal to the additonal beneft that the Executve would have received under the Proft Sharing Plan if such Covered Executve (x) had remained employed by Hawkins for the entre Salary Contnuaton Period and (y) had been enttled to Employer Contributons (as defned in the Proft Sharing Plan) under the Proft Sharing Plan for the Salary Contnuaton Period.</w:t>
      </w:r>
    </w:p>
    <w:p>
      <w:pPr>
        <w:spacing w:after="0" w:line="199" w:lineRule="exact"/>
        <w:rPr>
          <w:rFonts w:ascii="Arial" w:cs="Arial" w:eastAsia="Arial" w:hAnsi="Arial"/>
          <w:sz w:val="22"/>
          <w:szCs w:val="22"/>
          <w:color w:val="auto"/>
        </w:rPr>
      </w:pPr>
    </w:p>
    <w:p>
      <w:pPr>
        <w:ind w:left="1300" w:right="20"/>
        <w:spacing w:after="0" w:line="218" w:lineRule="auto"/>
        <w:rPr>
          <w:rFonts w:ascii="Arial" w:cs="Arial" w:eastAsia="Arial" w:hAnsi="Arial"/>
          <w:sz w:val="22"/>
          <w:szCs w:val="22"/>
          <w:color w:val="auto"/>
        </w:rPr>
      </w:pPr>
      <w:r>
        <w:rPr>
          <w:rFonts w:ascii="Calibri" w:cs="Calibri" w:eastAsia="Calibri" w:hAnsi="Calibri"/>
          <w:sz w:val="20"/>
          <w:szCs w:val="20"/>
          <w:color w:val="auto"/>
        </w:rPr>
        <w:t>The amount of such payment shall equal the additonal Discretonary Employer Proft Sharing Contributon (as defned in the Proft Sharing Plan) that the Covered Executve would have received for the Salary Contnuaton period if his/her Compensaton had contnued at the same rate as in efect immediately prior to his/her Terminaton of Employment and the rate of the Discretonary Employer Proft Sharing Contributon had been the same rate as in efect for the most recent Plan Year ending prior to the Terminaton of Employment, plus if, on the Date of Terminaton, the Proft Sharing Plan permits 401(k) Contributons, such Employer Matching Contributons the Covered Executve would have received for the Salary Contnuaton Period if he/she had made 401(k) Contributons at least at the rate that would have enttled him/her to the maximum Employer Matching Contributons permited under the Plan.</w:t>
      </w:r>
    </w:p>
    <w:p>
      <w:pPr>
        <w:spacing w:after="0" w:line="218" w:lineRule="exact"/>
        <w:rPr>
          <w:rFonts w:ascii="Arial" w:cs="Arial" w:eastAsia="Arial" w:hAnsi="Arial"/>
          <w:sz w:val="22"/>
          <w:szCs w:val="22"/>
          <w:color w:val="auto"/>
        </w:rPr>
      </w:pPr>
    </w:p>
    <w:p>
      <w:pPr>
        <w:ind w:left="1300" w:right="160"/>
        <w:spacing w:after="0" w:line="220" w:lineRule="auto"/>
        <w:rPr>
          <w:rFonts w:ascii="Arial" w:cs="Arial" w:eastAsia="Arial" w:hAnsi="Arial"/>
          <w:sz w:val="22"/>
          <w:szCs w:val="22"/>
          <w:color w:val="auto"/>
        </w:rPr>
      </w:pPr>
      <w:r>
        <w:rPr>
          <w:rFonts w:ascii="Calibri" w:cs="Calibri" w:eastAsia="Calibri" w:hAnsi="Calibri"/>
          <w:sz w:val="20"/>
          <w:szCs w:val="20"/>
          <w:color w:val="auto"/>
        </w:rPr>
        <w:t>Such payment shall be made in a lump sum as soon as administratvely practcable afer the expiraton of all rescission period(s) described in Sec. 2.3, but in any event not later than two and half months following the end of the year in which the Date of Terminaton occurs. Such amount is intended to be a short-term deferral pursuant to Treas. Reg. § 1.409A-1(b)(4).</w:t>
      </w:r>
    </w:p>
    <w:p>
      <w:pPr>
        <w:spacing w:after="0" w:line="211" w:lineRule="exact"/>
        <w:rPr>
          <w:rFonts w:ascii="Arial" w:cs="Arial" w:eastAsia="Arial" w:hAnsi="Arial"/>
          <w:sz w:val="22"/>
          <w:szCs w:val="22"/>
          <w:color w:val="auto"/>
        </w:rPr>
      </w:pPr>
    </w:p>
    <w:p>
      <w:pPr>
        <w:ind w:left="1300" w:right="160" w:hanging="492"/>
        <w:spacing w:after="0" w:line="220" w:lineRule="auto"/>
        <w:tabs>
          <w:tab w:leader="none" w:pos="1301"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Deferred Compensaton Plan. To the extent that a Covered Executve is eligible for and partcipatng in the Deferred Compensaton Plan, the Covered Executve shall be enttled to receive an amount equal to the additonal beneft that the Covered Executve would have received under the Deferred Compensaton Plan if such Covered Executve (x) had remained employed by Hawkins for the entre Salary Contnuaton Period and</w:t>
      </w:r>
    </w:p>
    <w:p>
      <w:pPr>
        <w:ind w:left="1300" w:right="140"/>
        <w:spacing w:after="0" w:line="218" w:lineRule="auto"/>
        <w:rPr>
          <w:rFonts w:ascii="Calibri" w:cs="Calibri" w:eastAsia="Calibri" w:hAnsi="Calibri"/>
          <w:sz w:val="20"/>
          <w:szCs w:val="20"/>
          <w:color w:val="auto"/>
        </w:rPr>
      </w:pPr>
      <w:r>
        <w:rPr>
          <w:rFonts w:ascii="Calibri" w:cs="Calibri" w:eastAsia="Calibri" w:hAnsi="Calibri"/>
          <w:sz w:val="20"/>
          <w:szCs w:val="20"/>
          <w:color w:val="auto"/>
        </w:rPr>
        <w:t>(y) had been enttled to Company Credits (as defned in the Deferred Compensaton Plan) under the Deferred Compensaton Plan for the Salary Contnuaton Period.</w:t>
      </w:r>
    </w:p>
    <w:p>
      <w:pPr>
        <w:spacing w:after="0" w:line="200" w:lineRule="exact"/>
        <w:rPr>
          <w:sz w:val="20"/>
          <w:szCs w:val="20"/>
          <w:color w:val="auto"/>
        </w:rPr>
      </w:pPr>
    </w:p>
    <w:p>
      <w:pPr>
        <w:ind w:left="1300" w:right="160"/>
        <w:spacing w:after="0" w:line="228" w:lineRule="auto"/>
        <w:rPr>
          <w:sz w:val="20"/>
          <w:szCs w:val="20"/>
          <w:color w:val="auto"/>
        </w:rPr>
      </w:pPr>
      <w:r>
        <w:rPr>
          <w:rFonts w:ascii="Calibri" w:cs="Calibri" w:eastAsia="Calibri" w:hAnsi="Calibri"/>
          <w:sz w:val="20"/>
          <w:szCs w:val="20"/>
          <w:color w:val="auto"/>
        </w:rPr>
        <w:t>The amount of such payment shall equal the value of the Company Credits that the Covered Executve would have received for the Salary Contnuaton Period.</w:t>
      </w:r>
    </w:p>
    <w:p>
      <w:pPr>
        <w:spacing w:after="0" w:line="198" w:lineRule="exact"/>
        <w:rPr>
          <w:sz w:val="20"/>
          <w:szCs w:val="20"/>
          <w:color w:val="auto"/>
        </w:rPr>
      </w:pPr>
    </w:p>
    <w:p>
      <w:pPr>
        <w:ind w:left="1300"/>
        <w:spacing w:after="0" w:line="221" w:lineRule="auto"/>
        <w:rPr>
          <w:sz w:val="20"/>
          <w:szCs w:val="20"/>
          <w:color w:val="auto"/>
        </w:rPr>
      </w:pPr>
      <w:r>
        <w:rPr>
          <w:rFonts w:ascii="Calibri" w:cs="Calibri" w:eastAsia="Calibri" w:hAnsi="Calibri"/>
          <w:sz w:val="20"/>
          <w:szCs w:val="20"/>
          <w:color w:val="auto"/>
        </w:rPr>
        <w:t>Such payment, if any, shall be made in a lump sum as soon as administratvely practcable afer the expiraton of all recession period(s) described in Sec. 2.3, but in any event not later than two and half months following the end of the year in which the Date of Terminaton occurs. Such amount is intended to be a short-term deferral pursuant to Treas. Reg. § 1.409A-1(b)(4). For the avoidance of doubt, this Sec. 3.2(b)(iii) shall in no way change the tming of distributons under the Deferred Compensaton Plan.</w:t>
      </w:r>
    </w:p>
    <w:p>
      <w:pPr>
        <w:spacing w:after="0" w:line="199" w:lineRule="exact"/>
        <w:rPr>
          <w:sz w:val="20"/>
          <w:szCs w:val="20"/>
          <w:color w:val="auto"/>
        </w:rPr>
      </w:pPr>
    </w:p>
    <w:p>
      <w:pPr>
        <w:ind w:right="120" w:hanging="485"/>
        <w:spacing w:after="0" w:line="220" w:lineRule="auto"/>
        <w:rPr>
          <w:sz w:val="20"/>
          <w:szCs w:val="20"/>
          <w:color w:val="auto"/>
        </w:rPr>
      </w:pPr>
      <w:r>
        <w:rPr>
          <w:rFonts w:ascii="Calibri" w:cs="Calibri" w:eastAsia="Calibri" w:hAnsi="Calibri"/>
          <w:sz w:val="20"/>
          <w:szCs w:val="20"/>
          <w:color w:val="auto"/>
        </w:rPr>
        <w:t>3.3</w:t>
      </w:r>
      <w:r>
        <w:rPr>
          <w:sz w:val="20"/>
          <w:szCs w:val="20"/>
          <w:color w:val="auto"/>
        </w:rPr>
        <w:t xml:space="preserve"> </w:t>
      </w:r>
      <w:r>
        <w:rPr>
          <w:rFonts w:ascii="Calibri" w:cs="Calibri" w:eastAsia="Calibri" w:hAnsi="Calibri"/>
          <w:sz w:val="20"/>
          <w:szCs w:val="20"/>
          <w:color w:val="auto"/>
        </w:rPr>
        <w:t>Clawback. Any payment of a Severance Beneft hereunder shall be subject to, and recoverable by, Hawkins under Hawkins’ clawback policy in efect from tme to tme; provided, however, that for any atempted recovery from and afer a Change in Control, such clawback policy shall have been in efect prior to the Change in Control except as such policy has been modifed to conform to applicable law or regulaton.</w:t>
      </w:r>
    </w:p>
    <w:p>
      <w:pPr>
        <w:sectPr>
          <w:pgSz w:w="11900" w:h="16838" w:orient="portrait"/>
          <w:cols w:equalWidth="0" w:num="1">
            <w:col w:w="10380"/>
          </w:cols>
          <w:pgMar w:left="1140" w:top="1114" w:right="379" w:bottom="1440" w:gutter="0" w:footer="0" w:header="0"/>
        </w:sectPr>
      </w:pPr>
    </w:p>
    <w:bookmarkStart w:id="42" w:name="page43"/>
    <w:bookmarkEnd w:id="42"/>
    <w:p>
      <w:pPr>
        <w:jc w:val="center"/>
        <w:ind w:right="-19"/>
        <w:spacing w:after="0"/>
        <w:rPr>
          <w:sz w:val="20"/>
          <w:szCs w:val="20"/>
          <w:color w:val="auto"/>
        </w:rPr>
      </w:pPr>
      <w:r>
        <w:rPr>
          <w:rFonts w:ascii="Calibri" w:cs="Calibri" w:eastAsia="Calibri" w:hAnsi="Calibri"/>
          <w:sz w:val="20"/>
          <w:szCs w:val="20"/>
          <w:b w:val="1"/>
          <w:bCs w:val="1"/>
          <w:color w:val="auto"/>
        </w:rPr>
        <w:t>ARTICLE 4</w:t>
      </w:r>
    </w:p>
    <w:p>
      <w:pPr>
        <w:spacing w:after="0" w:line="188"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PLAN ADMINISTRATION</w:t>
      </w:r>
    </w:p>
    <w:p>
      <w:pPr>
        <w:spacing w:after="0" w:line="211" w:lineRule="exact"/>
        <w:rPr>
          <w:sz w:val="20"/>
          <w:szCs w:val="20"/>
          <w:color w:val="auto"/>
        </w:rPr>
      </w:pPr>
    </w:p>
    <w:p>
      <w:pPr>
        <w:ind w:left="820" w:right="420" w:hanging="485"/>
        <w:spacing w:after="0" w:line="222" w:lineRule="auto"/>
        <w:tabs>
          <w:tab w:leader="none" w:pos="800" w:val="left"/>
        </w:tabs>
        <w:rPr>
          <w:sz w:val="20"/>
          <w:szCs w:val="20"/>
          <w:color w:val="auto"/>
        </w:rPr>
      </w:pPr>
      <w:r>
        <w:rPr>
          <w:rFonts w:ascii="Calibri" w:cs="Calibri" w:eastAsia="Calibri" w:hAnsi="Calibri"/>
          <w:sz w:val="20"/>
          <w:szCs w:val="20"/>
          <w:color w:val="auto"/>
        </w:rPr>
        <w:t>4.1</w:t>
      </w:r>
      <w:r>
        <w:rPr>
          <w:sz w:val="20"/>
          <w:szCs w:val="20"/>
          <w:color w:val="auto"/>
        </w:rPr>
        <w:tab/>
      </w:r>
      <w:r>
        <w:rPr>
          <w:rFonts w:ascii="Calibri" w:cs="Calibri" w:eastAsia="Calibri" w:hAnsi="Calibri"/>
          <w:sz w:val="20"/>
          <w:szCs w:val="20"/>
          <w:u w:val="single" w:color="auto"/>
          <w:color w:val="auto"/>
        </w:rPr>
        <w:t>General</w:t>
      </w:r>
      <w:r>
        <w:rPr>
          <w:rFonts w:ascii="Calibri" w:cs="Calibri" w:eastAsia="Calibri" w:hAnsi="Calibri"/>
          <w:sz w:val="20"/>
          <w:szCs w:val="20"/>
          <w:color w:val="auto"/>
        </w:rPr>
        <w:t>. The Plan is administered by the Commitee. The principal duty of the Commitee is to administer the Plan in a</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consistent and non-discriminatory manner in accordance with its terms. The Commitee shall have full power, as provided herein, to administer the Plan in all of its details.</w:t>
      </w:r>
    </w:p>
    <w:p>
      <w:pPr>
        <w:spacing w:after="0" w:line="200" w:lineRule="exact"/>
        <w:rPr>
          <w:sz w:val="20"/>
          <w:szCs w:val="20"/>
          <w:color w:val="auto"/>
        </w:rPr>
      </w:pPr>
    </w:p>
    <w:p>
      <w:pPr>
        <w:ind w:left="820" w:right="180" w:hanging="485"/>
        <w:spacing w:after="0" w:line="228" w:lineRule="auto"/>
        <w:tabs>
          <w:tab w:leader="none" w:pos="800" w:val="left"/>
        </w:tabs>
        <w:rPr>
          <w:sz w:val="20"/>
          <w:szCs w:val="20"/>
          <w:color w:val="auto"/>
        </w:rPr>
      </w:pPr>
      <w:r>
        <w:rPr>
          <w:rFonts w:ascii="Calibri" w:cs="Calibri" w:eastAsia="Calibri" w:hAnsi="Calibri"/>
          <w:sz w:val="20"/>
          <w:szCs w:val="20"/>
          <w:color w:val="auto"/>
        </w:rPr>
        <w:t>4.1</w:t>
      </w:r>
      <w:r>
        <w:rPr>
          <w:sz w:val="20"/>
          <w:szCs w:val="20"/>
          <w:color w:val="auto"/>
        </w:rPr>
        <w:tab/>
      </w:r>
      <w:r>
        <w:rPr>
          <w:rFonts w:ascii="Calibri" w:cs="Calibri" w:eastAsia="Calibri" w:hAnsi="Calibri"/>
          <w:sz w:val="20"/>
          <w:szCs w:val="20"/>
          <w:u w:val="single" w:color="auto"/>
          <w:color w:val="auto"/>
        </w:rPr>
        <w:t>Power and Authority</w:t>
      </w:r>
      <w:r>
        <w:rPr>
          <w:rFonts w:ascii="Calibri" w:cs="Calibri" w:eastAsia="Calibri" w:hAnsi="Calibri"/>
          <w:sz w:val="20"/>
          <w:szCs w:val="20"/>
          <w:color w:val="auto"/>
        </w:rPr>
        <w:t>. The Commitee’s powers shall include, but shall not be limited to, the following, in additon to all other</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powers provided by this Plan:</w:t>
      </w:r>
    </w:p>
    <w:p>
      <w:pPr>
        <w:spacing w:after="0" w:line="198" w:lineRule="exact"/>
        <w:rPr>
          <w:sz w:val="20"/>
          <w:szCs w:val="20"/>
          <w:color w:val="auto"/>
        </w:rPr>
      </w:pPr>
    </w:p>
    <w:p>
      <w:pPr>
        <w:ind w:left="1460" w:right="1080" w:hanging="480"/>
        <w:spacing w:after="0" w:line="221" w:lineRule="auto"/>
        <w:tabs>
          <w:tab w:leader="none" w:pos="1460"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to make, enforce, amend or rescind such rules and regulatons relatng to the Plan, and to make any other determinatons that it deems necessary or proper for the efcient administraton of the Plan;</w:t>
      </w:r>
    </w:p>
    <w:p>
      <w:pPr>
        <w:spacing w:after="0" w:line="211" w:lineRule="exact"/>
        <w:rPr>
          <w:rFonts w:ascii="Calibri" w:cs="Calibri" w:eastAsia="Calibri" w:hAnsi="Calibri"/>
          <w:sz w:val="20"/>
          <w:szCs w:val="20"/>
          <w:color w:val="auto"/>
        </w:rPr>
      </w:pPr>
    </w:p>
    <w:p>
      <w:pPr>
        <w:ind w:left="1460" w:right="560" w:hanging="480"/>
        <w:spacing w:after="0" w:line="221" w:lineRule="auto"/>
        <w:tabs>
          <w:tab w:leader="none" w:pos="1455"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to interpret the Plan and its terms, with the Commitee’s interpretatons thereof to be fnal and conclusive on all persons claiming benefts under the Plan;</w:t>
      </w:r>
    </w:p>
    <w:p>
      <w:pPr>
        <w:spacing w:after="0" w:line="211" w:lineRule="exact"/>
        <w:rPr>
          <w:rFonts w:ascii="Calibri" w:cs="Calibri" w:eastAsia="Calibri" w:hAnsi="Calibri"/>
          <w:sz w:val="20"/>
          <w:szCs w:val="20"/>
          <w:color w:val="auto"/>
        </w:rPr>
      </w:pPr>
    </w:p>
    <w:p>
      <w:pPr>
        <w:ind w:left="1460" w:right="40" w:hanging="480"/>
        <w:spacing w:after="0" w:line="221" w:lineRule="auto"/>
        <w:tabs>
          <w:tab w:leader="none" w:pos="1462"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to correct any defect or supply any omission or reconcile any inconsistency in the Plan in the manner and to the extent it deems necessary or advisable;</w:t>
      </w:r>
    </w:p>
    <w:p>
      <w:pPr>
        <w:spacing w:after="0" w:line="198" w:lineRule="exact"/>
        <w:rPr>
          <w:rFonts w:ascii="Calibri" w:cs="Calibri" w:eastAsia="Calibri" w:hAnsi="Calibri"/>
          <w:sz w:val="20"/>
          <w:szCs w:val="20"/>
          <w:color w:val="auto"/>
        </w:rPr>
      </w:pPr>
    </w:p>
    <w:p>
      <w:pPr>
        <w:ind w:left="1460" w:right="300" w:hanging="480"/>
        <w:spacing w:after="0" w:line="228" w:lineRule="auto"/>
        <w:tabs>
          <w:tab w:leader="none" w:pos="1455"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to decide all questons concerning the Plan and the eligibility of any person to partcipate in, and to receive benefts provided under, the Plan;</w:t>
      </w:r>
    </w:p>
    <w:p>
      <w:pPr>
        <w:spacing w:after="0" w:line="187" w:lineRule="exact"/>
        <w:rPr>
          <w:rFonts w:ascii="Calibri" w:cs="Calibri" w:eastAsia="Calibri" w:hAnsi="Calibri"/>
          <w:sz w:val="20"/>
          <w:szCs w:val="20"/>
          <w:color w:val="auto"/>
        </w:rPr>
      </w:pPr>
    </w:p>
    <w:p>
      <w:pPr>
        <w:ind w:left="1460" w:hanging="480"/>
        <w:spacing w:after="0"/>
        <w:tabs>
          <w:tab w:leader="none" w:pos="1460"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to authorize the payment of benefts; and</w:t>
      </w:r>
    </w:p>
    <w:p>
      <w:pPr>
        <w:spacing w:after="0" w:line="211" w:lineRule="exact"/>
        <w:rPr>
          <w:rFonts w:ascii="Calibri" w:cs="Calibri" w:eastAsia="Calibri" w:hAnsi="Calibri"/>
          <w:sz w:val="20"/>
          <w:szCs w:val="20"/>
          <w:color w:val="auto"/>
        </w:rPr>
      </w:pPr>
    </w:p>
    <w:p>
      <w:pPr>
        <w:ind w:left="1460" w:right="160" w:hanging="480"/>
        <w:spacing w:after="0" w:line="221" w:lineRule="auto"/>
        <w:tabs>
          <w:tab w:leader="none" w:pos="1438"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to appoint such agents, counsel, accountants, consultants, and actuaries as may be required to assist in administering the Plan.</w:t>
      </w:r>
    </w:p>
    <w:p>
      <w:pPr>
        <w:spacing w:after="0" w:line="212" w:lineRule="exact"/>
        <w:rPr>
          <w:sz w:val="20"/>
          <w:szCs w:val="20"/>
          <w:color w:val="auto"/>
        </w:rPr>
      </w:pPr>
    </w:p>
    <w:p>
      <w:pPr>
        <w:ind w:right="60"/>
        <w:spacing w:after="0" w:line="220" w:lineRule="auto"/>
        <w:rPr>
          <w:sz w:val="20"/>
          <w:szCs w:val="20"/>
          <w:color w:val="auto"/>
        </w:rPr>
      </w:pPr>
      <w:r>
        <w:rPr>
          <w:rFonts w:ascii="Calibri" w:cs="Calibri" w:eastAsia="Calibri" w:hAnsi="Calibri"/>
          <w:sz w:val="20"/>
          <w:szCs w:val="20"/>
          <w:color w:val="auto"/>
        </w:rPr>
        <w:t>Notwithstanding the foregoing, during the two-year period following a Change in Control, the Commitee shall not have the authority to exercise discreton with respect to any aspect of the Commitee’s powers and dutes and any other aspect of the Plan’s administraton, including the benefts enumerated in Artcle 3, with the excepton of making benefts changes benefcial, but not less favorable, to the Covered Executve, and the review of beneft claims under Artcle 5.</w:t>
      </w:r>
    </w:p>
    <w:p>
      <w:pPr>
        <w:spacing w:after="0" w:line="198" w:lineRule="exact"/>
        <w:rPr>
          <w:sz w:val="20"/>
          <w:szCs w:val="20"/>
          <w:color w:val="auto"/>
        </w:rPr>
      </w:pPr>
    </w:p>
    <w:p>
      <w:pPr>
        <w:ind w:left="820" w:hanging="485"/>
        <w:spacing w:after="0" w:line="228" w:lineRule="auto"/>
        <w:tabs>
          <w:tab w:leader="none" w:pos="800" w:val="left"/>
        </w:tabs>
        <w:rPr>
          <w:sz w:val="20"/>
          <w:szCs w:val="20"/>
          <w:color w:val="auto"/>
        </w:rPr>
      </w:pPr>
      <w:r>
        <w:rPr>
          <w:rFonts w:ascii="Calibri" w:cs="Calibri" w:eastAsia="Calibri" w:hAnsi="Calibri"/>
          <w:sz w:val="20"/>
          <w:szCs w:val="20"/>
          <w:color w:val="auto"/>
        </w:rPr>
        <w:t>4.3</w:t>
      </w:r>
      <w:r>
        <w:rPr>
          <w:sz w:val="20"/>
          <w:szCs w:val="20"/>
          <w:color w:val="auto"/>
        </w:rPr>
        <w:tab/>
      </w:r>
      <w:r>
        <w:rPr>
          <w:rFonts w:ascii="Calibri" w:cs="Calibri" w:eastAsia="Calibri" w:hAnsi="Calibri"/>
          <w:sz w:val="20"/>
          <w:szCs w:val="20"/>
          <w:u w:val="single" w:color="auto"/>
          <w:color w:val="auto"/>
        </w:rPr>
        <w:t>Payment</w:t>
      </w:r>
      <w:r>
        <w:rPr>
          <w:rFonts w:ascii="Calibri" w:cs="Calibri" w:eastAsia="Calibri" w:hAnsi="Calibri"/>
          <w:sz w:val="20"/>
          <w:szCs w:val="20"/>
          <w:color w:val="auto"/>
        </w:rPr>
        <w:t>. Hawkins shall make payments of Severance Benefts from its general assets to Covered Executves in accordance with</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the terms of the Plan.</w:t>
      </w:r>
    </w:p>
    <w:p>
      <w:pPr>
        <w:sectPr>
          <w:pgSz w:w="11900" w:h="16838" w:orient="portrait"/>
          <w:cols w:equalWidth="0" w:num="1">
            <w:col w:w="11220"/>
          </w:cols>
          <w:pgMar w:left="320" w:top="1064" w:right="359" w:bottom="1440" w:gutter="0" w:footer="0" w:header="0"/>
        </w:sectPr>
      </w:pPr>
    </w:p>
    <w:bookmarkStart w:id="43" w:name="page44"/>
    <w:bookmarkEnd w:id="43"/>
    <w:p>
      <w:pPr>
        <w:jc w:val="center"/>
        <w:ind w:right="300"/>
        <w:spacing w:after="0"/>
        <w:rPr>
          <w:sz w:val="20"/>
          <w:szCs w:val="20"/>
          <w:color w:val="auto"/>
        </w:rPr>
      </w:pPr>
      <w:r>
        <w:rPr>
          <w:rFonts w:ascii="Calibri" w:cs="Calibri" w:eastAsia="Calibri" w:hAnsi="Calibri"/>
          <w:sz w:val="20"/>
          <w:szCs w:val="20"/>
          <w:b w:val="1"/>
          <w:bCs w:val="1"/>
          <w:color w:val="auto"/>
        </w:rPr>
        <w:t>ARTICLE 5</w:t>
      </w:r>
    </w:p>
    <w:p>
      <w:pPr>
        <w:spacing w:after="0" w:line="188" w:lineRule="exact"/>
        <w:rPr>
          <w:sz w:val="20"/>
          <w:szCs w:val="20"/>
          <w:color w:val="auto"/>
        </w:rPr>
      </w:pPr>
    </w:p>
    <w:p>
      <w:pPr>
        <w:jc w:val="center"/>
        <w:ind w:right="300"/>
        <w:spacing w:after="0"/>
        <w:rPr>
          <w:sz w:val="20"/>
          <w:szCs w:val="20"/>
          <w:color w:val="auto"/>
        </w:rPr>
      </w:pPr>
      <w:r>
        <w:rPr>
          <w:rFonts w:ascii="Calibri" w:cs="Calibri" w:eastAsia="Calibri" w:hAnsi="Calibri"/>
          <w:sz w:val="20"/>
          <w:szCs w:val="20"/>
          <w:b w:val="1"/>
          <w:bCs w:val="1"/>
          <w:color w:val="auto"/>
        </w:rPr>
        <w:t>CLAIMS PROCEDURE</w:t>
      </w:r>
    </w:p>
    <w:p>
      <w:pPr>
        <w:spacing w:after="0" w:line="211" w:lineRule="exact"/>
        <w:rPr>
          <w:sz w:val="20"/>
          <w:szCs w:val="20"/>
          <w:color w:val="auto"/>
        </w:rPr>
      </w:pPr>
    </w:p>
    <w:p>
      <w:pPr>
        <w:jc w:val="both"/>
        <w:ind w:left="480" w:right="620" w:hanging="485"/>
        <w:spacing w:after="0" w:line="222" w:lineRule="auto"/>
        <w:tabs>
          <w:tab w:leader="none" w:pos="460" w:val="left"/>
        </w:tabs>
        <w:rPr>
          <w:sz w:val="20"/>
          <w:szCs w:val="20"/>
          <w:color w:val="auto"/>
        </w:rPr>
      </w:pPr>
      <w:r>
        <w:rPr>
          <w:rFonts w:ascii="Calibri" w:cs="Calibri" w:eastAsia="Calibri" w:hAnsi="Calibri"/>
          <w:sz w:val="20"/>
          <w:szCs w:val="20"/>
          <w:color w:val="auto"/>
        </w:rPr>
        <w:t>5.1</w:t>
      </w:r>
      <w:r>
        <w:rPr>
          <w:sz w:val="20"/>
          <w:szCs w:val="20"/>
          <w:color w:val="auto"/>
        </w:rPr>
        <w:tab/>
      </w:r>
      <w:r>
        <w:rPr>
          <w:rFonts w:ascii="Calibri" w:cs="Calibri" w:eastAsia="Calibri" w:hAnsi="Calibri"/>
          <w:sz w:val="20"/>
          <w:szCs w:val="20"/>
          <w:u w:val="single" w:color="auto"/>
          <w:color w:val="auto"/>
        </w:rPr>
        <w:t>Claims</w:t>
      </w:r>
      <w:r>
        <w:rPr>
          <w:rFonts w:ascii="Calibri" w:cs="Calibri" w:eastAsia="Calibri" w:hAnsi="Calibri"/>
          <w:sz w:val="20"/>
          <w:szCs w:val="20"/>
          <w:color w:val="auto"/>
        </w:rPr>
        <w:t>. All claims for benefts shall be fled in writng with the Commitee. Each such claim must be fled by the Covered</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Executve, or his or her duly authorized representatve, within 90 days following the Covered Executve’s Terminaton of Employment.</w:t>
      </w:r>
    </w:p>
    <w:p>
      <w:pPr>
        <w:spacing w:after="0" w:line="200" w:lineRule="exact"/>
        <w:rPr>
          <w:sz w:val="20"/>
          <w:szCs w:val="20"/>
          <w:color w:val="auto"/>
        </w:rPr>
      </w:pPr>
    </w:p>
    <w:p>
      <w:pPr>
        <w:ind w:left="480" w:right="80" w:hanging="485"/>
        <w:spacing w:after="0" w:line="219" w:lineRule="auto"/>
        <w:tabs>
          <w:tab w:leader="none" w:pos="460" w:val="left"/>
        </w:tabs>
        <w:rPr>
          <w:sz w:val="20"/>
          <w:szCs w:val="20"/>
          <w:color w:val="auto"/>
        </w:rPr>
      </w:pPr>
      <w:r>
        <w:rPr>
          <w:rFonts w:ascii="Calibri" w:cs="Calibri" w:eastAsia="Calibri" w:hAnsi="Calibri"/>
          <w:sz w:val="20"/>
          <w:szCs w:val="20"/>
          <w:color w:val="auto"/>
        </w:rPr>
        <w:t>5.2</w:t>
      </w:r>
      <w:r>
        <w:rPr>
          <w:sz w:val="20"/>
          <w:szCs w:val="20"/>
          <w:color w:val="auto"/>
        </w:rPr>
        <w:tab/>
      </w:r>
      <w:r>
        <w:rPr>
          <w:rFonts w:ascii="Calibri" w:cs="Calibri" w:eastAsia="Calibri" w:hAnsi="Calibri"/>
          <w:sz w:val="20"/>
          <w:szCs w:val="20"/>
          <w:u w:val="single" w:color="auto"/>
          <w:color w:val="auto"/>
        </w:rPr>
        <w:t>Determinaton of Claims</w:t>
      </w:r>
      <w:r>
        <w:rPr>
          <w:rFonts w:ascii="Calibri" w:cs="Calibri" w:eastAsia="Calibri" w:hAnsi="Calibri"/>
          <w:sz w:val="20"/>
          <w:szCs w:val="20"/>
          <w:color w:val="auto"/>
        </w:rPr>
        <w:t>. The Commitee shall decide all claims for benefts under the Plan within 30 days afer receipt of the</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claim. Any denial by the Commitee of a claim for benefts shall be stated in writng and shall set forth, in a manner calculated to be understood by the claimant, the specifc reasons for denial, specifc reference to pertnent Plan provisions on which the denial is based, a descripton of any additonal material or informaton necessary to perfect the claim and an explanaton of why such material or informaton is necessary, and the procedure for the appeal of such denial and a statement of the claimant’s right to bring an acton under ERISA § 502(a) following an adverse beneft determinaton on appeal. In additon, the Commitee shall aford a reasonable opportunity to any claimant whose claim for benefts has been denied a review of the decision denying the claim.</w:t>
      </w:r>
    </w:p>
    <w:p>
      <w:pPr>
        <w:spacing w:after="0" w:line="202" w:lineRule="exact"/>
        <w:rPr>
          <w:sz w:val="20"/>
          <w:szCs w:val="20"/>
          <w:color w:val="auto"/>
        </w:rPr>
      </w:pPr>
    </w:p>
    <w:p>
      <w:pPr>
        <w:ind w:left="480" w:hanging="485"/>
        <w:spacing w:after="0" w:line="219" w:lineRule="auto"/>
        <w:tabs>
          <w:tab w:leader="none" w:pos="460" w:val="left"/>
        </w:tabs>
        <w:rPr>
          <w:sz w:val="20"/>
          <w:szCs w:val="20"/>
          <w:color w:val="auto"/>
        </w:rPr>
      </w:pPr>
      <w:r>
        <w:rPr>
          <w:rFonts w:ascii="Calibri" w:cs="Calibri" w:eastAsia="Calibri" w:hAnsi="Calibri"/>
          <w:sz w:val="20"/>
          <w:szCs w:val="20"/>
          <w:color w:val="auto"/>
        </w:rPr>
        <w:t>5.3</w:t>
      </w:r>
      <w:r>
        <w:rPr>
          <w:sz w:val="20"/>
          <w:szCs w:val="20"/>
          <w:color w:val="auto"/>
        </w:rPr>
        <w:tab/>
      </w:r>
      <w:r>
        <w:rPr>
          <w:rFonts w:ascii="Calibri" w:cs="Calibri" w:eastAsia="Calibri" w:hAnsi="Calibri"/>
          <w:sz w:val="20"/>
          <w:szCs w:val="20"/>
          <w:u w:val="single" w:color="auto"/>
          <w:color w:val="auto"/>
        </w:rPr>
        <w:t>Appeals</w:t>
      </w:r>
      <w:r>
        <w:rPr>
          <w:rFonts w:ascii="Calibri" w:cs="Calibri" w:eastAsia="Calibri" w:hAnsi="Calibri"/>
          <w:sz w:val="20"/>
          <w:szCs w:val="20"/>
          <w:color w:val="auto"/>
        </w:rPr>
        <w:t>. A claimant (or his or her duly authorized representatve) may, upon writen request to the Commitee within 30 days</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of receiving a denial of his claim for benefts, (a) request a review of the denial, (b) review pertnent documents, and (c) submit issues and comments in writng to the Commitee. A decision by the Commitee shall be made promptly and shall not ordinarily be made later than 30 days afer receipt of a request for review. The Commitee’s decision on review shall be in writng, shall include specifc reasons for the decision, writen in a manner calculated to be understood by the claimant, as well as specifc references to the pertnent Plan provisions on which the decision is based, and shall contain a statement of the claimant’s right to bring a civil acton under ERISA § 502(a). If the decision on review is not furnished within the applicable tme described in this secton, the claim shall be deemed denied on review.</w:t>
      </w:r>
    </w:p>
    <w:p>
      <w:pPr>
        <w:sectPr>
          <w:pgSz w:w="11900" w:h="16838" w:orient="portrait"/>
          <w:cols w:equalWidth="0" w:num="1">
            <w:col w:w="10880"/>
          </w:cols>
          <w:pgMar w:left="660" w:top="1064" w:right="359" w:bottom="1440" w:gutter="0" w:footer="0" w:header="0"/>
        </w:sectPr>
      </w:pPr>
    </w:p>
    <w:bookmarkStart w:id="44" w:name="page45"/>
    <w:bookmarkEnd w:id="44"/>
    <w:p>
      <w:pPr>
        <w:jc w:val="center"/>
        <w:ind w:right="280"/>
        <w:spacing w:after="0"/>
        <w:rPr>
          <w:sz w:val="20"/>
          <w:szCs w:val="20"/>
          <w:color w:val="auto"/>
        </w:rPr>
      </w:pPr>
      <w:r>
        <w:rPr>
          <w:rFonts w:ascii="Calibri" w:cs="Calibri" w:eastAsia="Calibri" w:hAnsi="Calibri"/>
          <w:sz w:val="20"/>
          <w:szCs w:val="20"/>
          <w:b w:val="1"/>
          <w:bCs w:val="1"/>
          <w:color w:val="auto"/>
        </w:rPr>
        <w:t>ARTICLE 6</w:t>
      </w:r>
    </w:p>
    <w:p>
      <w:pPr>
        <w:spacing w:after="0" w:line="188" w:lineRule="exact"/>
        <w:rPr>
          <w:sz w:val="20"/>
          <w:szCs w:val="20"/>
          <w:color w:val="auto"/>
        </w:rPr>
      </w:pPr>
    </w:p>
    <w:p>
      <w:pPr>
        <w:jc w:val="center"/>
        <w:ind w:right="280"/>
        <w:spacing w:after="0"/>
        <w:rPr>
          <w:sz w:val="20"/>
          <w:szCs w:val="20"/>
          <w:color w:val="auto"/>
        </w:rPr>
      </w:pPr>
      <w:r>
        <w:rPr>
          <w:rFonts w:ascii="Calibri" w:cs="Calibri" w:eastAsia="Calibri" w:hAnsi="Calibri"/>
          <w:sz w:val="20"/>
          <w:szCs w:val="20"/>
          <w:b w:val="1"/>
          <w:bCs w:val="1"/>
          <w:color w:val="auto"/>
        </w:rPr>
        <w:t>MISCELLANEOUS</w:t>
      </w:r>
    </w:p>
    <w:p>
      <w:pPr>
        <w:spacing w:after="0" w:line="211" w:lineRule="exact"/>
        <w:rPr>
          <w:sz w:val="20"/>
          <w:szCs w:val="20"/>
          <w:color w:val="auto"/>
        </w:rPr>
      </w:pPr>
    </w:p>
    <w:p>
      <w:pPr>
        <w:ind w:left="480" w:right="20" w:hanging="485"/>
        <w:spacing w:after="0" w:line="221" w:lineRule="auto"/>
        <w:tabs>
          <w:tab w:leader="none" w:pos="460" w:val="left"/>
        </w:tabs>
        <w:rPr>
          <w:sz w:val="20"/>
          <w:szCs w:val="20"/>
          <w:color w:val="auto"/>
        </w:rPr>
      </w:pPr>
      <w:r>
        <w:rPr>
          <w:rFonts w:ascii="Calibri" w:cs="Calibri" w:eastAsia="Calibri" w:hAnsi="Calibri"/>
          <w:sz w:val="20"/>
          <w:szCs w:val="20"/>
          <w:color w:val="auto"/>
        </w:rPr>
        <w:t>6.1</w:t>
      </w:r>
      <w:r>
        <w:rPr>
          <w:sz w:val="20"/>
          <w:szCs w:val="20"/>
          <w:color w:val="auto"/>
        </w:rPr>
        <w:tab/>
      </w:r>
      <w:r>
        <w:rPr>
          <w:rFonts w:ascii="Calibri" w:cs="Calibri" w:eastAsia="Calibri" w:hAnsi="Calibri"/>
          <w:sz w:val="20"/>
          <w:szCs w:val="20"/>
          <w:u w:val="single" w:color="auto"/>
          <w:color w:val="auto"/>
        </w:rPr>
        <w:t>Amendment and Terminaton</w:t>
      </w:r>
      <w:r>
        <w:rPr>
          <w:rFonts w:ascii="Calibri" w:cs="Calibri" w:eastAsia="Calibri" w:hAnsi="Calibri"/>
          <w:sz w:val="20"/>
          <w:szCs w:val="20"/>
          <w:color w:val="auto"/>
        </w:rPr>
        <w:t>. Notwithstanding the foregoing, the Plan may not be amended in any manner that adversely</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afects any Covered Executve unless such Covered Executve expressly consents to such amendment in writng. In the event of a Change in Control and for a period of two years thereafer, the Plan may not be amended, suspended or discontnued in any manner except to comply with applicable changes in the law, to prevent adverse tax consequences to a Covered Executve, or to make benefts more favorable to a Covered Executve.</w:t>
      </w:r>
    </w:p>
    <w:p>
      <w:pPr>
        <w:spacing w:after="0" w:line="199" w:lineRule="exact"/>
        <w:rPr>
          <w:sz w:val="20"/>
          <w:szCs w:val="20"/>
          <w:color w:val="auto"/>
        </w:rPr>
      </w:pPr>
    </w:p>
    <w:p>
      <w:pPr>
        <w:ind w:left="480" w:hanging="485"/>
        <w:spacing w:after="0" w:line="218" w:lineRule="auto"/>
        <w:tabs>
          <w:tab w:leader="none" w:pos="460" w:val="left"/>
        </w:tabs>
        <w:rPr>
          <w:sz w:val="20"/>
          <w:szCs w:val="20"/>
          <w:color w:val="auto"/>
        </w:rPr>
      </w:pPr>
      <w:r>
        <w:rPr>
          <w:rFonts w:ascii="Calibri" w:cs="Calibri" w:eastAsia="Calibri" w:hAnsi="Calibri"/>
          <w:sz w:val="20"/>
          <w:szCs w:val="20"/>
          <w:color w:val="auto"/>
        </w:rPr>
        <w:t>6.2</w:t>
      </w:r>
      <w:r>
        <w:rPr>
          <w:sz w:val="20"/>
          <w:szCs w:val="20"/>
          <w:color w:val="auto"/>
        </w:rPr>
        <w:tab/>
      </w:r>
      <w:r>
        <w:rPr>
          <w:rFonts w:ascii="Calibri" w:cs="Calibri" w:eastAsia="Calibri" w:hAnsi="Calibri"/>
          <w:sz w:val="20"/>
          <w:szCs w:val="20"/>
          <w:u w:val="single" w:color="auto"/>
          <w:color w:val="auto"/>
        </w:rPr>
        <w:t>Limitaton of Covered Executve’s Rights</w:t>
      </w:r>
      <w:r>
        <w:rPr>
          <w:rFonts w:ascii="Calibri" w:cs="Calibri" w:eastAsia="Calibri" w:hAnsi="Calibri"/>
          <w:sz w:val="20"/>
          <w:szCs w:val="20"/>
          <w:color w:val="auto"/>
        </w:rPr>
        <w:t>. Nothing in this Plan shall be construed as conferring upon the Covered Executve any</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right to contnue in the employment of Hawkins, nor shall it interfere with the rights of Hawkins to terminate the employment of the Covered Executve and/or to take any personnel acton afectng the Covered Executve without regard to the efect which such acton may have upon the Covered Executve as a recipient or prospectve recipient of benefts under this Plan. Any amounts payable hereunder shall not be deemed salary or other compensaton to the Covered Executve for the purposes of computng benefts to which the Covered Executve may be enttled under any other arrangement established by Hawkins for the beneft of its employees.</w:t>
      </w:r>
    </w:p>
    <w:p>
      <w:pPr>
        <w:spacing w:after="0" w:line="207"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20"/>
          <w:szCs w:val="20"/>
          <w:color w:val="auto"/>
        </w:rPr>
        <w:t>6.3</w:t>
      </w:r>
      <w:r>
        <w:rPr>
          <w:sz w:val="20"/>
          <w:szCs w:val="20"/>
          <w:color w:val="auto"/>
        </w:rPr>
        <w:tab/>
      </w:r>
      <w:r>
        <w:rPr>
          <w:rFonts w:ascii="Calibri" w:cs="Calibri" w:eastAsia="Calibri" w:hAnsi="Calibri"/>
          <w:sz w:val="20"/>
          <w:szCs w:val="20"/>
          <w:u w:val="single" w:color="auto"/>
          <w:color w:val="auto"/>
        </w:rPr>
        <w:t>Applicaton of Secton 4999 to Severance Benefts</w:t>
      </w:r>
      <w:r>
        <w:rPr>
          <w:rFonts w:ascii="Calibri" w:cs="Calibri" w:eastAsia="Calibri" w:hAnsi="Calibri"/>
          <w:sz w:val="20"/>
          <w:szCs w:val="20"/>
          <w:color w:val="auto"/>
        </w:rPr>
        <w:t>.</w:t>
      </w:r>
    </w:p>
    <w:p>
      <w:pPr>
        <w:spacing w:after="0" w:line="198" w:lineRule="exact"/>
        <w:rPr>
          <w:sz w:val="20"/>
          <w:szCs w:val="20"/>
          <w:color w:val="auto"/>
        </w:rPr>
      </w:pPr>
    </w:p>
    <w:p>
      <w:pPr>
        <w:ind w:left="1120" w:right="20" w:hanging="480"/>
        <w:spacing w:after="0" w:line="232" w:lineRule="auto"/>
        <w:tabs>
          <w:tab w:leader="none" w:pos="1120" w:val="left"/>
        </w:tabs>
        <w:numPr>
          <w:ilvl w:val="0"/>
          <w:numId w:val="15"/>
        </w:numPr>
        <w:rPr>
          <w:rFonts w:ascii="Calibri" w:cs="Calibri" w:eastAsia="Calibri" w:hAnsi="Calibri"/>
          <w:sz w:val="20"/>
          <w:szCs w:val="20"/>
          <w:color w:val="auto"/>
        </w:rPr>
      </w:pPr>
      <w:r>
        <w:rPr>
          <w:rFonts w:ascii="Calibri" w:cs="Calibri" w:eastAsia="Calibri" w:hAnsi="Calibri"/>
          <w:sz w:val="20"/>
          <w:szCs w:val="20"/>
          <w:u w:val="single" w:color="auto"/>
          <w:color w:val="auto"/>
        </w:rPr>
        <w:t>Excise Tax Adjustment to Severance Benefts</w:t>
      </w:r>
      <w:r>
        <w:rPr>
          <w:rFonts w:ascii="Calibri" w:cs="Calibri" w:eastAsia="Calibri" w:hAnsi="Calibri"/>
          <w:sz w:val="20"/>
          <w:szCs w:val="20"/>
          <w:color w:val="auto"/>
        </w:rPr>
        <w:t>. Notwithstanding any other provisions of this Plan, in the event that any payment or beneft received or to be received by a Covered Executve, whether pursuant to the terms of this Agreement or any other plan, arrangement or agreement) (all such payments and benefts, including the Severance Benefts, being hereinafer referred to as the “Total Payments”) would be subject (in whole or part), to an excise tax under Code § 4999 (the “Excise Tax”), then, afer taking into account any reducton in the Total Payments provided by reason of Code § 280G in such other plan, arrangement or agreement, the payments under this Plan that do not consttute deferred compensaton within the meaning of Code § 409A shall frst be reduced, and all other payments that do consttute deferred compensaton within the meaning of Code § 409A shall thereafer be reduced (beginning with those payments last to be paid), to the extent necessary so that no porton of the Total Payments is subject to the Excise Tax, but only if (i) the net amount of such Total Payments, as so reduced (and afer subtractng the net amount of federal, state and local income taxes on such reduced Total Payments and afer taking into account the phase out of itemized deductons and personal exemptons atributable to such reduced Total Payments) is greater than or equal to (ii) the net amount of such Total Payments without such reducton (but afer subtractng the net amount of federal, state and local income taxes on such Total Payments and the amount of Excise Tax to which the Covered Executve would be subject in respect of such unreduced Total Payments and afer taking into account the phase out of itemized deductons and personal exemptons atributable to such unreduced Total Payments). In no event shall the Covered Executve have the discreton to determine the order in which payments under this Plan shall be reduced in accordance with the preceding sentence.</w:t>
      </w:r>
    </w:p>
    <w:p>
      <w:pPr>
        <w:sectPr>
          <w:pgSz w:w="11900" w:h="16838" w:orient="portrait"/>
          <w:cols w:equalWidth="0" w:num="1">
            <w:col w:w="10860"/>
          </w:cols>
          <w:pgMar w:left="660" w:top="1064" w:right="379" w:bottom="1440" w:gutter="0" w:footer="0" w:header="0"/>
        </w:sectPr>
      </w:pPr>
    </w:p>
    <w:bookmarkStart w:id="45" w:name="page46"/>
    <w:bookmarkEnd w:id="45"/>
    <w:p>
      <w:pPr>
        <w:ind w:left="640" w:hanging="480"/>
        <w:spacing w:after="0" w:line="218" w:lineRule="auto"/>
        <w:tabs>
          <w:tab w:leader="none" w:pos="635" w:val="left"/>
        </w:tabs>
        <w:numPr>
          <w:ilvl w:val="0"/>
          <w:numId w:val="16"/>
        </w:numPr>
        <w:rPr>
          <w:rFonts w:ascii="Calibri" w:cs="Calibri" w:eastAsia="Calibri" w:hAnsi="Calibri"/>
          <w:sz w:val="20"/>
          <w:szCs w:val="20"/>
          <w:color w:val="auto"/>
        </w:rPr>
      </w:pPr>
      <w:r>
        <w:rPr>
          <w:rFonts w:ascii="Calibri" w:cs="Calibri" w:eastAsia="Calibri" w:hAnsi="Calibri"/>
          <w:sz w:val="20"/>
          <w:szCs w:val="20"/>
          <w:u w:val="single" w:color="auto"/>
          <w:color w:val="auto"/>
        </w:rPr>
        <w:t>Excise Tax Determinaton</w:t>
      </w:r>
      <w:r>
        <w:rPr>
          <w:rFonts w:ascii="Calibri" w:cs="Calibri" w:eastAsia="Calibri" w:hAnsi="Calibri"/>
          <w:sz w:val="20"/>
          <w:szCs w:val="20"/>
          <w:color w:val="auto"/>
        </w:rPr>
        <w:t>. For purposes of determining whether and the extent to which the Total Payments will be subject to the Excise Tax and the amount of such Excise Tax, (i) no porton of the Total Payments the receipt or enjoyment of which the Covered Executve shall have waived at such tme and in such manner as not to consttute a “payment” within the meaning of Code § 280G(b) of the Code shall be taken into account, (ii) no porton of the Total Payments shall be taken into account which, in the opinion of tax counsel (“Tax Counsel”) reasonably acceptable to the Covered Executve and selected by the accountng frm (the “Auditor”) which was, immediately prior to the Change in Control, Hawkins’ independent auditor, does not consttute a “parachute payment” within the meaning of Code § 280G(b)(2) (including by reason of Code § 280G(b)(4)(A)) and, in calculatng the Excise Tax, no porton of such Total Payments shall be taken into account which, in the opinion of Tax Counsel, consttutes reasonable compensaton for services actually rendered, within the meaning of Code § 280G(b)(4)(B), in excess of the Covered Executve’s “base amount” allocable to such reasonable compensaton, and (iii) the value of any non-cash beneft or any deferred payment or beneft included in the Total Payments shall be determined by the Auditor in accordance with the principles of Code §§ 280G(d)(3) and (4). For purposes of this Sec. 6.3, (i) the Covered Executve shall be deemed to pay federal income tax at the highest marginal rate of federal income taxaton in the calendar year in which the applicable Total Payment is to be made and state and local income taxes at the highest marginal rate of taxaton in the state and locality of the Covered Executve’s residence in the calendar year in which the applicable Total Payment is to be made, net of the maximum reducton in federal income taxes which could be obtained from deducton of such state and local taxes and (ii) except to the extent that the Covered Executve otherwise notfes Hawkins, the Covered Executve shall be deemed to be subject to the loss of itemized deductons and personal exemptons to the maximum extent provided by the Code for each dollar of incremental income.</w:t>
      </w:r>
    </w:p>
    <w:p>
      <w:pPr>
        <w:spacing w:after="0" w:line="208" w:lineRule="exact"/>
        <w:rPr>
          <w:rFonts w:ascii="Calibri" w:cs="Calibri" w:eastAsia="Calibri" w:hAnsi="Calibri"/>
          <w:sz w:val="20"/>
          <w:szCs w:val="20"/>
          <w:color w:val="auto"/>
        </w:rPr>
      </w:pPr>
    </w:p>
    <w:p>
      <w:pPr>
        <w:ind w:left="640" w:right="60" w:hanging="480"/>
        <w:spacing w:after="0" w:line="220" w:lineRule="auto"/>
        <w:tabs>
          <w:tab w:leader="none" w:pos="642" w:val="left"/>
        </w:tabs>
        <w:numPr>
          <w:ilvl w:val="0"/>
          <w:numId w:val="16"/>
        </w:numPr>
        <w:rPr>
          <w:rFonts w:ascii="Calibri" w:cs="Calibri" w:eastAsia="Calibri" w:hAnsi="Calibri"/>
          <w:sz w:val="20"/>
          <w:szCs w:val="20"/>
          <w:color w:val="auto"/>
        </w:rPr>
      </w:pPr>
      <w:r>
        <w:rPr>
          <w:rFonts w:ascii="Calibri" w:cs="Calibri" w:eastAsia="Calibri" w:hAnsi="Calibri"/>
          <w:sz w:val="20"/>
          <w:szCs w:val="20"/>
          <w:u w:val="single" w:color="auto"/>
          <w:color w:val="auto"/>
        </w:rPr>
        <w:t>Payments Calculaton Notce</w:t>
      </w:r>
      <w:r>
        <w:rPr>
          <w:rFonts w:ascii="Calibri" w:cs="Calibri" w:eastAsia="Calibri" w:hAnsi="Calibri"/>
          <w:sz w:val="20"/>
          <w:szCs w:val="20"/>
          <w:color w:val="auto"/>
        </w:rPr>
        <w:t>. At the tme that payments are made under this Plan, Hawkins shall provide the Covered Executve with a writen statement setng forth the manner in which such payments were calculated and the basis for such calculatons including, without limitaton, any opinions or other advice Hawkins has received from Tax Counsel, the Auditor or other advisors or consultants (and any such opinions or advice which are in writng shall be atached to the statement). If the Covered Executve objects to Hawkins’ calculatons, Hawkins shall pay to the Covered Executve such porton of the Total Payments (up to 100% thereof) as the Covered Executve determines is necessary to result in the proper applicaton of subsecton (a) of this Sec. 6.3.</w:t>
      </w:r>
    </w:p>
    <w:p>
      <w:pPr>
        <w:spacing w:after="0" w:line="202" w:lineRule="exact"/>
        <w:rPr>
          <w:sz w:val="20"/>
          <w:szCs w:val="20"/>
          <w:color w:val="auto"/>
        </w:rPr>
      </w:pPr>
    </w:p>
    <w:p>
      <w:pPr>
        <w:ind w:right="20" w:hanging="485"/>
        <w:spacing w:after="0" w:line="220" w:lineRule="auto"/>
        <w:rPr>
          <w:sz w:val="20"/>
          <w:szCs w:val="20"/>
          <w:color w:val="auto"/>
        </w:rPr>
      </w:pPr>
      <w:r>
        <w:rPr>
          <w:rFonts w:ascii="Calibri" w:cs="Calibri" w:eastAsia="Calibri" w:hAnsi="Calibri"/>
          <w:sz w:val="20"/>
          <w:szCs w:val="20"/>
          <w:color w:val="auto"/>
        </w:rPr>
        <w:t>6.4</w:t>
      </w:r>
      <w:r>
        <w:rPr>
          <w:sz w:val="20"/>
          <w:szCs w:val="20"/>
          <w:color w:val="auto"/>
        </w:rPr>
        <w:t xml:space="preserve"> </w:t>
      </w:r>
      <w:r>
        <w:rPr>
          <w:rFonts w:ascii="Calibri" w:cs="Calibri" w:eastAsia="Calibri" w:hAnsi="Calibri"/>
          <w:sz w:val="20"/>
          <w:szCs w:val="20"/>
          <w:u w:val="single" w:color="auto"/>
          <w:color w:val="auto"/>
        </w:rPr>
        <w:t>Legal Fees and Expenses</w:t>
      </w:r>
      <w:r>
        <w:rPr>
          <w:rFonts w:ascii="Calibri" w:cs="Calibri" w:eastAsia="Calibri" w:hAnsi="Calibri"/>
          <w:sz w:val="20"/>
          <w:szCs w:val="20"/>
          <w:color w:val="auto"/>
        </w:rPr>
        <w:t>. Hawkins shall pay to the Covered Executve all legal fees and expenses incurred by the Covered</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Executve in disputng in good faith any issue hereunder relatng to the terminaton of the Covered Executve’s employment, in seeking in good faith to obtain or enforce any beneft or right provided by this Plan, or in connecton with any tax audit or proceeding to the extent atributable to the applicaton of Code § 4999 to any payment or beneft provided hereunder. Such payments shall be made within ten business days afer delivery of the Covered Executve’s writen request for payment accompanied with such evidence of fees and expenses incurred as Hawkins reasonably may require, subject to the limits of Sec. 6.9. If Hawkins shall have reimbursed the Covered Executve for legal fees and expenses and it is later determined that the Covered Executve was not actng in good faith, all amounts paid on behalf of, or reimbursed to, the Covered Executve shall be promptly refunded to Hawkins.</w:t>
      </w:r>
    </w:p>
    <w:p>
      <w:pPr>
        <w:sectPr>
          <w:pgSz w:w="11900" w:h="16838" w:orient="portrait"/>
          <w:cols w:equalWidth="0" w:num="1">
            <w:col w:w="10380"/>
          </w:cols>
          <w:pgMar w:left="1140" w:top="1074" w:right="379" w:bottom="1440" w:gutter="0" w:footer="0" w:header="0"/>
        </w:sectPr>
      </w:pPr>
    </w:p>
    <w:bookmarkStart w:id="46" w:name="page47"/>
    <w:bookmarkEnd w:id="46"/>
    <w:p>
      <w:pPr>
        <w:ind w:right="120" w:hanging="485"/>
        <w:spacing w:after="0" w:line="218" w:lineRule="auto"/>
        <w:rPr>
          <w:sz w:val="20"/>
          <w:szCs w:val="20"/>
          <w:color w:val="auto"/>
        </w:rPr>
      </w:pPr>
      <w:r>
        <w:rPr>
          <w:rFonts w:ascii="Calibri" w:cs="Calibri" w:eastAsia="Calibri" w:hAnsi="Calibri"/>
          <w:sz w:val="20"/>
          <w:szCs w:val="20"/>
          <w:color w:val="auto"/>
        </w:rPr>
        <w:t>6.5</w:t>
      </w:r>
      <w:r>
        <w:rPr>
          <w:sz w:val="20"/>
          <w:szCs w:val="20"/>
          <w:color w:val="auto"/>
        </w:rPr>
        <w:t xml:space="preserve"> </w:t>
      </w:r>
      <w:r>
        <w:rPr>
          <w:rFonts w:ascii="Calibri" w:cs="Calibri" w:eastAsia="Calibri" w:hAnsi="Calibri"/>
          <w:sz w:val="20"/>
          <w:szCs w:val="20"/>
          <w:u w:val="single" w:color="auto"/>
          <w:color w:val="auto"/>
        </w:rPr>
        <w:t>Right of Ofset</w:t>
      </w:r>
      <w:r>
        <w:rPr>
          <w:rFonts w:ascii="Calibri" w:cs="Calibri" w:eastAsia="Calibri" w:hAnsi="Calibri"/>
          <w:sz w:val="20"/>
          <w:szCs w:val="20"/>
          <w:color w:val="auto"/>
        </w:rPr>
        <w:t>. Hawkins reserves the right to withhold and set of from any payments to a Covered Executve any amount</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owed to Hawkins or an Afliate by the Covered Executve, whether such obligaton is matured or unmatured and however arising, at the tme of (and with priority over) any such distributon or payment to the extent that the retenton or exercise of such right does not have adverse tax consequences to the Covered Executve under Code § 409A (for clarity, this ofset right is against amounts then due and payable and is not intended to accelerate payment of any amount). Hawkins further reserves the right to withhold and set of from the Covered Executve’s accrued beneft under the Plan (even if a payment is not then due and payable) any amount owed to Hawkins or an Afliate by the Covered Executve, as satsfacton of such obligaton of the Covered Executve, where such obligaton is incurred in the ordinary course of the service relatonship between the Covered Executve and Hawkins or the Afliate, the entre amount of reducton in any of Hawkins’ or the Afliate’s taxable years does not exceed fve thousand dollars ($5,000), and the reducton is made at the same tme and in the same amount as the obligaton otherwise would have been due and collected from the Covered Executve.</w:t>
      </w:r>
    </w:p>
    <w:p>
      <w:pPr>
        <w:spacing w:after="0" w:line="220" w:lineRule="exact"/>
        <w:rPr>
          <w:sz w:val="20"/>
          <w:szCs w:val="20"/>
          <w:color w:val="auto"/>
        </w:rPr>
      </w:pPr>
    </w:p>
    <w:p>
      <w:pPr>
        <w:ind w:right="20" w:hanging="485"/>
        <w:spacing w:after="0" w:line="218" w:lineRule="auto"/>
        <w:rPr>
          <w:sz w:val="20"/>
          <w:szCs w:val="20"/>
          <w:color w:val="auto"/>
        </w:rPr>
      </w:pPr>
      <w:r>
        <w:rPr>
          <w:rFonts w:ascii="Calibri" w:cs="Calibri" w:eastAsia="Calibri" w:hAnsi="Calibri"/>
          <w:sz w:val="20"/>
          <w:szCs w:val="20"/>
          <w:color w:val="auto"/>
        </w:rPr>
        <w:t>6.6</w:t>
      </w:r>
      <w:r>
        <w:rPr>
          <w:sz w:val="20"/>
          <w:szCs w:val="20"/>
          <w:color w:val="auto"/>
        </w:rPr>
        <w:t xml:space="preserve"> </w:t>
      </w:r>
      <w:r>
        <w:rPr>
          <w:rFonts w:ascii="Calibri" w:cs="Calibri" w:eastAsia="Calibri" w:hAnsi="Calibri"/>
          <w:sz w:val="20"/>
          <w:szCs w:val="20"/>
          <w:u w:val="single" w:color="auto"/>
          <w:color w:val="auto"/>
        </w:rPr>
        <w:t>Nonalienaton of Benefts</w:t>
      </w:r>
      <w:r>
        <w:rPr>
          <w:rFonts w:ascii="Calibri" w:cs="Calibri" w:eastAsia="Calibri" w:hAnsi="Calibri"/>
          <w:sz w:val="20"/>
          <w:szCs w:val="20"/>
          <w:color w:val="auto"/>
        </w:rPr>
        <w:t>. Except as expressly provided herein, the Covered Executve shall not have the power or right to</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transfer, alienate or otherwise encumber his or her interest under the Plan. Hawkins’ obligatons under the Plan are not assignable or transferable except to (a) any corporaton or partnership which acquires all or substantally all of Hawkins’ assets, or (b) any corporaton or partnership into which Hawkins may be merged or consolidated. The provisions of this Plan shall inure solely to the beneft of the Covered Executve.</w:t>
      </w:r>
    </w:p>
    <w:p>
      <w:pPr>
        <w:spacing w:after="0" w:line="214" w:lineRule="exact"/>
        <w:rPr>
          <w:sz w:val="20"/>
          <w:szCs w:val="20"/>
          <w:color w:val="auto"/>
        </w:rPr>
      </w:pPr>
    </w:p>
    <w:p>
      <w:pPr>
        <w:ind w:right="160" w:hanging="485"/>
        <w:spacing w:after="0" w:line="221" w:lineRule="auto"/>
        <w:rPr>
          <w:sz w:val="20"/>
          <w:szCs w:val="20"/>
          <w:color w:val="auto"/>
        </w:rPr>
      </w:pPr>
      <w:r>
        <w:rPr>
          <w:rFonts w:ascii="Calibri" w:cs="Calibri" w:eastAsia="Calibri" w:hAnsi="Calibri"/>
          <w:sz w:val="20"/>
          <w:szCs w:val="20"/>
          <w:color w:val="auto"/>
        </w:rPr>
        <w:t>6.7</w:t>
      </w:r>
      <w:r>
        <w:rPr>
          <w:sz w:val="20"/>
          <w:szCs w:val="20"/>
          <w:color w:val="auto"/>
        </w:rPr>
        <w:t xml:space="preserve"> </w:t>
      </w:r>
      <w:r>
        <w:rPr>
          <w:rFonts w:ascii="Calibri" w:cs="Calibri" w:eastAsia="Calibri" w:hAnsi="Calibri"/>
          <w:sz w:val="20"/>
          <w:szCs w:val="20"/>
          <w:u w:val="single" w:color="auto"/>
          <w:color w:val="auto"/>
        </w:rPr>
        <w:t>Cooperaton by Covered Executve</w:t>
      </w:r>
      <w:r>
        <w:rPr>
          <w:rFonts w:ascii="Calibri" w:cs="Calibri" w:eastAsia="Calibri" w:hAnsi="Calibri"/>
          <w:sz w:val="20"/>
          <w:szCs w:val="20"/>
          <w:color w:val="auto"/>
        </w:rPr>
        <w:t>. The Covered Executve shall cooperate with Hawkins by furnishing any and all informaton</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reasonably requested by Hawkins in order to facilitate the payment of benefts hereunder.</w:t>
      </w:r>
    </w:p>
    <w:p>
      <w:pPr>
        <w:spacing w:after="0" w:line="212" w:lineRule="exact"/>
        <w:rPr>
          <w:sz w:val="20"/>
          <w:szCs w:val="20"/>
          <w:color w:val="auto"/>
        </w:rPr>
      </w:pPr>
    </w:p>
    <w:p>
      <w:pPr>
        <w:ind w:right="180" w:hanging="485"/>
        <w:spacing w:after="0" w:line="218" w:lineRule="auto"/>
        <w:rPr>
          <w:sz w:val="20"/>
          <w:szCs w:val="20"/>
          <w:color w:val="auto"/>
        </w:rPr>
      </w:pPr>
      <w:r>
        <w:rPr>
          <w:rFonts w:ascii="Calibri" w:cs="Calibri" w:eastAsia="Calibri" w:hAnsi="Calibri"/>
          <w:sz w:val="20"/>
          <w:szCs w:val="20"/>
          <w:color w:val="auto"/>
        </w:rPr>
        <w:t>6.8</w:t>
      </w:r>
      <w:r>
        <w:rPr>
          <w:sz w:val="20"/>
          <w:szCs w:val="20"/>
          <w:color w:val="auto"/>
        </w:rPr>
        <w:t xml:space="preserve"> </w:t>
      </w:r>
      <w:r>
        <w:rPr>
          <w:rFonts w:ascii="Calibri" w:cs="Calibri" w:eastAsia="Calibri" w:hAnsi="Calibri"/>
          <w:sz w:val="20"/>
          <w:szCs w:val="20"/>
          <w:u w:val="single" w:color="auto"/>
          <w:color w:val="auto"/>
        </w:rPr>
        <w:t>Withholding Taxes</w:t>
      </w:r>
      <w:r>
        <w:rPr>
          <w:rFonts w:ascii="Calibri" w:cs="Calibri" w:eastAsia="Calibri" w:hAnsi="Calibri"/>
          <w:sz w:val="20"/>
          <w:szCs w:val="20"/>
          <w:color w:val="auto"/>
        </w:rPr>
        <w:t>. Hawkins may make such provisions and take such acton as it deems necessary or appropriate for the</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withholding of any taxes which Hawkins is required by any law or regulaton of any governmental authority, whether Federal, state or local, to withhold in connecton with any benefts under the Plan, including, but not limited to, the withholding of appropriate sums from any amount otherwise payable to the Covered Executve. The Covered Executve, however, shall be responsible for the payment of all individual tax liabilites relatng to any such benefts.</w:t>
      </w:r>
    </w:p>
    <w:p>
      <w:pPr>
        <w:spacing w:after="0" w:line="214" w:lineRule="exact"/>
        <w:rPr>
          <w:sz w:val="20"/>
          <w:szCs w:val="20"/>
          <w:color w:val="auto"/>
        </w:rPr>
      </w:pPr>
    </w:p>
    <w:p>
      <w:pPr>
        <w:ind w:hanging="485"/>
        <w:spacing w:after="0" w:line="218" w:lineRule="auto"/>
        <w:rPr>
          <w:sz w:val="20"/>
          <w:szCs w:val="20"/>
          <w:color w:val="auto"/>
        </w:rPr>
      </w:pPr>
      <w:r>
        <w:rPr>
          <w:rFonts w:ascii="Calibri" w:cs="Calibri" w:eastAsia="Calibri" w:hAnsi="Calibri"/>
          <w:sz w:val="20"/>
          <w:szCs w:val="20"/>
          <w:color w:val="auto"/>
        </w:rPr>
        <w:t>6.9</w:t>
      </w:r>
      <w:r>
        <w:rPr>
          <w:sz w:val="20"/>
          <w:szCs w:val="20"/>
          <w:color w:val="auto"/>
        </w:rPr>
        <w:t xml:space="preserve"> </w:t>
      </w:r>
      <w:r>
        <w:rPr>
          <w:rFonts w:ascii="Calibri" w:cs="Calibri" w:eastAsia="Calibri" w:hAnsi="Calibri"/>
          <w:sz w:val="20"/>
          <w:szCs w:val="20"/>
          <w:u w:val="single" w:color="auto"/>
          <w:color w:val="auto"/>
        </w:rPr>
        <w:t>Compliance with Code § 409A</w:t>
      </w:r>
      <w:r>
        <w:rPr>
          <w:rFonts w:ascii="Calibri" w:cs="Calibri" w:eastAsia="Calibri" w:hAnsi="Calibri"/>
          <w:sz w:val="20"/>
          <w:szCs w:val="20"/>
          <w:color w:val="auto"/>
        </w:rPr>
        <w:t>. This Plan and the payments hereunder are intended to be exempt from or to satsfy the</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requirements of Code § 409A(a)(2), (3) and (4), including the exceptons for short-term deferrals, separaton pay arrangements, reimbursements, and in-kind distributons, and shall be interpreted and administered accordingly. Each payment under this Plan is intended to be treated as one of a series of separate payments for purposes of Code § 409A and Treas. Reg. § 1.409A-2(b)(2)(iii) (or any similar or successor provisions). To the extent that payments under this Plan are subject to Code § 409A and the Covered Executve is a “specifed employee” (as defned in Code § 409A) as of the Date of Terminaton, distributons to the Covered Executve may not be made before the date that is six months afer the Date of Terminaton or, if earlier, the date of the Covered Executve’s death. Payments to which the Covered Executve would otherwise be enttled during the frst six months following the date of terminaton will be accumulated and paid on the frst day of the seventh month following the Date of Terminaton (or the Covered Executve’s death, if earlier). To the extent that payments under this Plan are payments under a “reimbursement plan” subject to Code § 409A, the right to reimbursement may not be exchanged for cash or any other beneft, the amount of expenses eligible for reimbursement in one calendar year shall not afect the expenses eligible for reimbursement in any other calendar year, and the reimbursement of any eligible expense shall be made pursuant to Hawkins’ normal policies and procedures for expense reimbursement, which shall be in any event no later than the last day of the calendar year following the calendar year in which the expense was incurred.</w:t>
      </w:r>
    </w:p>
    <w:p>
      <w:pPr>
        <w:spacing w:after="0" w:line="211" w:lineRule="exact"/>
        <w:rPr>
          <w:sz w:val="20"/>
          <w:szCs w:val="20"/>
          <w:color w:val="auto"/>
        </w:rPr>
      </w:pPr>
    </w:p>
    <w:p>
      <w:pPr>
        <w:ind w:right="400" w:hanging="485"/>
        <w:spacing w:after="0" w:line="221" w:lineRule="auto"/>
        <w:rPr>
          <w:sz w:val="20"/>
          <w:szCs w:val="20"/>
          <w:color w:val="auto"/>
        </w:rPr>
      </w:pPr>
      <w:r>
        <w:rPr>
          <w:rFonts w:ascii="Calibri" w:cs="Calibri" w:eastAsia="Calibri" w:hAnsi="Calibri"/>
          <w:sz w:val="20"/>
          <w:szCs w:val="20"/>
          <w:color w:val="auto"/>
        </w:rPr>
        <w:t xml:space="preserve">6.10 </w:t>
      </w:r>
      <w:r>
        <w:rPr>
          <w:rFonts w:ascii="Calibri" w:cs="Calibri" w:eastAsia="Calibri" w:hAnsi="Calibri"/>
          <w:sz w:val="20"/>
          <w:szCs w:val="20"/>
          <w:u w:val="single" w:color="auto"/>
          <w:color w:val="auto"/>
        </w:rPr>
        <w:t>Unfunded Plan</w:t>
      </w:r>
      <w:r>
        <w:rPr>
          <w:rFonts w:ascii="Calibri" w:cs="Calibri" w:eastAsia="Calibri" w:hAnsi="Calibri"/>
          <w:sz w:val="20"/>
          <w:szCs w:val="20"/>
          <w:color w:val="auto"/>
        </w:rPr>
        <w:t>. The Plan shall not be funded, and no Covered Executve shall have any right to, or interest in, any assets of Hawkins or its Afliates or subsidiaries.</w:t>
      </w:r>
    </w:p>
    <w:p>
      <w:pPr>
        <w:sectPr>
          <w:pgSz w:w="11900" w:h="16838" w:orient="portrait"/>
          <w:cols w:equalWidth="0" w:num="1">
            <w:col w:w="10420"/>
          </w:cols>
          <w:pgMar w:left="1140" w:top="1074" w:right="339" w:bottom="1440" w:gutter="0" w:footer="0" w:header="0"/>
        </w:sectPr>
      </w:pPr>
    </w:p>
    <w:bookmarkStart w:id="47" w:name="page48"/>
    <w:bookmarkEnd w:id="47"/>
    <w:p>
      <w:pPr>
        <w:ind w:left="480" w:right="20" w:hanging="485"/>
        <w:spacing w:after="0" w:line="222" w:lineRule="auto"/>
        <w:rPr>
          <w:sz w:val="20"/>
          <w:szCs w:val="20"/>
          <w:color w:val="auto"/>
        </w:rPr>
      </w:pPr>
      <w:r>
        <w:rPr>
          <w:rFonts w:ascii="Calibri" w:cs="Calibri" w:eastAsia="Calibri" w:hAnsi="Calibri"/>
          <w:sz w:val="20"/>
          <w:szCs w:val="20"/>
          <w:color w:val="auto"/>
        </w:rPr>
        <w:t xml:space="preserve">6.11 </w:t>
      </w:r>
      <w:r>
        <w:rPr>
          <w:rFonts w:ascii="Calibri" w:cs="Calibri" w:eastAsia="Calibri" w:hAnsi="Calibri"/>
          <w:sz w:val="20"/>
          <w:szCs w:val="20"/>
          <w:u w:val="single" w:color="auto"/>
          <w:color w:val="auto"/>
        </w:rPr>
        <w:t>Severability</w:t>
      </w:r>
      <w:r>
        <w:rPr>
          <w:rFonts w:ascii="Calibri" w:cs="Calibri" w:eastAsia="Calibri" w:hAnsi="Calibri"/>
          <w:sz w:val="20"/>
          <w:szCs w:val="20"/>
          <w:color w:val="auto"/>
        </w:rPr>
        <w:t>. If any provision of this Plan is held unenforceable, the remainder of the Plan shall contnue in full force and efect without regard to such unenforceable provision and shall be applied as though the unenforceable provision were not contained in the Plan.</w:t>
      </w:r>
    </w:p>
    <w:p>
      <w:pPr>
        <w:spacing w:after="0" w:line="200" w:lineRule="exact"/>
        <w:rPr>
          <w:sz w:val="20"/>
          <w:szCs w:val="20"/>
          <w:color w:val="auto"/>
        </w:rPr>
      </w:pPr>
    </w:p>
    <w:p>
      <w:pPr>
        <w:jc w:val="center"/>
        <w:ind w:right="120"/>
        <w:spacing w:after="0" w:line="228" w:lineRule="auto"/>
        <w:rPr>
          <w:sz w:val="20"/>
          <w:szCs w:val="20"/>
          <w:color w:val="auto"/>
        </w:rPr>
      </w:pPr>
      <w:r>
        <w:rPr>
          <w:rFonts w:ascii="Calibri" w:cs="Calibri" w:eastAsia="Calibri" w:hAnsi="Calibri"/>
          <w:sz w:val="20"/>
          <w:szCs w:val="20"/>
          <w:color w:val="auto"/>
        </w:rPr>
        <w:t xml:space="preserve">6.12  </w:t>
      </w:r>
      <w:r>
        <w:rPr>
          <w:rFonts w:ascii="Calibri" w:cs="Calibri" w:eastAsia="Calibri" w:hAnsi="Calibri"/>
          <w:sz w:val="20"/>
          <w:szCs w:val="20"/>
          <w:u w:val="single" w:color="auto"/>
          <w:color w:val="auto"/>
        </w:rPr>
        <w:t>Governing Law</w:t>
      </w:r>
      <w:r>
        <w:rPr>
          <w:rFonts w:ascii="Calibri" w:cs="Calibri" w:eastAsia="Calibri" w:hAnsi="Calibri"/>
          <w:sz w:val="20"/>
          <w:szCs w:val="20"/>
          <w:color w:val="auto"/>
        </w:rPr>
        <w:t>. This Plan shall be construed in accordance with and governed by the laws of the State of Minnesota, without reference to the principles of confict of laws and to the extent not superseded by the laws of the United States.&lt;span&gt;</w:t>
      </w:r>
    </w:p>
    <w:p>
      <w:pPr>
        <w:spacing w:after="0" w:line="198" w:lineRule="exact"/>
        <w:rPr>
          <w:sz w:val="20"/>
          <w:szCs w:val="20"/>
          <w:color w:val="auto"/>
        </w:rPr>
      </w:pPr>
    </w:p>
    <w:p>
      <w:pPr>
        <w:ind w:left="480" w:right="300" w:hanging="485"/>
        <w:spacing w:after="0" w:line="228" w:lineRule="auto"/>
        <w:rPr>
          <w:sz w:val="20"/>
          <w:szCs w:val="20"/>
          <w:color w:val="auto"/>
        </w:rPr>
      </w:pPr>
      <w:r>
        <w:rPr>
          <w:rFonts w:ascii="Calibri" w:cs="Calibri" w:eastAsia="Calibri" w:hAnsi="Calibri"/>
          <w:sz w:val="20"/>
          <w:szCs w:val="20"/>
          <w:color w:val="auto"/>
        </w:rPr>
        <w:t xml:space="preserve">6.13 </w:t>
      </w:r>
      <w:r>
        <w:rPr>
          <w:rFonts w:ascii="Calibri" w:cs="Calibri" w:eastAsia="Calibri" w:hAnsi="Calibri"/>
          <w:sz w:val="20"/>
          <w:szCs w:val="20"/>
          <w:u w:val="single" w:color="auto"/>
          <w:color w:val="auto"/>
        </w:rPr>
        <w:t>Jurisdicton and Venue</w:t>
      </w:r>
      <w:r>
        <w:rPr>
          <w:rFonts w:ascii="Calibri" w:cs="Calibri" w:eastAsia="Calibri" w:hAnsi="Calibri"/>
          <w:sz w:val="20"/>
          <w:szCs w:val="20"/>
          <w:color w:val="auto"/>
        </w:rPr>
        <w:t>. Any acton involving claims of a breach of this Plan must be brought exclusively in the courts of the State of Minnesota and/or the United States District Court, District of Minnesota.</w:t>
      </w:r>
    </w:p>
    <w:p>
      <w:pPr>
        <w:spacing w:after="0" w:line="211" w:lineRule="exact"/>
        <w:rPr>
          <w:sz w:val="20"/>
          <w:szCs w:val="20"/>
          <w:color w:val="auto"/>
        </w:rPr>
      </w:pPr>
    </w:p>
    <w:p>
      <w:pPr>
        <w:ind w:left="480" w:hanging="485"/>
        <w:spacing w:after="0" w:line="228" w:lineRule="auto"/>
        <w:rPr>
          <w:sz w:val="20"/>
          <w:szCs w:val="20"/>
          <w:color w:val="auto"/>
        </w:rPr>
      </w:pPr>
      <w:r>
        <w:rPr>
          <w:rFonts w:ascii="Calibri" w:cs="Calibri" w:eastAsia="Calibri" w:hAnsi="Calibri"/>
          <w:sz w:val="20"/>
          <w:szCs w:val="20"/>
          <w:color w:val="auto"/>
        </w:rPr>
        <w:t xml:space="preserve">6.14 </w:t>
      </w:r>
      <w:r>
        <w:rPr>
          <w:rFonts w:ascii="Calibri" w:cs="Calibri" w:eastAsia="Calibri" w:hAnsi="Calibri"/>
          <w:sz w:val="20"/>
          <w:szCs w:val="20"/>
          <w:u w:val="single" w:color="auto"/>
          <w:color w:val="auto"/>
        </w:rPr>
        <w:t>Headings</w:t>
      </w:r>
      <w:r>
        <w:rPr>
          <w:rFonts w:ascii="Calibri" w:cs="Calibri" w:eastAsia="Calibri" w:hAnsi="Calibri"/>
          <w:sz w:val="20"/>
          <w:szCs w:val="20"/>
          <w:color w:val="auto"/>
        </w:rPr>
        <w:t>. Headings are inserted in this Plan for convenience of reference only and are to be ignored in the constructon of the provisions of the Plan.</w:t>
      </w:r>
    </w:p>
    <w:p>
      <w:pPr>
        <w:spacing w:after="0" w:line="211" w:lineRule="exact"/>
        <w:rPr>
          <w:sz w:val="20"/>
          <w:szCs w:val="20"/>
          <w:color w:val="auto"/>
        </w:rPr>
      </w:pPr>
    </w:p>
    <w:p>
      <w:pPr>
        <w:ind w:left="480" w:right="60" w:hanging="485"/>
        <w:spacing w:after="0" w:line="223" w:lineRule="auto"/>
        <w:rPr>
          <w:sz w:val="20"/>
          <w:szCs w:val="20"/>
          <w:color w:val="auto"/>
        </w:rPr>
      </w:pPr>
      <w:r>
        <w:rPr>
          <w:rFonts w:ascii="Calibri" w:cs="Calibri" w:eastAsia="Calibri" w:hAnsi="Calibri"/>
          <w:sz w:val="20"/>
          <w:szCs w:val="20"/>
          <w:color w:val="auto"/>
        </w:rPr>
        <w:t xml:space="preserve">6.15 </w:t>
      </w:r>
      <w:r>
        <w:rPr>
          <w:rFonts w:ascii="Calibri" w:cs="Calibri" w:eastAsia="Calibri" w:hAnsi="Calibri"/>
          <w:sz w:val="20"/>
          <w:szCs w:val="20"/>
          <w:u w:val="single" w:color="auto"/>
          <w:color w:val="auto"/>
        </w:rPr>
        <w:t>Notce</w:t>
      </w:r>
      <w:r>
        <w:rPr>
          <w:rFonts w:ascii="Calibri" w:cs="Calibri" w:eastAsia="Calibri" w:hAnsi="Calibri"/>
          <w:sz w:val="20"/>
          <w:szCs w:val="20"/>
          <w:color w:val="auto"/>
        </w:rPr>
        <w:t>. Any notce or fling required or permited to be given to Hawkins under this Plan shall be sufcient if in writng and hand delivered, or sent by registered or certfed mail, to the Human Resources Department, or to such other entty as Hawkins may designate from tme to tme. Such notce shall be deemed given as to the date of delivery, or, if delivery is made by mail, as of the date shown on the postmark on the receipt for registraton or certfcaton.</w:t>
      </w:r>
    </w:p>
    <w:p>
      <w:pPr>
        <w:spacing w:after="0" w:line="213" w:lineRule="exact"/>
        <w:rPr>
          <w:sz w:val="20"/>
          <w:szCs w:val="20"/>
          <w:color w:val="auto"/>
        </w:rPr>
      </w:pPr>
    </w:p>
    <w:p>
      <w:pPr>
        <w:ind w:left="480" w:right="120" w:hanging="485"/>
        <w:spacing w:after="0" w:line="226" w:lineRule="auto"/>
        <w:rPr>
          <w:sz w:val="20"/>
          <w:szCs w:val="20"/>
          <w:color w:val="auto"/>
        </w:rPr>
      </w:pPr>
      <w:r>
        <w:rPr>
          <w:rFonts w:ascii="Calibri" w:cs="Calibri" w:eastAsia="Calibri" w:hAnsi="Calibri"/>
          <w:sz w:val="20"/>
          <w:szCs w:val="20"/>
          <w:color w:val="auto"/>
        </w:rPr>
        <w:t xml:space="preserve">6.16 </w:t>
      </w:r>
      <w:r>
        <w:rPr>
          <w:rFonts w:ascii="Calibri" w:cs="Calibri" w:eastAsia="Calibri" w:hAnsi="Calibri"/>
          <w:sz w:val="20"/>
          <w:szCs w:val="20"/>
          <w:u w:val="single" w:color="auto"/>
          <w:color w:val="auto"/>
        </w:rPr>
        <w:t>Successors</w:t>
      </w:r>
      <w:r>
        <w:rPr>
          <w:rFonts w:ascii="Calibri" w:cs="Calibri" w:eastAsia="Calibri" w:hAnsi="Calibri"/>
          <w:sz w:val="20"/>
          <w:szCs w:val="20"/>
          <w:color w:val="auto"/>
        </w:rPr>
        <w:t>. This Plan shall be binding upon Hawkins and its successors and assigns. Hawkins shall require any successor (whether direct or indirect, by purchase, merger, consolidaton or otherwise) to assume and agree to perform all of Hawkins’ obligatons hereunder in the same manner and to the same extent that Hawkins would have been required to perform if no succession had taken place.</w:t>
      </w:r>
    </w:p>
    <w:p>
      <w:pPr>
        <w:sectPr>
          <w:pgSz w:w="11900" w:h="16838" w:orient="portrait"/>
          <w:cols w:equalWidth="0" w:num="1">
            <w:col w:w="10820"/>
          </w:cols>
          <w:pgMar w:left="660" w:top="1074" w:right="419" w:bottom="1440" w:gutter="0" w:footer="0" w:header="0"/>
        </w:sectPr>
      </w:pPr>
    </w:p>
    <w:bookmarkStart w:id="48" w:name="page49"/>
    <w:bookmarkEnd w:id="48"/>
    <w:p>
      <w:pPr>
        <w:spacing w:after="0"/>
        <w:rPr>
          <w:sz w:val="20"/>
          <w:szCs w:val="20"/>
          <w:color w:val="auto"/>
        </w:rPr>
      </w:pPr>
      <w:r>
        <w:rPr>
          <w:rFonts w:ascii="Calibri" w:cs="Calibri" w:eastAsia="Calibri" w:hAnsi="Calibri"/>
          <w:sz w:val="20"/>
          <w:szCs w:val="20"/>
          <w:b w:val="1"/>
          <w:bCs w:val="1"/>
          <w:u w:val="single" w:color="auto"/>
          <w:color w:val="auto"/>
        </w:rPr>
        <w:t>Appendix A</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Calibri" w:cs="Calibri" w:eastAsia="Calibri" w:hAnsi="Calibri"/>
                <w:sz w:val="20"/>
                <w:szCs w:val="20"/>
                <w:b w:val="1"/>
                <w:bCs w:val="1"/>
                <w:color w:val="auto"/>
                <w:w w:val="99"/>
              </w:rPr>
              <w:t>Tier</w:t>
            </w:r>
          </w:p>
        </w:tc>
        <w:tc>
          <w:tcPr>
            <w:tcW w:w="9280" w:type="dxa"/>
            <w:vAlign w:val="bottom"/>
            <w:tcBorders>
              <w:top w:val="single" w:sz="8" w:color="auto"/>
              <w:right w:val="single" w:sz="8" w:color="auto"/>
            </w:tcBorders>
            <w:gridSpan w:val="2"/>
          </w:tcPr>
          <w:p>
            <w:pPr>
              <w:ind w:left="3500"/>
              <w:spacing w:after="0"/>
              <w:rPr>
                <w:sz w:val="20"/>
                <w:szCs w:val="20"/>
                <w:color w:val="auto"/>
              </w:rPr>
            </w:pPr>
            <w:r>
              <w:rPr>
                <w:rFonts w:ascii="Calibri" w:cs="Calibri" w:eastAsia="Calibri" w:hAnsi="Calibri"/>
                <w:sz w:val="20"/>
                <w:szCs w:val="20"/>
                <w:b w:val="1"/>
                <w:bCs w:val="1"/>
                <w:color w:val="auto"/>
              </w:rPr>
              <w:t>Salary Contnuaton Period</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r>
      <w:tr>
        <w:trPr>
          <w:trHeight w:val="212"/>
        </w:trPr>
        <w:tc>
          <w:tcPr>
            <w:tcW w:w="1140" w:type="dxa"/>
            <w:vAlign w:val="bottom"/>
            <w:tcBorders>
              <w:left w:val="single" w:sz="8" w:color="auto"/>
              <w:right w:val="single" w:sz="8" w:color="auto"/>
            </w:tcBorders>
          </w:tcPr>
          <w:p>
            <w:pPr>
              <w:spacing w:after="0"/>
              <w:rPr>
                <w:sz w:val="18"/>
                <w:szCs w:val="18"/>
                <w:color w:val="auto"/>
              </w:rPr>
            </w:pPr>
          </w:p>
        </w:tc>
        <w:tc>
          <w:tcPr>
            <w:tcW w:w="464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Terminaton Without Cause (Not a Terminaton Due to</w:t>
            </w:r>
          </w:p>
        </w:tc>
        <w:tc>
          <w:tcPr>
            <w:tcW w:w="464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Terminaton Due to Change In Control</w:t>
            </w:r>
          </w:p>
        </w:tc>
      </w:tr>
      <w:tr>
        <w:trPr>
          <w:trHeight w:val="234"/>
        </w:trPr>
        <w:tc>
          <w:tcPr>
            <w:tcW w:w="1140" w:type="dxa"/>
            <w:vAlign w:val="bottom"/>
            <w:tcBorders>
              <w:left w:val="single" w:sz="8" w:color="auto"/>
              <w:right w:val="single" w:sz="8" w:color="auto"/>
            </w:tcBorders>
          </w:tcPr>
          <w:p>
            <w:pPr>
              <w:spacing w:after="0"/>
              <w:rPr>
                <w:sz w:val="20"/>
                <w:szCs w:val="20"/>
                <w:color w:val="auto"/>
              </w:rPr>
            </w:pPr>
          </w:p>
        </w:tc>
        <w:tc>
          <w:tcPr>
            <w:tcW w:w="464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Change In Control)</w:t>
            </w:r>
          </w:p>
        </w:tc>
        <w:tc>
          <w:tcPr>
            <w:tcW w:w="4640" w:type="dxa"/>
            <w:vAlign w:val="bottom"/>
            <w:tcBorders>
              <w:right w:val="single" w:sz="8" w:color="auto"/>
            </w:tcBorders>
          </w:tcPr>
          <w:p>
            <w:pPr>
              <w:spacing w:after="0"/>
              <w:rPr>
                <w:sz w:val="20"/>
                <w:szCs w:val="20"/>
                <w:color w:val="auto"/>
              </w:rPr>
            </w:pPr>
          </w:p>
        </w:tc>
      </w:tr>
      <w:tr>
        <w:trPr>
          <w:trHeight w:val="60"/>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4640" w:type="dxa"/>
            <w:vAlign w:val="bottom"/>
            <w:tcBorders>
              <w:bottom w:val="single" w:sz="8" w:color="auto"/>
              <w:right w:val="single" w:sz="8" w:color="auto"/>
            </w:tcBorders>
          </w:tcPr>
          <w:p>
            <w:pPr>
              <w:spacing w:after="0"/>
              <w:rPr>
                <w:sz w:val="5"/>
                <w:szCs w:val="5"/>
                <w:color w:val="auto"/>
              </w:rPr>
            </w:pPr>
          </w:p>
        </w:tc>
        <w:tc>
          <w:tcPr>
            <w:tcW w:w="4640" w:type="dxa"/>
            <w:vAlign w:val="bottom"/>
            <w:tcBorders>
              <w:bottom w:val="single" w:sz="8" w:color="auto"/>
              <w:right w:val="single" w:sz="8" w:color="auto"/>
            </w:tcBorders>
          </w:tcPr>
          <w:p>
            <w:pPr>
              <w:spacing w:after="0"/>
              <w:rPr>
                <w:sz w:val="5"/>
                <w:szCs w:val="5"/>
                <w:color w:val="auto"/>
              </w:rPr>
            </w:pPr>
          </w:p>
        </w:tc>
      </w:tr>
      <w:tr>
        <w:trPr>
          <w:trHeight w:val="228"/>
        </w:trPr>
        <w:tc>
          <w:tcPr>
            <w:tcW w:w="1140" w:type="dxa"/>
            <w:vAlign w:val="bottom"/>
            <w:tcBorders>
              <w:left w:val="single" w:sz="8" w:color="auto"/>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Tier 1</w:t>
            </w:r>
          </w:p>
        </w:tc>
        <w:tc>
          <w:tcPr>
            <w:tcW w:w="46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18 months</w:t>
            </w:r>
          </w:p>
        </w:tc>
        <w:tc>
          <w:tcPr>
            <w:tcW w:w="46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24 months</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r>
      <w:tr>
        <w:trPr>
          <w:trHeight w:val="228"/>
        </w:trPr>
        <w:tc>
          <w:tcPr>
            <w:tcW w:w="1140" w:type="dxa"/>
            <w:vAlign w:val="bottom"/>
            <w:tcBorders>
              <w:left w:val="single" w:sz="8" w:color="auto"/>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Tier 2</w:t>
            </w:r>
          </w:p>
        </w:tc>
        <w:tc>
          <w:tcPr>
            <w:tcW w:w="46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12 months</w:t>
            </w:r>
          </w:p>
        </w:tc>
        <w:tc>
          <w:tcPr>
            <w:tcW w:w="46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18 months</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c>
          <w:tcPr>
            <w:tcW w:w="46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0420"/>
          </w:cols>
          <w:pgMar w:left="320" w:top="1064" w:right="1159" w:bottom="1440" w:gutter="0" w:footer="0" w:header="0"/>
        </w:sectPr>
      </w:pPr>
    </w:p>
    <w:bookmarkStart w:id="49" w:name="page50"/>
    <w:bookmarkEnd w:id="49"/>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Patrick H. Hawkins, certfy that:</w:t>
      </w:r>
    </w:p>
    <w:p>
      <w:pPr>
        <w:spacing w:after="0" w:line="320" w:lineRule="exact"/>
        <w:rPr>
          <w:sz w:val="20"/>
          <w:szCs w:val="20"/>
          <w:color w:val="auto"/>
        </w:rPr>
      </w:pPr>
    </w:p>
    <w:p>
      <w:pPr>
        <w:ind w:left="640" w:hanging="308"/>
        <w:spacing w:after="0"/>
        <w:tabs>
          <w:tab w:leader="none" w:pos="64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97" w:lineRule="exact"/>
        <w:rPr>
          <w:rFonts w:ascii="Calibri" w:cs="Calibri" w:eastAsia="Calibri" w:hAnsi="Calibri"/>
          <w:sz w:val="18"/>
          <w:szCs w:val="18"/>
          <w:color w:val="auto"/>
        </w:rPr>
      </w:pPr>
    </w:p>
    <w:p>
      <w:pPr>
        <w:ind w:left="1300" w:right="20" w:hanging="320"/>
        <w:spacing w:after="0" w:line="235" w:lineRule="auto"/>
        <w:tabs>
          <w:tab w:leader="none" w:pos="1289"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97" w:lineRule="exact"/>
        <w:rPr>
          <w:rFonts w:ascii="Calibri" w:cs="Calibri" w:eastAsia="Calibri" w:hAnsi="Calibri"/>
          <w:sz w:val="18"/>
          <w:szCs w:val="18"/>
          <w:color w:val="auto"/>
        </w:rPr>
      </w:pPr>
    </w:p>
    <w:p>
      <w:pPr>
        <w:ind w:left="1300" w:right="140" w:hanging="320"/>
        <w:spacing w:after="0" w:line="235" w:lineRule="auto"/>
        <w:tabs>
          <w:tab w:leader="none" w:pos="1283"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83" w:lineRule="exact"/>
        <w:rPr>
          <w:rFonts w:ascii="Calibri" w:cs="Calibri" w:eastAsia="Calibri" w:hAnsi="Calibri"/>
          <w:sz w:val="18"/>
          <w:szCs w:val="18"/>
          <w:color w:val="auto"/>
        </w:rPr>
      </w:pPr>
    </w:p>
    <w:p>
      <w:pPr>
        <w:jc w:val="both"/>
        <w:ind w:left="1300" w:right="240" w:hanging="320"/>
        <w:spacing w:after="0" w:line="258" w:lineRule="auto"/>
        <w:tabs>
          <w:tab w:leader="none" w:pos="1292" w:val="left"/>
        </w:tabs>
        <w:numPr>
          <w:ilvl w:val="1"/>
          <w:numId w:val="17"/>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80" w:lineRule="exact"/>
        <w:rPr>
          <w:rFonts w:ascii="Calibri" w:cs="Calibri" w:eastAsia="Calibri" w:hAnsi="Calibri"/>
          <w:sz w:val="17"/>
          <w:szCs w:val="17"/>
          <w:color w:val="auto"/>
        </w:rPr>
      </w:pPr>
    </w:p>
    <w:p>
      <w:pPr>
        <w:ind w:left="1300" w:right="20" w:hanging="320"/>
        <w:spacing w:after="0" w:line="235" w:lineRule="auto"/>
        <w:tabs>
          <w:tab w:leader="none" w:pos="1283"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82" w:lineRule="exact"/>
        <w:rPr>
          <w:rFonts w:ascii="Calibri" w:cs="Calibri" w:eastAsia="Calibri" w:hAnsi="Calibri"/>
          <w:sz w:val="18"/>
          <w:szCs w:val="18"/>
          <w:color w:val="auto"/>
        </w:rPr>
      </w:pPr>
    </w:p>
    <w:p>
      <w:pPr>
        <w:ind w:left="1300" w:right="680" w:hanging="320"/>
        <w:spacing w:after="0" w:line="258" w:lineRule="auto"/>
        <w:tabs>
          <w:tab w:leader="none" w:pos="1289" w:val="left"/>
        </w:tabs>
        <w:numPr>
          <w:ilvl w:val="1"/>
          <w:numId w:val="17"/>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80" w:lineRule="exact"/>
        <w:rPr>
          <w:rFonts w:ascii="Calibri" w:cs="Calibri" w:eastAsia="Calibri" w:hAnsi="Calibri"/>
          <w:sz w:val="17"/>
          <w:szCs w:val="17"/>
          <w:color w:val="auto"/>
        </w:rPr>
      </w:pPr>
    </w:p>
    <w:p>
      <w:pPr>
        <w:ind w:left="1300" w:right="260" w:hanging="320"/>
        <w:spacing w:after="0" w:line="235" w:lineRule="auto"/>
        <w:tabs>
          <w:tab w:leader="none" w:pos="1283" w:val="left"/>
        </w:tabs>
        <w:numPr>
          <w:ilvl w:val="1"/>
          <w:numId w:val="17"/>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October 30, 2024</w:t>
      </w:r>
    </w:p>
    <w:p>
      <w:pPr>
        <w:spacing w:after="0" w:line="226"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207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Patrick H. Hawkins</w:t>
      </w:r>
    </w:p>
    <w:p>
      <w:pPr>
        <w:spacing w:after="0" w:line="10" w:lineRule="exact"/>
        <w:rPr>
          <w:sz w:val="20"/>
          <w:szCs w:val="20"/>
          <w:color w:val="auto"/>
        </w:rPr>
      </w:pPr>
    </w:p>
    <w:p>
      <w:pPr>
        <w:ind w:left="5840"/>
        <w:spacing w:after="0"/>
        <w:rPr>
          <w:sz w:val="20"/>
          <w:szCs w:val="20"/>
          <w:color w:val="auto"/>
        </w:rPr>
      </w:pPr>
      <w:r>
        <w:rPr>
          <w:rFonts w:ascii="Calibri" w:cs="Calibri" w:eastAsia="Calibri" w:hAnsi="Calibri"/>
          <w:sz w:val="18"/>
          <w:szCs w:val="18"/>
          <w:color w:val="auto"/>
        </w:rPr>
        <w:t>Chief Executve Ofcer and President</w:t>
      </w:r>
    </w:p>
    <w:p>
      <w:pPr>
        <w:sectPr>
          <w:pgSz w:w="11900" w:h="16838" w:orient="portrait"/>
          <w:cols w:equalWidth="0" w:num="1">
            <w:col w:w="11240"/>
          </w:cols>
          <w:pgMar w:left="320" w:top="882"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SECTION 302 OF</w:t>
      </w:r>
    </w:p>
    <w:p>
      <w:pPr>
        <w:jc w:val="center"/>
        <w:spacing w:after="0" w:line="236" w:lineRule="auto"/>
        <w:rPr>
          <w:sz w:val="20"/>
          <w:szCs w:val="20"/>
          <w:color w:val="auto"/>
        </w:rPr>
      </w:pPr>
      <w:r>
        <w:rPr>
          <w:rFonts w:ascii="Calibri" w:cs="Calibri" w:eastAsia="Calibri" w:hAnsi="Calibri"/>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CERTIFICATIONS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I, Jefrey P. Oldenkamp, certfy that:</w:t>
      </w:r>
    </w:p>
    <w:p>
      <w:pPr>
        <w:spacing w:after="0" w:line="320" w:lineRule="exact"/>
        <w:rPr>
          <w:sz w:val="20"/>
          <w:szCs w:val="20"/>
          <w:color w:val="auto"/>
        </w:rPr>
      </w:pPr>
    </w:p>
    <w:p>
      <w:pPr>
        <w:ind w:left="640" w:hanging="308"/>
        <w:spacing w:after="0"/>
        <w:tabs>
          <w:tab w:leader="none" w:pos="640"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I have reviewed this quarterly report on Form 10-Q of Hawkins, Inc.;</w:t>
      </w:r>
    </w:p>
    <w:p>
      <w:pPr>
        <w:spacing w:after="0" w:line="95" w:lineRule="exact"/>
        <w:rPr>
          <w:rFonts w:ascii="Calibri" w:cs="Calibri" w:eastAsia="Calibri" w:hAnsi="Calibri"/>
          <w:sz w:val="18"/>
          <w:szCs w:val="18"/>
          <w:color w:val="auto"/>
        </w:rPr>
      </w:pPr>
    </w:p>
    <w:p>
      <w:pPr>
        <w:jc w:val="both"/>
        <w:ind w:left="660" w:right="140" w:hanging="328"/>
        <w:spacing w:after="0" w:line="235"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Calibri" w:cs="Calibri" w:eastAsia="Calibri" w:hAnsi="Calibri"/>
          <w:sz w:val="18"/>
          <w:szCs w:val="18"/>
          <w:color w:val="auto"/>
        </w:rPr>
      </w:pPr>
    </w:p>
    <w:p>
      <w:pPr>
        <w:ind w:left="660" w:right="220" w:hanging="328"/>
        <w:spacing w:after="0" w:line="235"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82" w:lineRule="exact"/>
        <w:rPr>
          <w:rFonts w:ascii="Calibri" w:cs="Calibri" w:eastAsia="Calibri" w:hAnsi="Calibri"/>
          <w:sz w:val="18"/>
          <w:szCs w:val="18"/>
          <w:color w:val="auto"/>
        </w:rPr>
      </w:pPr>
    </w:p>
    <w:p>
      <w:pPr>
        <w:ind w:left="660" w:right="80" w:hanging="328"/>
        <w:spacing w:after="0" w:line="235"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56" w:lineRule="exact"/>
        <w:rPr>
          <w:rFonts w:ascii="Calibri" w:cs="Calibri" w:eastAsia="Calibri" w:hAnsi="Calibri"/>
          <w:sz w:val="18"/>
          <w:szCs w:val="18"/>
          <w:color w:val="auto"/>
        </w:rPr>
      </w:pPr>
    </w:p>
    <w:p>
      <w:pPr>
        <w:ind w:left="1300" w:right="20" w:hanging="644"/>
        <w:spacing w:after="0" w:line="235" w:lineRule="auto"/>
        <w:tabs>
          <w:tab w:leader="none" w:pos="1289"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56" w:lineRule="exact"/>
        <w:rPr>
          <w:rFonts w:ascii="Calibri" w:cs="Calibri" w:eastAsia="Calibri" w:hAnsi="Calibri"/>
          <w:sz w:val="18"/>
          <w:szCs w:val="18"/>
          <w:color w:val="auto"/>
        </w:rPr>
      </w:pPr>
    </w:p>
    <w:p>
      <w:pPr>
        <w:ind w:left="1300" w:right="140" w:hanging="644"/>
        <w:spacing w:after="0" w:line="235" w:lineRule="auto"/>
        <w:tabs>
          <w:tab w:leader="none" w:pos="1283"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56" w:lineRule="exact"/>
        <w:rPr>
          <w:rFonts w:ascii="Calibri" w:cs="Calibri" w:eastAsia="Calibri" w:hAnsi="Calibri"/>
          <w:sz w:val="18"/>
          <w:szCs w:val="18"/>
          <w:color w:val="auto"/>
        </w:rPr>
      </w:pPr>
    </w:p>
    <w:p>
      <w:pPr>
        <w:jc w:val="both"/>
        <w:ind w:left="1300" w:right="240" w:hanging="644"/>
        <w:spacing w:after="0" w:line="258" w:lineRule="auto"/>
        <w:tabs>
          <w:tab w:leader="none" w:pos="1292" w:val="left"/>
        </w:tabs>
        <w:numPr>
          <w:ilvl w:val="1"/>
          <w:numId w:val="18"/>
        </w:numPr>
        <w:rPr>
          <w:rFonts w:ascii="Calibri" w:cs="Calibri" w:eastAsia="Calibri" w:hAnsi="Calibri"/>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39" w:lineRule="exact"/>
        <w:rPr>
          <w:rFonts w:ascii="Calibri" w:cs="Calibri" w:eastAsia="Calibri" w:hAnsi="Calibri"/>
          <w:sz w:val="17"/>
          <w:szCs w:val="17"/>
          <w:color w:val="auto"/>
        </w:rPr>
      </w:pPr>
    </w:p>
    <w:p>
      <w:pPr>
        <w:ind w:left="1300" w:right="20" w:hanging="644"/>
        <w:spacing w:after="0" w:line="235" w:lineRule="auto"/>
        <w:tabs>
          <w:tab w:leader="none" w:pos="1283"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97" w:lineRule="exact"/>
        <w:rPr>
          <w:rFonts w:ascii="Calibri" w:cs="Calibri" w:eastAsia="Calibri" w:hAnsi="Calibri"/>
          <w:sz w:val="18"/>
          <w:szCs w:val="18"/>
          <w:color w:val="auto"/>
        </w:rPr>
      </w:pPr>
    </w:p>
    <w:p>
      <w:pPr>
        <w:ind w:left="660" w:right="160" w:hanging="328"/>
        <w:spacing w:after="0" w:line="235" w:lineRule="auto"/>
        <w:tabs>
          <w:tab w:leader="none" w:pos="645"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registrant’s other certfying ofcer and I have disclosed, based on our most recent evaluaton of internal control over fnancial reportng, to the registrant’s auditors and the audit commitee of the registrant’s board of directors (or persons performing the equivalent functons):</w:t>
      </w:r>
    </w:p>
    <w:p>
      <w:pPr>
        <w:spacing w:after="0" w:line="55" w:lineRule="exact"/>
        <w:rPr>
          <w:rFonts w:ascii="Calibri" w:cs="Calibri" w:eastAsia="Calibri" w:hAnsi="Calibri"/>
          <w:sz w:val="18"/>
          <w:szCs w:val="18"/>
          <w:color w:val="auto"/>
        </w:rPr>
      </w:pPr>
    </w:p>
    <w:p>
      <w:pPr>
        <w:ind w:left="1300" w:right="680" w:hanging="644"/>
        <w:spacing w:after="0" w:line="258" w:lineRule="auto"/>
        <w:tabs>
          <w:tab w:leader="none" w:pos="1289" w:val="left"/>
        </w:tabs>
        <w:numPr>
          <w:ilvl w:val="1"/>
          <w:numId w:val="18"/>
        </w:numPr>
        <w:rPr>
          <w:rFonts w:ascii="Calibri" w:cs="Calibri" w:eastAsia="Calibri" w:hAnsi="Calibri"/>
          <w:sz w:val="17"/>
          <w:szCs w:val="17"/>
          <w:color w:val="auto"/>
        </w:rPr>
      </w:pPr>
      <w:r>
        <w:rPr>
          <w:rFonts w:ascii="Calibri" w:cs="Calibri" w:eastAsia="Calibri" w:hAnsi="Calibri"/>
          <w:sz w:val="17"/>
          <w:szCs w:val="17"/>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39" w:lineRule="exact"/>
        <w:rPr>
          <w:rFonts w:ascii="Calibri" w:cs="Calibri" w:eastAsia="Calibri" w:hAnsi="Calibri"/>
          <w:sz w:val="17"/>
          <w:szCs w:val="17"/>
          <w:color w:val="auto"/>
        </w:rPr>
      </w:pPr>
    </w:p>
    <w:p>
      <w:pPr>
        <w:ind w:left="1300" w:right="260" w:hanging="644"/>
        <w:spacing w:after="0" w:line="235" w:lineRule="auto"/>
        <w:tabs>
          <w:tab w:leader="none" w:pos="1283" w:val="left"/>
        </w:tabs>
        <w:numPr>
          <w:ilvl w:val="1"/>
          <w:numId w:val="18"/>
        </w:numPr>
        <w:rPr>
          <w:rFonts w:ascii="Calibri" w:cs="Calibri" w:eastAsia="Calibri" w:hAnsi="Calibri"/>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Date: October 30, 2024</w:t>
      </w:r>
    </w:p>
    <w:p>
      <w:pPr>
        <w:spacing w:after="0" w:line="226"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/s/ Jefrey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261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Jefrey P. Oldenkamp</w:t>
      </w:r>
    </w:p>
    <w:p>
      <w:pPr>
        <w:spacing w:after="0" w:line="10" w:lineRule="exact"/>
        <w:rPr>
          <w:sz w:val="20"/>
          <w:szCs w:val="20"/>
          <w:color w:val="auto"/>
        </w:rPr>
      </w:pPr>
    </w:p>
    <w:p>
      <w:pPr>
        <w:ind w:left="6000"/>
        <w:spacing w:after="0"/>
        <w:rPr>
          <w:sz w:val="20"/>
          <w:szCs w:val="20"/>
          <w:color w:val="auto"/>
        </w:rPr>
      </w:pPr>
      <w:r>
        <w:rPr>
          <w:rFonts w:ascii="Calibri" w:cs="Calibri" w:eastAsia="Calibri" w:hAnsi="Calibri"/>
          <w:sz w:val="18"/>
          <w:szCs w:val="18"/>
          <w:color w:val="auto"/>
        </w:rPr>
        <w:t>Executve Vice President and Chief Financial Ofcer</w:t>
      </w:r>
    </w:p>
    <w:p>
      <w:pPr>
        <w:sectPr>
          <w:pgSz w:w="11900" w:h="16838" w:orient="portrait"/>
          <w:cols w:equalWidth="0" w:num="1">
            <w:col w:w="11240"/>
          </w:cols>
          <w:pgMar w:left="320" w:top="882" w:right="339" w:bottom="1440" w:gutter="0" w:footer="0" w:header="0"/>
        </w:sectPr>
      </w:pPr>
    </w:p>
    <w:bookmarkStart w:id="51" w:name="page52"/>
    <w:bookmarkEnd w:id="51"/>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September 29, 2024, as fled with the Securites and Exchange Commission on the date hereof (the Report), I, Patrick H. Hawkins, Chief Executve Ofcer and President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Patrick H. Hawkins</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Patrick H. Hawkins</w:t>
      </w:r>
    </w:p>
    <w:p>
      <w:pPr>
        <w:spacing w:after="0" w:line="14" w:lineRule="exact"/>
        <w:rPr>
          <w:rFonts w:ascii="Calibri" w:cs="Calibri" w:eastAsia="Calibri" w:hAnsi="Calibri"/>
          <w:sz w:val="18"/>
          <w:szCs w:val="18"/>
          <w:color w:val="auto"/>
        </w:rPr>
      </w:pPr>
    </w:p>
    <w:p>
      <w:pPr>
        <w:ind w:left="60" w:right="856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Chief Executve Ofcer and President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2588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35" w:lineRule="auto"/>
        <w:rPr>
          <w:sz w:val="20"/>
          <w:szCs w:val="20"/>
          <w:color w:val="auto"/>
        </w:rPr>
      </w:pPr>
      <w:r>
        <w:rPr>
          <w:rFonts w:ascii="Calibri" w:cs="Calibri" w:eastAsia="Calibri" w:hAnsi="Calibri"/>
          <w:sz w:val="18"/>
          <w:szCs w:val="18"/>
          <w:b w:val="1"/>
          <w:bCs w:val="1"/>
          <w:color w:val="auto"/>
        </w:rPr>
        <w:t>18 U.S.C. SECTION 1350,</w:t>
      </w:r>
    </w:p>
    <w:p>
      <w:pPr>
        <w:jc w:val="center"/>
        <w:spacing w:after="0" w:line="236" w:lineRule="auto"/>
        <w:rPr>
          <w:sz w:val="20"/>
          <w:szCs w:val="20"/>
          <w:color w:val="auto"/>
        </w:rPr>
      </w:pPr>
      <w:r>
        <w:rPr>
          <w:rFonts w:ascii="Calibri" w:cs="Calibri" w:eastAsia="Calibri" w:hAnsi="Calibri"/>
          <w:sz w:val="18"/>
          <w:szCs w:val="18"/>
          <w:b w:val="1"/>
          <w:bCs w:val="1"/>
          <w:color w:val="auto"/>
        </w:rPr>
        <w:t>AS ADOPTED PURSUANT TO</w:t>
      </w:r>
    </w:p>
    <w:p>
      <w:pPr>
        <w:jc w:val="center"/>
        <w:spacing w:after="0" w:line="236"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164"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In connecton with the Quarterly Report of Hawkins, Inc. (the Company) on Form 10-Q for the period ended September 29, 2024, as fled with the Securites and Exchange Commission on the date hereof (the Report), I, Jefrey P. Oldenkamp, Chief Financial Ofcer of the Company, certfy, pursuant to 18 U.S.C. § 1350, as adopted pursuant to § 906 of the Sarbanes-Oxley Act of 2002, that:</w:t>
      </w:r>
    </w:p>
    <w:p>
      <w:pPr>
        <w:spacing w:after="0" w:line="92" w:lineRule="exact"/>
        <w:rPr>
          <w:sz w:val="20"/>
          <w:szCs w:val="20"/>
          <w:color w:val="auto"/>
        </w:rPr>
      </w:pPr>
    </w:p>
    <w:p>
      <w:pPr>
        <w:ind w:left="460"/>
        <w:spacing w:after="0"/>
        <w:rPr>
          <w:sz w:val="20"/>
          <w:szCs w:val="20"/>
          <w:color w:val="auto"/>
        </w:rPr>
      </w:pPr>
      <w:r>
        <w:rPr>
          <w:rFonts w:ascii="Calibri" w:cs="Calibri" w:eastAsia="Calibri" w:hAnsi="Calibri"/>
          <w:sz w:val="18"/>
          <w:szCs w:val="18"/>
          <w:color w:val="auto"/>
        </w:rPr>
        <w:t>(1) The Report fully complies with the requirements of secton 13(a) or 15(d) of the Securites Exchange Act of 1934;</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color w:val="auto"/>
        </w:rPr>
        <w:t>and</w:t>
      </w:r>
    </w:p>
    <w:p>
      <w:pPr>
        <w:spacing w:after="0" w:line="163" w:lineRule="exact"/>
        <w:rPr>
          <w:sz w:val="20"/>
          <w:szCs w:val="20"/>
          <w:color w:val="auto"/>
        </w:rPr>
      </w:pPr>
    </w:p>
    <w:p>
      <w:pPr>
        <w:ind w:left="60" w:right="260" w:firstLine="393"/>
        <w:spacing w:after="0" w:line="272" w:lineRule="auto"/>
        <w:tabs>
          <w:tab w:leader="none" w:pos="686"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 /s/ Jefrey P. Oldenkamp</w:t>
      </w:r>
    </w:p>
    <w:p>
      <w:pPr>
        <w:ind w:left="60"/>
        <w:spacing w:after="0"/>
        <w:rPr>
          <w:rFonts w:ascii="Calibri" w:cs="Calibri" w:eastAsia="Calibri" w:hAnsi="Calibri"/>
          <w:sz w:val="18"/>
          <w:szCs w:val="18"/>
          <w:color w:val="auto"/>
        </w:rPr>
      </w:pPr>
      <w:r>
        <w:rPr>
          <w:rFonts w:ascii="Calibri" w:cs="Calibri" w:eastAsia="Calibri" w:hAnsi="Calibri"/>
          <w:sz w:val="18"/>
          <w:szCs w:val="18"/>
          <w:color w:val="auto"/>
        </w:rPr>
        <w:t>Jefrey P. Oldenkamp</w:t>
      </w:r>
    </w:p>
    <w:p>
      <w:pPr>
        <w:spacing w:after="0" w:line="14" w:lineRule="exact"/>
        <w:rPr>
          <w:rFonts w:ascii="Calibri" w:cs="Calibri" w:eastAsia="Calibri" w:hAnsi="Calibri"/>
          <w:sz w:val="18"/>
          <w:szCs w:val="18"/>
          <w:color w:val="auto"/>
        </w:rPr>
      </w:pPr>
    </w:p>
    <w:p>
      <w:pPr>
        <w:ind w:left="60" w:right="7540"/>
        <w:spacing w:after="0" w:line="245" w:lineRule="auto"/>
        <w:rPr>
          <w:rFonts w:ascii="Calibri" w:cs="Calibri" w:eastAsia="Calibri" w:hAnsi="Calibri"/>
          <w:sz w:val="18"/>
          <w:szCs w:val="18"/>
          <w:color w:val="auto"/>
        </w:rPr>
      </w:pPr>
      <w:r>
        <w:rPr>
          <w:rFonts w:ascii="Calibri" w:cs="Calibri" w:eastAsia="Calibri" w:hAnsi="Calibri"/>
          <w:sz w:val="18"/>
          <w:szCs w:val="18"/>
          <w:color w:val="auto"/>
        </w:rPr>
        <w:t>Executve Vice President and Chief Financial Ofcer October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-433070</wp:posOffset>
            </wp:positionV>
            <wp:extent cx="3257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lowerLetter"/>
      <w:start w:val="15"/>
    </w:lvl>
  </w:abstractNum>
  <w:abstractNum w:abstractNumId="4">
    <w:nsid w:val="140E0F76"/>
    <w:multiLevelType w:val="hybridMultilevel"/>
    <w:lvl w:ilvl="0">
      <w:lvlJc w:val="left"/>
      <w:lvlText w:val="(%1)"/>
      <w:numFmt w:val="lowerLetter"/>
      <w:start w:val="4"/>
    </w:lvl>
  </w:abstractNum>
  <w:abstractNum w:abstractNumId="5">
    <w:nsid w:val="3352255A"/>
    <w:multiLevelType w:val="hybridMultilevel"/>
    <w:lvl w:ilvl="0">
      <w:lvlJc w:val="left"/>
      <w:lvlText w:val="(%1)"/>
      <w:numFmt w:val="lowerLetter"/>
      <w:start w:val="14"/>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lvl w:ilvl="1">
      <w:lvlJc w:val="left"/>
      <w:lvlText w:val="%2."/>
      <w:numFmt w:val="lowerRoman"/>
      <w:start w:val="1"/>
    </w:lvl>
  </w:abstractNum>
  <w:abstractNum w:abstractNumId="11">
    <w:nsid w:val="6B68079A"/>
    <w:multiLevelType w:val="hybridMultilevel"/>
    <w:lvl w:ilvl="0">
      <w:lvlJc w:val="left"/>
      <w:lvlText w:val="%1."/>
      <w:numFmt w:val="lowerLetter"/>
      <w:start w:val="1"/>
    </w:lvl>
    <w:lvl w:ilvl="1">
      <w:lvlJc w:val="left"/>
      <w:lvlText w:val="%2."/>
      <w:numFmt w:val="lowerRoman"/>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18" Type="http://schemas.openxmlformats.org/officeDocument/2006/relationships/hyperlink" Target="https://www.sec.gov/ix?doc=/Archives/edgar/data/46250/000004625024000013/hwkn-20240331.htm" TargetMode="External"/><Relationship Id="rId48" Type="http://schemas.openxmlformats.org/officeDocument/2006/relationships/hyperlink" Target="https://www.sec.gov/Archives/edgar/data/46250/000004625021000012/exhibit32.htm" TargetMode="External"/><Relationship Id="rId49" Type="http://schemas.openxmlformats.org/officeDocument/2006/relationships/hyperlink" Target="https://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2024-10-30T15:36:52Z</dcterms:created>
  <dcterms:modified xsi:type="dcterms:W3CDTF">2024-10-30T15:36:52Z</dcterms:modified>
</cp:coreProperties>
</file>