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PAULSON KEENAN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03/14/2005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Water Treatment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03/14/2005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1,000</w:t>
            </w:r>
          </w:p>
        </w:tc>
        <w:tc>
          <w:tcPr>
            <w:tcW w:w="5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15"/>
              <w:spacing w:after="0"/>
              <w:rPr>
                <w:sz w:val="20"/>
                <w:szCs w:val="20"/>
                <w:color w:val="auto"/>
              </w:rPr>
            </w:pPr>
            <w:r>
              <w:rPr>
                <w:rFonts w:ascii="Arial" w:cs="Arial" w:eastAsia="Arial" w:hAnsi="Arial"/>
                <w:sz w:val="11"/>
                <w:szCs w:val="11"/>
                <w:color w:val="008000"/>
                <w:w w:val="88"/>
              </w:rPr>
              <w:t>(2)</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3,700.088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03/14/2005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27"/>
                <w:szCs w:val="27"/>
                <w:color w:val="0000FF"/>
                <w:w w:val="79"/>
                <w:vertAlign w:val="subscript"/>
              </w:rPr>
              <w:t>G</w:t>
            </w:r>
            <w:r>
              <w:rPr>
                <w:rFonts w:ascii="Arial" w:cs="Arial" w:eastAsia="Arial" w:hAnsi="Arial"/>
                <w:sz w:val="11"/>
                <w:szCs w:val="11"/>
                <w:color w:val="008000"/>
                <w:w w:val="79"/>
              </w:rPr>
              <w:t>(1)</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1,000</w:t>
            </w:r>
          </w:p>
        </w:tc>
        <w:tc>
          <w:tcPr>
            <w:tcW w:w="50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380" w:type="dxa"/>
            <w:vAlign w:val="bottom"/>
            <w:vMerge w:val="restart"/>
          </w:tcPr>
          <w:p>
            <w:pPr>
              <w:jc w:val="center"/>
              <w:ind w:left="115"/>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4,700.088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03/16/2005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261"/>
              <w:spacing w:after="0"/>
              <w:rPr>
                <w:sz w:val="20"/>
                <w:szCs w:val="20"/>
                <w:color w:val="auto"/>
              </w:rPr>
            </w:pPr>
            <w:r>
              <w:rPr>
                <w:rFonts w:ascii="Arial" w:cs="Arial" w:eastAsia="Arial" w:hAnsi="Arial"/>
                <w:sz w:val="12"/>
                <w:szCs w:val="12"/>
                <w:color w:val="0000FF"/>
                <w:w w:val="74"/>
              </w:rPr>
              <w:t>S</w:t>
            </w:r>
          </w:p>
        </w:tc>
        <w:tc>
          <w:tcPr>
            <w:tcW w:w="720" w:type="dxa"/>
            <w:vAlign w:val="bottom"/>
            <w:vMerge w:val="restart"/>
          </w:tcPr>
          <w:p>
            <w:pPr>
              <w:ind w:left="260"/>
              <w:spacing w:after="0"/>
              <w:rPr>
                <w:sz w:val="20"/>
                <w:szCs w:val="20"/>
                <w:color w:val="auto"/>
              </w:rPr>
            </w:pPr>
            <w:r>
              <w:rPr>
                <w:rFonts w:ascii="Arial" w:cs="Arial" w:eastAsia="Arial" w:hAnsi="Arial"/>
                <w:sz w:val="18"/>
                <w:szCs w:val="18"/>
                <w:color w:val="0000FF"/>
                <w:w w:val="97"/>
              </w:rPr>
              <w:t>1,000</w:t>
            </w:r>
          </w:p>
        </w:tc>
        <w:tc>
          <w:tcPr>
            <w:tcW w:w="500" w:type="dxa"/>
            <w:vAlign w:val="bottom"/>
            <w:vMerge w:val="restart"/>
          </w:tcPr>
          <w:p>
            <w:pPr>
              <w:ind w:left="340"/>
              <w:spacing w:after="0"/>
              <w:rPr>
                <w:sz w:val="20"/>
                <w:szCs w:val="20"/>
                <w:color w:val="auto"/>
              </w:rPr>
            </w:pPr>
            <w:r>
              <w:rPr>
                <w:rFonts w:ascii="Arial" w:cs="Arial" w:eastAsia="Arial" w:hAnsi="Arial"/>
                <w:sz w:val="18"/>
                <w:szCs w:val="18"/>
                <w:color w:val="0000FF"/>
              </w:rPr>
              <w:t>D</w:t>
            </w:r>
          </w:p>
        </w:tc>
        <w:tc>
          <w:tcPr>
            <w:tcW w:w="220" w:type="dxa"/>
            <w:vAlign w:val="bottom"/>
          </w:tcPr>
          <w:p>
            <w:pPr>
              <w:spacing w:after="0"/>
              <w:rPr>
                <w:sz w:val="22"/>
                <w:szCs w:val="22"/>
                <w:color w:val="auto"/>
              </w:rPr>
            </w:pPr>
          </w:p>
        </w:tc>
        <w:tc>
          <w:tcPr>
            <w:tcW w:w="6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12.07</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3,700.088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daughter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65,431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ESOP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0"/>
              </w:rPr>
              <w:t>Trustees</w:t>
            </w:r>
            <w:r>
              <w:rPr>
                <w:rFonts w:ascii="Arial" w:cs="Arial" w:eastAsia="Arial" w:hAnsi="Arial"/>
                <w:sz w:val="22"/>
                <w:szCs w:val="22"/>
                <w:color w:val="008000"/>
                <w:w w:val="9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 to daughter who is the reporting person's dependant. The reporting person disclaims beneficial ownership of the shares held by her daughter, and this report should not be deemed an admission that the reporting person is the beneficial owner of her daughter's shares for purposes of Section 16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last report dated 3/31/04.</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 Morgan Burns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Keenan A. Paulson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03/18/2005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44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2019-12-17T07:52:15Z</dcterms:created>
  <dcterms:modified xsi:type="dcterms:W3CDTF">2019-12-17T07:52:15Z</dcterms:modified>
</cp:coreProperties>
</file>