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No.1)</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Hawkins,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420261109</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2001</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hanging="521"/>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Royce &amp; Associates, Inc.</w:t>
      </w:r>
      <w:r>
        <w:rPr>
          <w:rFonts w:ascii="Courier New" w:cs="Courier New" w:eastAsia="Courier New" w:hAnsi="Courier New"/>
          <w:sz w:val="16"/>
          <w:szCs w:val="16"/>
          <w:color w:val="auto"/>
        </w:rPr>
        <w:t>13-2579297</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668,752</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668,752</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02"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6.44%</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4"/>
          <w:szCs w:val="24"/>
          <w:color w:val="auto"/>
        </w:rPr>
      </w:pPr>
    </w:p>
    <w:p>
      <w:pPr>
        <w:spacing w:after="0" w:line="204"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Hawkins,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knt</w:t>
      </w:r>
    </w:p>
    <w:p>
      <w:pPr>
        <w:spacing w:after="0"/>
        <w:rPr>
          <w:sz w:val="20"/>
          <w:szCs w:val="20"/>
          <w:color w:val="auto"/>
        </w:rPr>
      </w:pPr>
      <w:r>
        <w:rPr>
          <w:rFonts w:ascii="Courier New" w:cs="Courier New" w:eastAsia="Courier New" w:hAnsi="Courier New"/>
          <w:sz w:val="18"/>
          <w:szCs w:val="18"/>
          <w:color w:val="auto"/>
        </w:rPr>
        <w:t>3100 East Hennepin Avenue</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Minneapolis, MN</w:t>
      </w:r>
      <w:r>
        <w:rPr>
          <w:sz w:val="20"/>
          <w:szCs w:val="20"/>
          <w:color w:val="auto"/>
        </w:rPr>
        <w:tab/>
      </w:r>
      <w:r>
        <w:rPr>
          <w:rFonts w:ascii="Courier New" w:cs="Courier New" w:eastAsia="Courier New" w:hAnsi="Courier New"/>
          <w:sz w:val="18"/>
          <w:szCs w:val="18"/>
          <w:color w:val="auto"/>
        </w:rPr>
        <w:t>55413</w:t>
      </w: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1380"/>
        <w:spacing w:after="0"/>
        <w:rPr>
          <w:sz w:val="20"/>
          <w:szCs w:val="20"/>
          <w:color w:val="auto"/>
        </w:rPr>
      </w:pPr>
      <w:r>
        <w:rPr>
          <w:rFonts w:ascii="Courier New" w:cs="Courier New" w:eastAsia="Courier New" w:hAnsi="Courier New"/>
          <w:sz w:val="18"/>
          <w:szCs w:val="18"/>
          <w:color w:val="auto"/>
        </w:rPr>
        <w:t>Royce &amp; Associates, Inc.</w:t>
      </w: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ind w:left="540"/>
        <w:spacing w:after="0"/>
        <w:tabs>
          <w:tab w:leader="none" w:pos="5040" w:val="left"/>
        </w:tabs>
        <w:rPr>
          <w:sz w:val="20"/>
          <w:szCs w:val="20"/>
          <w:color w:val="auto"/>
        </w:rPr>
      </w:pPr>
      <w:r>
        <w:rPr>
          <w:rFonts w:ascii="Courier New" w:cs="Courier New" w:eastAsia="Courier New" w:hAnsi="Courier New"/>
          <w:sz w:val="18"/>
          <w:szCs w:val="18"/>
          <w:color w:val="auto"/>
        </w:rPr>
        <w:t>1414 Avenue of the Americas, New York, NY</w:t>
        <w:tab/>
        <w:t>10019</w:t>
      </w: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ind w:left="1380"/>
        <w:spacing w:after="0"/>
        <w:rPr>
          <w:sz w:val="20"/>
          <w:szCs w:val="20"/>
          <w:color w:val="auto"/>
        </w:rPr>
      </w:pPr>
      <w:r>
        <w:rPr>
          <w:rFonts w:ascii="Courier New" w:cs="Courier New" w:eastAsia="Courier New" w:hAnsi="Courier New"/>
          <w:sz w:val="18"/>
          <w:szCs w:val="18"/>
          <w:color w:val="auto"/>
        </w:rPr>
        <w:t>New York Corporation</w:t>
      </w: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1480"/>
        <w:spacing w:after="0" w:line="238" w:lineRule="auto"/>
        <w:rPr>
          <w:sz w:val="20"/>
          <w:szCs w:val="20"/>
          <w:color w:val="auto"/>
        </w:rPr>
      </w:pPr>
      <w:r>
        <w:rPr>
          <w:rFonts w:ascii="Courier New" w:cs="Courier New" w:eastAsia="Courier New" w:hAnsi="Courier New"/>
          <w:sz w:val="18"/>
          <w:szCs w:val="18"/>
          <w:color w:val="auto"/>
        </w:rPr>
        <w:t>Common Stock</w:t>
      </w: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37" w:lineRule="auto"/>
        <w:rPr>
          <w:sz w:val="20"/>
          <w:szCs w:val="20"/>
          <w:color w:val="auto"/>
        </w:rPr>
      </w:pPr>
      <w:r>
        <w:rPr>
          <w:rFonts w:ascii="Courier New" w:cs="Courier New" w:eastAsia="Courier New" w:hAnsi="Courier New"/>
          <w:sz w:val="18"/>
          <w:szCs w:val="18"/>
          <w:color w:val="auto"/>
        </w:rPr>
        <w:t>420261109</w:t>
      </w: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ind w:left="960"/>
        <w:spacing w:after="0" w:line="237" w:lineRule="auto"/>
        <w:rPr>
          <w:sz w:val="20"/>
          <w:szCs w:val="20"/>
          <w:color w:val="auto"/>
        </w:rPr>
      </w:pPr>
      <w:r>
        <w:rPr>
          <w:rFonts w:ascii="Courier New" w:cs="Courier New" w:eastAsia="Courier New" w:hAnsi="Courier New"/>
          <w:sz w:val="18"/>
          <w:szCs w:val="18"/>
          <w:color w:val="auto"/>
        </w:rPr>
        <w:t>2(b), check whether the person filing is a:</w:t>
      </w:r>
    </w:p>
    <w:p>
      <w:pPr>
        <w:ind w:left="540"/>
        <w:spacing w:after="0"/>
        <w:rPr>
          <w:sz w:val="20"/>
          <w:szCs w:val="20"/>
          <w:color w:val="auto"/>
        </w:rPr>
      </w:pPr>
      <w:r>
        <w:rPr>
          <w:rFonts w:ascii="Courier New" w:cs="Courier New" w:eastAsia="Courier New" w:hAnsi="Courier New"/>
          <w:sz w:val="18"/>
          <w:szCs w:val="18"/>
          <w:color w:val="auto"/>
        </w:rPr>
        <w:t>(a) [ ] Broker or Dealer registered under Section 15 of the Act</w:t>
      </w:r>
    </w:p>
    <w:p>
      <w:pPr>
        <w:sectPr>
          <w:pgSz w:w="11900" w:h="16856"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668,752</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6.44%</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jc w:val="right"/>
        <w:ind w:left="4860" w:right="4619" w:hanging="3904"/>
        <w:spacing w:after="0" w:line="290" w:lineRule="auto"/>
        <w:tabs>
          <w:tab w:leader="none" w:pos="138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668,752</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sz w:val="20"/>
          <w:szCs w:val="20"/>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3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668,752</w:t>
            </w:r>
          </w:p>
        </w:tc>
      </w:tr>
    </w:tbl>
    <w:p>
      <w:pPr>
        <w:ind w:left="1800" w:hanging="844"/>
        <w:spacing w:after="0" w:line="238" w:lineRule="auto"/>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420261109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07,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S.%1."/>
      <w:numFmt w:val="upperLetter"/>
      <w:start w:val="19"/>
    </w:lvl>
    <w:lvl w:ilvl="1">
      <w:lvlJc w:val="left"/>
      <w:lvlText w:val="(%2)"/>
      <w:numFmt w:val="lowerLetter"/>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9"/>
      <w:numFmt w:val="bullet"/>
      <w:start w:val="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lvl w:ilvl="1">
      <w:lvlJc w:val="left"/>
      <w:lvlText w:val="(%2)"/>
      <w:numFmt w:val="lowerRoman"/>
      <w:start w:val="1"/>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2019-12-13T01:47:51Z</dcterms:created>
  <dcterms:modified xsi:type="dcterms:W3CDTF">2019-12-13T01:47:51Z</dcterms:modified>
</cp:coreProperties>
</file>