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30, 2003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0-7647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5320" w:type="dxa"/>
            <w:vAlign w:val="bottom"/>
          </w:tcPr>
          <w:p>
            <w:pPr>
              <w:jc w:val="center"/>
              <w:ind w:right="1170"/>
              <w:spacing w:after="0"/>
              <w:rPr>
                <w:sz w:val="20"/>
                <w:szCs w:val="20"/>
                <w:color w:val="auto"/>
              </w:rPr>
            </w:pPr>
            <w:r>
              <w:rPr>
                <w:rFonts w:ascii="Arial" w:cs="Arial" w:eastAsia="Arial" w:hAnsi="Arial"/>
                <w:sz w:val="18"/>
                <w:szCs w:val="18"/>
                <w:b w:val="1"/>
                <w:bCs w:val="1"/>
                <w:color w:val="auto"/>
              </w:rPr>
              <w:t>MINNESOTA</w:t>
            </w:r>
          </w:p>
        </w:tc>
        <w:tc>
          <w:tcPr>
            <w:tcW w:w="3840" w:type="dxa"/>
            <w:vAlign w:val="bottom"/>
          </w:tcPr>
          <w:p>
            <w:pPr>
              <w:jc w:val="right"/>
              <w:ind w:right="77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5320" w:type="dxa"/>
            <w:vAlign w:val="bottom"/>
          </w:tcPr>
          <w:p>
            <w:pPr>
              <w:jc w:val="center"/>
              <w:ind w:right="1170"/>
              <w:spacing w:after="0"/>
              <w:rPr>
                <w:sz w:val="20"/>
                <w:szCs w:val="20"/>
                <w:color w:val="auto"/>
              </w:rPr>
            </w:pPr>
            <w:r>
              <w:rPr>
                <w:rFonts w:ascii="Arial" w:cs="Arial" w:eastAsia="Arial" w:hAnsi="Arial"/>
                <w:sz w:val="18"/>
                <w:szCs w:val="18"/>
                <w:color w:val="auto"/>
                <w:w w:val="92"/>
              </w:rPr>
              <w:t>(State of Incorporation)</w:t>
            </w:r>
          </w:p>
        </w:tc>
        <w:tc>
          <w:tcPr>
            <w:tcW w:w="3840" w:type="dxa"/>
            <w:vAlign w:val="bottom"/>
          </w:tcPr>
          <w:p>
            <w:pPr>
              <w:jc w:val="center"/>
              <w:ind w:left="115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3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840" w:type="dxa"/>
            <w:vAlign w:val="bottom"/>
          </w:tcPr>
          <w:p>
            <w:pPr>
              <w:jc w:val="right"/>
              <w:ind w:right="990"/>
              <w:spacing w:after="0"/>
              <w:rPr>
                <w:sz w:val="20"/>
                <w:szCs w:val="20"/>
                <w:color w:val="auto"/>
              </w:rPr>
            </w:pPr>
            <w:r>
              <w:rPr>
                <w:rFonts w:ascii="Arial" w:cs="Arial" w:eastAsia="Arial" w:hAnsi="Arial"/>
                <w:sz w:val="18"/>
                <w:szCs w:val="18"/>
                <w:b w:val="1"/>
                <w:bCs w:val="1"/>
                <w:color w:val="auto"/>
              </w:rPr>
              <w:t>55413</w:t>
            </w:r>
          </w:p>
        </w:tc>
      </w:tr>
      <w:tr>
        <w:trPr>
          <w:trHeight w:val="230"/>
        </w:trPr>
        <w:tc>
          <w:tcPr>
            <w:tcW w:w="5320" w:type="dxa"/>
            <w:vAlign w:val="bottom"/>
          </w:tcPr>
          <w:p>
            <w:pPr>
              <w:jc w:val="center"/>
              <w:ind w:right="117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COMMON STOCK, PAR VALUE $.05 PER SHARE</w:t>
      </w:r>
    </w:p>
    <w:p>
      <w:pPr>
        <w:spacing w:after="0" w:line="211"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jc w:val="center"/>
        <w:ind w:right="-19"/>
        <w:spacing w:after="0" w:line="207" w:lineRule="exact"/>
        <w:tabs>
          <w:tab w:leader="none" w:pos="160" w:val="left"/>
          <w:tab w:leader="none" w:pos="340" w:val="left"/>
          <w:tab w:leader="none" w:pos="16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20" w:firstLine="648"/>
        <w:spacing w:after="0" w:line="258"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2002 (the last business day of the Registrant’s most recently completed second fiscal quarter) was $65,982,706 based upon the closing sale price for</w:t>
      </w:r>
    </w:p>
    <w:p>
      <w:pPr>
        <w:spacing w:after="0" w:line="1"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color w:val="auto"/>
        </w:rPr>
        <w:t>Hawkins, Inc.’s common stock on that date as reported by The Nasdaq Stock Market, excluding all shares held by officers and directors of the Registrant and by the Trustees of the Registrant’s Employee Stock Ownership Plan and Trust.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30, 2003, the Registrant had 10,216,688 shares of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2003 Annual Meeting of Shareholders to be held August 14,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225"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4"/>
          <w:szCs w:val="24"/>
          <w:color w:val="auto"/>
        </w:rPr>
      </w:pPr>
    </w:p>
    <w:p>
      <w:pPr>
        <w:jc w:val="both"/>
        <w:ind w:right="40" w:firstLine="656"/>
        <w:spacing w:after="0" w:line="286" w:lineRule="auto"/>
        <w:tabs>
          <w:tab w:leader="none" w:pos="1307"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content, “Hawkins,” “we,” “the Company,” “our,” or “the Registrant” means Hawkins, Inc. and its predecessors.</w:t>
      </w:r>
    </w:p>
    <w:p>
      <w:pPr>
        <w:spacing w:after="0" w:line="166"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In fiscal 1998, the Company combined three of its former subsidiaries, Feed-Rite Controls, Inc., Mon-Dak Chemical, Inc., and Dakota Chemical, Inc. and its Arrowhead Chemical Division together to form a single wholly-owned subsidiary known as Hawkins Water Treatment Group, Inc. (HWTG). In fiscal 1999, the Company merged HWTG into the Company. During fiscal 2000, the Company acquired certain assets of St. Mary’s Chemicals, Inc. (discussed more fully in paragraph (c)(i)(B) below). In fiscal 2001, the Company changed its corporate name to Hawkins, Inc., reflecting the fact the Company has expanded its original business beyond the distribution of chemicals.</w:t>
      </w:r>
    </w:p>
    <w:p>
      <w:pPr>
        <w:spacing w:after="0" w:line="188" w:lineRule="exact"/>
        <w:rPr>
          <w:sz w:val="24"/>
          <w:szCs w:val="24"/>
          <w:color w:val="auto"/>
        </w:rPr>
      </w:pPr>
    </w:p>
    <w:p>
      <w:pPr>
        <w:jc w:val="both"/>
        <w:ind w:right="220" w:firstLine="656"/>
        <w:spacing w:after="0" w:line="342" w:lineRule="auto"/>
        <w:tabs>
          <w:tab w:leader="none" w:pos="1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INFORMATION ABOUT INDUSTRY SEGMENTS. The Company’s principal business is the formulation, blending and distribution of bulk and specialty chemicals, which it conducts in two principal segments: Water Treatment and Industrial. Financial information regarding</w:t>
      </w:r>
    </w:p>
    <w:p>
      <w:pPr>
        <w:sectPr>
          <w:pgSz w:w="11900" w:h="16921" w:orient="portrait"/>
          <w:cols w:equalWidth="0" w:num="1">
            <w:col w:w="11400"/>
          </w:cols>
          <w:pgMar w:left="240" w:top="585" w:right="25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these segments is reported in the Company’s audited financial statements. See Items 7 and 8 below.</w:t>
      </w:r>
    </w:p>
    <w:p>
      <w:pPr>
        <w:spacing w:after="0" w:line="225"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78"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two segments, Water Treatment and Industrial, which are more fully described below:</w:t>
      </w:r>
    </w:p>
    <w:p>
      <w:pPr>
        <w:spacing w:after="0" w:line="170" w:lineRule="exact"/>
        <w:rPr>
          <w:rFonts w:ascii="Arial" w:cs="Arial" w:eastAsia="Arial" w:hAnsi="Arial"/>
          <w:sz w:val="18"/>
          <w:szCs w:val="18"/>
          <w:color w:val="auto"/>
        </w:rPr>
      </w:pPr>
    </w:p>
    <w:p>
      <w:pPr>
        <w:ind w:left="1300" w:right="20" w:firstLine="653"/>
        <w:spacing w:after="0" w:line="271" w:lineRule="auto"/>
        <w:tabs>
          <w:tab w:leader="none" w:pos="2603" w:val="left"/>
        </w:tabs>
        <w:numPr>
          <w:ilvl w:val="2"/>
          <w:numId w:val="3"/>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eleven cities and utilizes a Driver/Technician/Salesperson approach in supplying products and service to customers in Minnesota, Wisconsin, Iowa, North Dakota, South Dakota, Nebraska, Illinois, Michigan, Montana, Kansas and Wyoming. In December 2000, operations in the Minneapolis/St. Paul area relocated to a new 59,000 square-foot facility, “the Red Rock facility.” The Red Rock facility, located on the Mississippi River in St. Paul, Minnesota, has improved operational efficiencies, as the Water Treatment operations are now located at the facility where several key products are produced and the consolidated warehouse space has reduced the amount of time required to load trucks between deliveries.</w:t>
      </w:r>
    </w:p>
    <w:p>
      <w:pPr>
        <w:spacing w:after="0" w:line="178" w:lineRule="exact"/>
        <w:rPr>
          <w:rFonts w:ascii="Arial" w:cs="Arial" w:eastAsia="Arial" w:hAnsi="Arial"/>
          <w:sz w:val="17"/>
          <w:szCs w:val="17"/>
          <w:color w:val="auto"/>
        </w:rPr>
      </w:pPr>
    </w:p>
    <w:p>
      <w:pPr>
        <w:ind w:left="1300" w:right="160" w:firstLine="653"/>
        <w:spacing w:after="0" w:line="273" w:lineRule="auto"/>
        <w:tabs>
          <w:tab w:leader="none" w:pos="2620" w:val="left"/>
        </w:tabs>
        <w:numPr>
          <w:ilvl w:val="2"/>
          <w:numId w:val="3"/>
        </w:numPr>
        <w:rPr>
          <w:rFonts w:ascii="Arial" w:cs="Arial" w:eastAsia="Arial" w:hAnsi="Arial"/>
          <w:sz w:val="17"/>
          <w:szCs w:val="17"/>
          <w:color w:val="auto"/>
        </w:rPr>
      </w:pPr>
      <w:r>
        <w:rPr>
          <w:rFonts w:ascii="Arial" w:cs="Arial" w:eastAsia="Arial" w:hAnsi="Arial"/>
          <w:sz w:val="17"/>
          <w:szCs w:val="17"/>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distributes a variety of pharmaceutical products, manufactures and sells certain food grade products, including the Cheese-Phos® liquid phosphate product (discussed more fully in paragraph (iv) below) and other blended products, none of which are material to the Company. This segment conducts its business primarily through distribution centers and terminal operations.</w:t>
      </w:r>
    </w:p>
    <w:p>
      <w:pPr>
        <w:spacing w:after="0" w:line="178" w:lineRule="exact"/>
        <w:rPr>
          <w:sz w:val="20"/>
          <w:szCs w:val="20"/>
          <w:color w:val="auto"/>
        </w:rPr>
      </w:pPr>
    </w:p>
    <w:p>
      <w:pPr>
        <w:ind w:left="1300" w:right="60" w:firstLine="648"/>
        <w:spacing w:after="0" w:line="270"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potassium hydroxide and aqua ammonia; manufactures sodium hypochlorite (bleach) and agricultural products; repackages liquid chlorine;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Approximately 80% of the terminal operations business is related to liquid caustic soda. Pursuant to operating agreements it has with other chemical companies, the Company receives and stores liquid caustic soda and other chemicals at their two terminal sites, Hawkins Terminal 1 and Terminal 2. Terminal 1 and Terminal 2 are located on opposite sides of the Mississippi River in St. Paul, Minnesota. The chlorine repackaging and bleach manufacturing operations, formerly located at Terminal 1, were moved to the Red Rock facility during fiscal 2001.</w:t>
      </w:r>
    </w:p>
    <w:p>
      <w:pPr>
        <w:spacing w:after="0" w:line="178" w:lineRule="exact"/>
        <w:rPr>
          <w:sz w:val="20"/>
          <w:szCs w:val="20"/>
          <w:color w:val="auto"/>
        </w:rPr>
      </w:pPr>
    </w:p>
    <w:p>
      <w:pPr>
        <w:jc w:val="both"/>
        <w:ind w:left="1300" w:right="40" w:firstLine="648"/>
        <w:spacing w:after="0" w:line="259" w:lineRule="auto"/>
        <w:rPr>
          <w:sz w:val="20"/>
          <w:szCs w:val="20"/>
          <w:color w:val="auto"/>
        </w:rPr>
      </w:pPr>
      <w:r>
        <w:rPr>
          <w:rFonts w:ascii="Arial" w:cs="Arial" w:eastAsia="Arial" w:hAnsi="Arial"/>
          <w:sz w:val="18"/>
          <w:szCs w:val="18"/>
          <w:color w:val="auto"/>
        </w:rPr>
        <w:t>Since 1963, flooding of the Mississippi River has required the Company’s terminal operations to be temporarily shifted out of its buildings four times, the most recent being in the spring of 2001. From approximately April 12, 2001 to May 8, 2001, the areas around the terminals were flooded, preventing shipments to and from these locations. The terminals themselves were not flooded as the facilities were adequately protected by dikes. Additionally,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right="60"/>
        <w:spacing w:after="0" w:line="288" w:lineRule="auto"/>
        <w:rPr>
          <w:sz w:val="20"/>
          <w:szCs w:val="20"/>
          <w:color w:val="auto"/>
        </w:rPr>
      </w:pPr>
      <w:r>
        <w:rPr>
          <w:rFonts w:ascii="Arial" w:cs="Arial" w:eastAsia="Arial" w:hAnsi="Arial"/>
          <w:sz w:val="16"/>
          <w:szCs w:val="16"/>
          <w:color w:val="auto"/>
        </w:rPr>
        <w:t>the high water interrupted barge traffic on the Mississippi River and no caustic soda barges were received from the closing of the river in the fall of 2000 until the end of May 2001. No substantial interruptions to sales resulted from the flooding as trucks and railroad tank cars were used as an alternative means of supply. However, the Company incurred additional shipping, labor, and other costs and was not able to pass through all of these costs to its customers.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flooding in 2001. The Company believes the impact of future flooding, if any, will be reduced as the Red Rock facility is expected to allow the Company to continue normal shipping to customers during periods of high water levels.</w:t>
      </w:r>
    </w:p>
    <w:p>
      <w:pPr>
        <w:spacing w:after="0" w:line="169" w:lineRule="exact"/>
        <w:rPr>
          <w:sz w:val="20"/>
          <w:szCs w:val="20"/>
          <w:color w:val="auto"/>
        </w:rPr>
      </w:pPr>
    </w:p>
    <w:p>
      <w:pPr>
        <w:ind w:left="1300" w:firstLine="648"/>
        <w:spacing w:after="0" w:line="255" w:lineRule="auto"/>
        <w:rPr>
          <w:sz w:val="20"/>
          <w:szCs w:val="20"/>
          <w:color w:val="auto"/>
        </w:rPr>
      </w:pPr>
      <w:r>
        <w:rPr>
          <w:rFonts w:ascii="Arial" w:cs="Arial" w:eastAsia="Arial" w:hAnsi="Arial"/>
          <w:sz w:val="18"/>
          <w:szCs w:val="18"/>
          <w:color w:val="auto"/>
        </w:rPr>
        <w:t>The Industrial segment also includes a manufacturing, blending and sales distribution center for industrial chemicals, food grade chemicals, high-purity electronic chemicals and laboratory chemicals and supplies. Bulk industrial chemicals are generally repackaged and sold in smaller quantities to the Company’s customers. Sales are concentrated primarily in Wisconsin, Minnesota, northern Iowa, and North and South Dakota. The principal products are acids and alkalis and industrial and food grade salts. The Industrial segment also specializes in sales to the plating and electronic industries, for which it relies on a specially trained sales staff that works directly with customers on their surface finishing needs.</w:t>
      </w:r>
    </w:p>
    <w:p>
      <w:pPr>
        <w:spacing w:after="0" w:line="193" w:lineRule="exact"/>
        <w:rPr>
          <w:sz w:val="20"/>
          <w:szCs w:val="20"/>
          <w:color w:val="auto"/>
        </w:rPr>
      </w:pPr>
    </w:p>
    <w:p>
      <w:pPr>
        <w:ind w:left="1300" w:right="100" w:firstLine="648"/>
        <w:spacing w:after="0" w:line="270" w:lineRule="auto"/>
        <w:rPr>
          <w:sz w:val="20"/>
          <w:szCs w:val="20"/>
          <w:color w:val="auto"/>
        </w:rPr>
      </w:pPr>
      <w:r>
        <w:rPr>
          <w:rFonts w:ascii="Arial" w:cs="Arial" w:eastAsia="Arial" w:hAnsi="Arial"/>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On May 26, 2000, the Company also entered into a five-year employment agreement with one of the previous owners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have a maximum payout of $3,520,000. The non-compete provisions extend for a period of five years after the termination of the employment or consulting agreements, and require annual payments of $100,000 to $200,000 depending on Universal Chemicals’ operating results, as defined in the agreements, for five years after the termination date.</w:t>
      </w:r>
    </w:p>
    <w:p>
      <w:pPr>
        <w:spacing w:after="0" w:line="182" w:lineRule="exact"/>
        <w:rPr>
          <w:sz w:val="20"/>
          <w:szCs w:val="20"/>
          <w:color w:val="auto"/>
        </w:rPr>
      </w:pPr>
    </w:p>
    <w:p>
      <w:pPr>
        <w:ind w:left="1980" w:hanging="675"/>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PRODUCTS. The Company did not have any significant new products during the fiscal year ended March 30, 2003.</w:t>
      </w:r>
    </w:p>
    <w:p>
      <w:pPr>
        <w:spacing w:after="0" w:line="236" w:lineRule="exact"/>
        <w:rPr>
          <w:rFonts w:ascii="Arial" w:cs="Arial" w:eastAsia="Arial" w:hAnsi="Arial"/>
          <w:sz w:val="17"/>
          <w:szCs w:val="17"/>
          <w:color w:val="auto"/>
        </w:rPr>
      </w:pPr>
    </w:p>
    <w:p>
      <w:pPr>
        <w:ind w:left="660" w:right="140" w:firstLine="645"/>
        <w:spacing w:after="0" w:line="312" w:lineRule="auto"/>
        <w:tabs>
          <w:tab w:leader="none" w:pos="1997" w:val="left"/>
        </w:tabs>
        <w:numPr>
          <w:ilvl w:val="0"/>
          <w:numId w:val="4"/>
        </w:numPr>
        <w:rPr>
          <w:rFonts w:ascii="Arial" w:cs="Arial" w:eastAsia="Arial" w:hAnsi="Arial"/>
          <w:sz w:val="16"/>
          <w:szCs w:val="16"/>
          <w:color w:val="auto"/>
        </w:rPr>
      </w:pPr>
      <w:r>
        <w:rPr>
          <w:rFonts w:ascii="Arial" w:cs="Arial" w:eastAsia="Arial" w:hAnsi="Arial"/>
          <w:sz w:val="16"/>
          <w:szCs w:val="16"/>
          <w:color w:val="auto"/>
        </w:rPr>
        <w:t>RAW MATERIALS. The Company’s segments have approximately 300 suppliers, including many of the major chemical producers in the United States, of which approximately 20 account for a majority of the Company’s purchases. The Company’s segments typically have written distributorship agreements or supply contracts with their suppliers that are renewed from time to time. Although there is no assurance</w:t>
      </w:r>
    </w:p>
    <w:p>
      <w:pPr>
        <w:sectPr>
          <w:pgSz w:w="11900" w:h="16838" w:orient="portrait"/>
          <w:cols w:equalWidth="0" w:num="1">
            <w:col w:w="11400"/>
          </w:cols>
          <w:pgMar w:left="240" w:top="125" w:right="259" w:bottom="0" w:gutter="0" w:footer="0" w:header="0"/>
        </w:sectPr>
      </w:pPr>
    </w:p>
    <w:bookmarkStart w:id="2" w:name="page3"/>
    <w:bookmarkEnd w:id="2"/>
    <w:p>
      <w:pPr>
        <w:ind w:left="660" w:right="60"/>
        <w:spacing w:after="0" w:line="277" w:lineRule="auto"/>
        <w:rPr>
          <w:sz w:val="20"/>
          <w:szCs w:val="20"/>
          <w:color w:val="auto"/>
        </w:rPr>
      </w:pPr>
      <w:r>
        <w:rPr>
          <w:rFonts w:ascii="Arial" w:cs="Arial" w:eastAsia="Arial" w:hAnsi="Arial"/>
          <w:sz w:val="18"/>
          <w:szCs w:val="18"/>
          <w:color w:val="auto"/>
        </w:rPr>
        <w:t>that any contract or understanding with any supplier will not be terminated in the foreseeable future, most of the products purchased can be obtained from alternative sources should existing relationships be terminated.</w:t>
      </w:r>
    </w:p>
    <w:p>
      <w:pPr>
        <w:spacing w:after="0" w:line="170" w:lineRule="exact"/>
        <w:rPr>
          <w:sz w:val="20"/>
          <w:szCs w:val="20"/>
          <w:color w:val="auto"/>
        </w:rPr>
      </w:pPr>
    </w:p>
    <w:p>
      <w:pPr>
        <w:ind w:left="660" w:right="20" w:firstLine="645"/>
        <w:spacing w:after="0" w:line="270" w:lineRule="auto"/>
        <w:tabs>
          <w:tab w:leader="none" w:pos="1973"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PATENTS, TRADEMARKS, LICENSES, FRANCHISES, AND CONCESSIONS. There are no patents, trademarks, licenses, franchises or concessions that are currently material to the successful operation of the Company’s business. The Company has, however, obtained a patent on a liquid form of sodium phosphate for use in the processed food industry, as described below. The patent was granted on October 17, 1995 and will expire on November 8, 2013. The Company’s patented Cheese-Phos®, a two-component liquid sodium phosphate, is stored at room temperature. Other competing liquid sodium phosphates must be stored at elevated temperatures to prevent crystallization because they are single component. Liquid delivery systems, in general, are more economical than dry delivery systems and are easier to automate, measure, monitor and control. As a two-component liquid process, Cheese-Phos®, when mixed with varied amounts of sodium hydroxide, can create all of the ratios of sodium phosphates that process cheese makers use. This minimizes inventories for producers. Cheese-Phos® has not and is not expected to materially increase the Company’s sales or profits.</w:t>
      </w:r>
    </w:p>
    <w:p>
      <w:pPr>
        <w:spacing w:after="0" w:line="181" w:lineRule="exact"/>
        <w:rPr>
          <w:rFonts w:ascii="Arial" w:cs="Arial" w:eastAsia="Arial" w:hAnsi="Arial"/>
          <w:sz w:val="17"/>
          <w:szCs w:val="17"/>
          <w:color w:val="auto"/>
        </w:rPr>
      </w:pPr>
    </w:p>
    <w:p>
      <w:pPr>
        <w:ind w:left="660" w:right="220" w:firstLine="645"/>
        <w:spacing w:after="0" w:line="277" w:lineRule="auto"/>
        <w:tabs>
          <w:tab w:leader="none" w:pos="1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April to September timeframe, which is due primarily to an increase in chemicals used by municipal water treatment facilities.</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73"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20" w:firstLine="645"/>
        <w:spacing w:after="0" w:line="264" w:lineRule="auto"/>
        <w:tabs>
          <w:tab w:leader="none" w:pos="198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DEPENDENCE ON LIMITED NUMBER OF CUSTOMERS. No one customer represents more than approximately 5% of the Company’s sales, but the loss of its five largest customers could have a material adverse effect on the Company’s results of operations. Additionally, no one customer represents 10% or more of either the Water Treatment segment or Industrial segment sales.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700" w:firstLine="645"/>
        <w:spacing w:after="0" w:line="277" w:lineRule="auto"/>
        <w:tabs>
          <w:tab w:leader="none" w:pos="2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1991"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COMPETITIVE CONDITIONS. The Company operates in a competitive industry and competes with producers, distributors and sales agents offering chemicals equivalent to all of the products handled by the Company. Many such producers and distributors are substantially larger than the Company. No one competitor, however, is dominant in the Company’s market. Price and service are the principal factors affecting competition in the industry.</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2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RESEARCH AND DEVELOPMENT. The Company does not have a formal research and development function. Employees are assigned to research and development projects as the need arises. During the fiscal year ended March 30, 2003, expenditures for research and development were negligible and not material to the Company’s business.</w:t>
      </w:r>
    </w:p>
    <w:p>
      <w:pPr>
        <w:spacing w:after="0" w:line="181" w:lineRule="exact"/>
        <w:rPr>
          <w:rFonts w:ascii="Arial" w:cs="Arial" w:eastAsia="Arial" w:hAnsi="Arial"/>
          <w:sz w:val="18"/>
          <w:szCs w:val="18"/>
          <w:color w:val="auto"/>
        </w:rPr>
      </w:pPr>
    </w:p>
    <w:p>
      <w:pPr>
        <w:ind w:left="660" w:right="280" w:firstLine="645"/>
        <w:spacing w:after="0" w:line="257" w:lineRule="auto"/>
        <w:tabs>
          <w:tab w:leader="none" w:pos="20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2004.</w:t>
      </w:r>
    </w:p>
    <w:p>
      <w:pPr>
        <w:spacing w:after="0" w:line="188"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EMPLOYEES. The number of persons employed by the Company as of March 30, 2003 was 201.</w:t>
      </w:r>
    </w:p>
    <w:p>
      <w:pPr>
        <w:spacing w:after="0" w:line="225" w:lineRule="exact"/>
        <w:rPr>
          <w:rFonts w:ascii="Arial" w:cs="Arial" w:eastAsia="Arial" w:hAnsi="Arial"/>
          <w:sz w:val="18"/>
          <w:szCs w:val="18"/>
          <w:color w:val="auto"/>
        </w:rPr>
      </w:pPr>
    </w:p>
    <w:p>
      <w:pPr>
        <w:ind w:right="300" w:firstLine="656"/>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rFonts w:ascii="Arial" w:cs="Arial" w:eastAsia="Arial" w:hAnsi="Arial"/>
          <w:sz w:val="18"/>
          <w:szCs w:val="18"/>
          <w:color w:val="auto"/>
        </w:rPr>
      </w:pPr>
    </w:p>
    <w:p>
      <w:pPr>
        <w:ind w:firstLine="656"/>
        <w:spacing w:after="0" w:line="264" w:lineRule="auto"/>
        <w:tabs>
          <w:tab w:leader="none" w:pos="1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AVAILABLE INFORMATION. Our Internet website is: http://www.hawkinsinc.com. We have made available, free of charge, through our Internet website, our Annual Reports on Form 10-K, Quarterly Reports on Form 10-Q, Current Reports on Form 8-K, and amendments to those reports, as soon as reasonably practicable after we electronically file such materials with, or furnish them to, the SEC.</w:t>
      </w:r>
    </w:p>
    <w:p>
      <w:pPr>
        <w:spacing w:after="0" w:line="18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owns its principal location, which consists of approximately 11 acres of land in Minneapolis, Minnesota, with six buildings containing a total of 160,000 square feet of office and warehouse space. The Company’s principal office is located in one of these buildings, at 3100 East Hennepin Avenue. As of the date hereof, the Company has installed sprinkler systems in substantially all of its warehouse facilities for fire protection. The Company carries insurance covering the replacement of property damaged by fire or flood.</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noted above, in December 2000 the Company completed the Red Rock facility, which consists of a 59,000 square-foot building located on approximately 10 acres of land. This facility has outside storage capacity of approximately 1.5 million gallons for the storage of liquid caustic soda, as well as numerous smaller tanks for storing and mixing chemicals. The land is leased from the Port Authority of the City of St. Paul, Minnesota for a basic rent plus an amount based on the annual tonnage unloaded at the site through May 31, 2029. The basic rent and annual tonnage rent are to be renegotiated every five years beginning June 1,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613" w:gutter="0" w:footer="0" w:header="0"/>
        </w:sectPr>
      </w:pPr>
    </w:p>
    <w:bookmarkStart w:id="3" w:name="page4"/>
    <w:bookmarkEnd w:id="3"/>
    <w:p>
      <w:pPr>
        <w:ind w:right="440" w:firstLine="648"/>
        <w:spacing w:after="0" w:line="342" w:lineRule="auto"/>
        <w:rPr>
          <w:sz w:val="20"/>
          <w:szCs w:val="20"/>
          <w:color w:val="auto"/>
        </w:rPr>
      </w:pPr>
      <w:r>
        <w:rPr>
          <w:rFonts w:ascii="Arial" w:cs="Arial" w:eastAsia="Arial" w:hAnsi="Arial"/>
          <w:sz w:val="16"/>
          <w:szCs w:val="16"/>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2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3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Primary Use</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71"/>
        </w:trPr>
        <w:tc>
          <w:tcPr>
            <w:tcW w:w="2540" w:type="dxa"/>
            <w:vAlign w:val="bottom"/>
            <w:gridSpan w:val="3"/>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St. Paul, MN (1)</w:t>
            </w:r>
          </w:p>
        </w:tc>
        <w:tc>
          <w:tcPr>
            <w:tcW w:w="32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Warehouse and Garage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 Paul, MN (1)</w:t>
            </w:r>
          </w:p>
        </w:tc>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Office</w:t>
            </w:r>
          </w:p>
        </w:tc>
        <w:tc>
          <w:tcPr>
            <w:tcW w:w="142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2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Fargo, ND (2)</w:t>
            </w:r>
          </w:p>
        </w:tc>
        <w:tc>
          <w:tcPr>
            <w:tcW w:w="3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Fond du Lac, WI</w:t>
            </w:r>
          </w:p>
        </w:tc>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420" w:type="dxa"/>
            <w:vAlign w:val="bottom"/>
          </w:tcPr>
          <w:p>
            <w:pPr>
              <w:jc w:val="right"/>
              <w:spacing w:after="0"/>
              <w:rPr>
                <w:sz w:val="20"/>
                <w:szCs w:val="20"/>
                <w:color w:val="auto"/>
              </w:rPr>
            </w:pPr>
            <w:r>
              <w:rPr>
                <w:rFonts w:ascii="Arial" w:cs="Arial" w:eastAsia="Arial" w:hAnsi="Arial"/>
                <w:sz w:val="18"/>
                <w:szCs w:val="18"/>
                <w:color w:val="auto"/>
              </w:rPr>
              <w:t>20,300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Washburn, ND (3)</w:t>
            </w:r>
          </w:p>
        </w:tc>
        <w:tc>
          <w:tcPr>
            <w:tcW w:w="3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Billings, MT</w:t>
            </w:r>
          </w:p>
        </w:tc>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42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Sioux Falls, SD (4)</w:t>
            </w:r>
          </w:p>
        </w:tc>
        <w:tc>
          <w:tcPr>
            <w:tcW w:w="3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Rapid City, SD</w:t>
            </w:r>
          </w:p>
        </w:tc>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420" w:type="dxa"/>
            <w:vAlign w:val="bottom"/>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Willow Springs, IL (5)</w:t>
            </w:r>
          </w:p>
        </w:tc>
        <w:tc>
          <w:tcPr>
            <w:tcW w:w="3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Superior, WI</w:t>
            </w:r>
          </w:p>
        </w:tc>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420" w:type="dxa"/>
            <w:vAlign w:val="bottom"/>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Slater, IA</w:t>
            </w:r>
          </w:p>
        </w:tc>
        <w:tc>
          <w:tcPr>
            <w:tcW w:w="3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Lincoln, NE (5)</w:t>
            </w:r>
          </w:p>
        </w:tc>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4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left="660" w:hanging="4"/>
        <w:spacing w:after="0" w:line="272" w:lineRule="auto"/>
        <w:tabs>
          <w:tab w:leader="none" w:pos="132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2003,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a third party (5,000 square feet).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a third party (2,500 square feet).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a third party (6,000 square feet).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owns several trucks, tractors, trailers and vans.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4A.</w:t>
      </w:r>
      <w:r>
        <w:rPr>
          <w:sz w:val="20"/>
          <w:szCs w:val="20"/>
          <w:color w:val="auto"/>
        </w:rPr>
        <w:tab/>
      </w:r>
      <w:r>
        <w:rPr>
          <w:rFonts w:ascii="Arial" w:cs="Arial" w:eastAsia="Arial" w:hAnsi="Arial"/>
          <w:sz w:val="16"/>
          <w:szCs w:val="16"/>
          <w:color w:val="auto"/>
        </w:rPr>
        <w:t>The executive officers of the Company, their ages and offices held, as of May 31, 2003 are set forth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6280" w:type="dxa"/>
            <w:vAlign w:val="bottom"/>
          </w:tcPr>
          <w:p>
            <w:pPr>
              <w:ind w:left="294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Chief Financial Officer, Secretary,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Water Treatment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Manufacturing and Specialty Products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Pharmaceuticals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John R. Hawkins has been the Company’s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Kurt R. Norman has been the Company’s President and Chief Operating Officer since February 16, 2000. He was a Vice President of the Company from February 1999 until February 2000, the Vice President of the Water Treatment segment from 1996 to February 1999 and was the Water Treatment General Manager from 1988 to 1996.</w:t>
      </w:r>
    </w:p>
    <w:p>
      <w:pPr>
        <w:spacing w:after="0" w:line="18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w:t>
      </w:r>
    </w:p>
    <w:p>
      <w:pPr>
        <w:sectPr>
          <w:pgSz w:w="11900" w:h="16838" w:orient="portrait"/>
          <w:cols w:equalWidth="0" w:num="1">
            <w:col w:w="11360"/>
          </w:cols>
          <w:pgMar w:left="240" w:top="125" w:right="299" w:bottom="0" w:gutter="0" w:footer="0" w:header="0"/>
        </w:sectPr>
      </w:pPr>
    </w:p>
    <w:bookmarkStart w:id="4" w:name="page5"/>
    <w:bookmarkEnd w:id="4"/>
    <w:p>
      <w:pPr>
        <w:ind w:right="320"/>
        <w:spacing w:after="0" w:line="277" w:lineRule="auto"/>
        <w:rPr>
          <w:sz w:val="20"/>
          <w:szCs w:val="20"/>
          <w:color w:val="auto"/>
        </w:rPr>
      </w:pPr>
      <w:r>
        <w:rPr>
          <w:rFonts w:ascii="Arial" w:cs="Arial" w:eastAsia="Arial" w:hAnsi="Arial"/>
          <w:sz w:val="18"/>
          <w:szCs w:val="18"/>
          <w:color w:val="auto"/>
        </w:rPr>
        <w:t>Tricord Systems, Inc. from 1993 to 1997 and Senior Director of Accounting of NordicTrack, Inc. in 1993 and the Controller of NordicTrack from 1991 to 1992.</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30-year career with the Company, most recently as its Water Treatment General Manager.</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John R. Sevenich has been the Company’s Vice President - - Manufacturing and Specialty Products since May 2000. He was the Business Unit Manager of Manufacturing from 1998 to May 2000 and was a Sales Representative with the Company from 1989 to 1998.</w:t>
      </w:r>
    </w:p>
    <w:p>
      <w:pPr>
        <w:spacing w:after="0" w:line="170" w:lineRule="exact"/>
        <w:rPr>
          <w:sz w:val="20"/>
          <w:szCs w:val="20"/>
          <w:color w:val="auto"/>
        </w:rPr>
      </w:pPr>
    </w:p>
    <w:p>
      <w:pPr>
        <w:ind w:right="1000" w:firstLine="648"/>
        <w:spacing w:after="0" w:line="308" w:lineRule="auto"/>
        <w:rPr>
          <w:sz w:val="20"/>
          <w:szCs w:val="20"/>
          <w:color w:val="auto"/>
        </w:rPr>
      </w:pPr>
      <w:r>
        <w:rPr>
          <w:rFonts w:ascii="Arial" w:cs="Arial" w:eastAsia="Arial" w:hAnsi="Arial"/>
          <w:sz w:val="17"/>
          <w:szCs w:val="17"/>
          <w:color w:val="auto"/>
        </w:rPr>
        <w:t>Daniel E. Soderlund has been the Company’s Vice President - Pharmaceuticals since May 2000. He was the Business Unit Manager of Pharmaceuticals from April 1999 to May 2000 and was a Sales Representative with the Company from 1992 to April 1999.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MARKET FOR THE COMPANY’S COMMON EQUITY AND RELATED STOCKHOLDER MATTERS.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Quarterly Stock Data</w:t>
            </w:r>
          </w:p>
        </w:tc>
        <w:tc>
          <w:tcPr>
            <w:tcW w:w="26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9.000</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9.900</w:t>
            </w:r>
          </w:p>
        </w:tc>
        <w:tc>
          <w:tcPr>
            <w:tcW w:w="3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10.200</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9.650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8.900</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8.900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9.688</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10.250</w:t>
            </w:r>
          </w:p>
        </w:tc>
        <w:tc>
          <w:tcPr>
            <w:tcW w:w="3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365"/>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Cash Dividends</w:t>
            </w:r>
          </w:p>
        </w:tc>
        <w:tc>
          <w:tcPr>
            <w:tcW w:w="26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Declared</w:t>
            </w:r>
          </w:p>
        </w:tc>
        <w:tc>
          <w:tcPr>
            <w:tcW w:w="32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Fiscal 2003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Fiscal 2002</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Fiscal 2001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ind w:left="52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5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900" w:type="dxa"/>
            <w:vAlign w:val="bottom"/>
            <w:gridSpan w:val="2"/>
          </w:tcPr>
          <w:p>
            <w:pPr>
              <w:ind w:left="52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common shares are traded on The Nasdaq Stock Marketâ under the symbol “HWKN.” The price information represents closing sale prices as reported by Nasdaq. As of March 30, 2003, there were approximately 700 registered common stockholders. Additionally, the Depository Trust Company, the principal central securities depository in the United States, held the shares of approximately 1,400 stockholders that were counted as owned by one holder.</w:t>
      </w:r>
    </w:p>
    <w:p>
      <w:pPr>
        <w:spacing w:after="0" w:line="18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 first started paying cash dividends in 1985 and has done so consecutively since that time. Future dividend levels will be dependent upon Hawkins’ results of operations, financial position, cash flows and other factors, and will be evaluated by the Hawkins Board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ectPr>
          <w:pgSz w:w="11900" w:h="16838" w:orient="portrait"/>
          <w:cols w:equalWidth="0" w:num="1">
            <w:col w:w="11400"/>
          </w:cols>
          <w:pgMar w:left="240" w:top="125"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SELECTED FINANCIAL DATA TABLES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Six-Month</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Fiscal Years Ended September</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March 30,</w:t>
            </w:r>
          </w:p>
        </w:tc>
        <w:tc>
          <w:tcPr>
            <w:tcW w:w="14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March 31,</w:t>
            </w: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w:t>
            </w:r>
          </w:p>
        </w:tc>
        <w:tc>
          <w:tcPr>
            <w:tcW w:w="1480" w:type="dxa"/>
            <w:vAlign w:val="bottom"/>
            <w:gridSpan w:val="2"/>
          </w:tcPr>
          <w:p>
            <w:pPr>
              <w:jc w:val="center"/>
              <w:ind w:left="153"/>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2"/>
                <w:szCs w:val="12"/>
                <w:color w:val="auto"/>
              </w:rPr>
            </w:pPr>
          </w:p>
        </w:tc>
        <w:tc>
          <w:tcPr>
            <w:tcW w:w="122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2"/>
                <w:szCs w:val="12"/>
                <w:color w:val="auto"/>
              </w:rPr>
            </w:pPr>
          </w:p>
        </w:tc>
        <w:tc>
          <w:tcPr>
            <w:tcW w:w="1260" w:type="dxa"/>
            <w:vAlign w:val="bottom"/>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2"/>
                <w:szCs w:val="12"/>
                <w:color w:val="auto"/>
              </w:rPr>
            </w:pPr>
          </w:p>
        </w:tc>
        <w:tc>
          <w:tcPr>
            <w:tcW w:w="12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104,004,611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   49,868,179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107,931,668</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98,021,731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96,734,470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95,860,765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8,430,172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3,083,771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7,117,578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9,698,642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8,213,869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Basic and diluted earnings per common</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dividends declared per common</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89"/>
              </w:rPr>
              <w:t>Cash dividends paid per common share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81,098,739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71,487,133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74,868,121</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69,894,520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68,999,827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66,535,475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226,003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328,040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changed its fiscal year end from the Sunday closest to September 30 to the Sunday closest to March 31, beginning after a six-month transitional period ended on March 31, 2002. See “Management’s Discussion and Analysis of Financial Condition and Results of Operations - General.”</w:t>
      </w:r>
    </w:p>
    <w:p>
      <w:pPr>
        <w:spacing w:after="0" w:line="12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information contained in this Annual Report on Form 10-K for the year ended March 30, 2003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“expected,”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Form 10-K and in any public statements we make could be materially different from actual results. They can be affected by assumptions we might make or by known or unknown risks or uncertainties, including those described below under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Form 10-K. Investors are cautioned not to place undue reliance on any forward-looking statements. Investors should also understand that it is not possible to predict or identify all such factors and should not consider the following list to be a complete statement of all potential risks and uncertainties.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000" w:right="180" w:hanging="299"/>
        <w:spacing w:after="0" w:line="259" w:lineRule="auto"/>
        <w:tabs>
          <w:tab w:leader="none" w:pos="994" w:val="left"/>
        </w:tabs>
        <w:numPr>
          <w:ilvl w:val="0"/>
          <w:numId w:val="9"/>
        </w:numPr>
        <w:rPr>
          <w:rFonts w:ascii="Arial" w:cs="Arial" w:eastAsia="Arial" w:hAnsi="Arial"/>
          <w:sz w:val="21"/>
          <w:szCs w:val="21"/>
          <w:color w:val="auto"/>
        </w:rPr>
      </w:pPr>
      <w:r>
        <w:rPr>
          <w:rFonts w:ascii="Arial" w:cs="Arial" w:eastAsia="Arial" w:hAnsi="Arial"/>
          <w:sz w:val="17"/>
          <w:szCs w:val="17"/>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hence lower prices.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340" w:hanging="299"/>
        <w:spacing w:after="0" w:line="297" w:lineRule="auto"/>
        <w:tabs>
          <w:tab w:leader="none" w:pos="994" w:val="left"/>
        </w:tabs>
        <w:numPr>
          <w:ilvl w:val="0"/>
          <w:numId w:val="10"/>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1000" w:right="220" w:hanging="299"/>
        <w:spacing w:after="0" w:line="232" w:lineRule="auto"/>
        <w:tabs>
          <w:tab w:leader="none" w:pos="994" w:val="left"/>
        </w:tabs>
        <w:numPr>
          <w:ilvl w:val="0"/>
          <w:numId w:val="10"/>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1000" w:hanging="299"/>
        <w:spacing w:after="0"/>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1000" w:hanging="299"/>
        <w:spacing w:after="0"/>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1000" w:hanging="299"/>
        <w:spacing w:after="0"/>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1000" w:hanging="299"/>
        <w:spacing w:after="0"/>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28" w:lineRule="exact"/>
        <w:rPr>
          <w:rFonts w:ascii="Arial" w:cs="Arial" w:eastAsia="Arial" w:hAnsi="Arial"/>
          <w:sz w:val="22"/>
          <w:szCs w:val="22"/>
          <w:color w:val="auto"/>
        </w:rPr>
      </w:pPr>
    </w:p>
    <w:p>
      <w:pPr>
        <w:ind w:left="1000" w:right="40" w:hanging="299"/>
        <w:spacing w:after="0" w:line="232" w:lineRule="auto"/>
        <w:tabs>
          <w:tab w:leader="none" w:pos="994" w:val="left"/>
        </w:tabs>
        <w:numPr>
          <w:ilvl w:val="0"/>
          <w:numId w:val="10"/>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ectPr>
          <w:pgSz w:w="11900" w:h="16838" w:orient="portrait"/>
          <w:cols w:equalWidth="0" w:num="1">
            <w:col w:w="11420"/>
          </w:cols>
          <w:pgMar w:left="240" w:top="125" w:right="239" w:bottom="0" w:gutter="0" w:footer="0" w:header="0"/>
        </w:sectPr>
      </w:pPr>
    </w:p>
    <w:bookmarkStart w:id="6" w:name="page7"/>
    <w:bookmarkEnd w:id="6"/>
    <w:p>
      <w:pPr>
        <w:spacing w:after="0" w:line="93" w:lineRule="exact"/>
        <w:rPr>
          <w:sz w:val="20"/>
          <w:szCs w:val="20"/>
          <w:color w:val="auto"/>
        </w:rPr>
      </w:pPr>
    </w:p>
    <w:p>
      <w:pPr>
        <w:ind w:left="1000" w:right="280" w:hanging="299"/>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1000" w:right="20" w:hanging="299"/>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1000" w:right="320" w:hanging="299"/>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08" w:lineRule="exact"/>
        <w:rPr>
          <w:rFonts w:ascii="Arial" w:cs="Arial" w:eastAsia="Arial" w:hAnsi="Arial"/>
          <w:sz w:val="22"/>
          <w:szCs w:val="22"/>
          <w:color w:val="auto"/>
        </w:rPr>
      </w:pPr>
    </w:p>
    <w:p>
      <w:pPr>
        <w:ind w:left="1000" w:hanging="299"/>
        <w:spacing w:after="0"/>
        <w:tabs>
          <w:tab w:leader="none" w:pos="10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Technology risks, such as failure to continue to make process improvements to reduce costs or to analyze our business.</w:t>
      </w:r>
    </w:p>
    <w:p>
      <w:pPr>
        <w:spacing w:after="0" w:line="206" w:lineRule="exact"/>
        <w:rPr>
          <w:rFonts w:ascii="Arial" w:cs="Arial" w:eastAsia="Arial" w:hAnsi="Arial"/>
          <w:sz w:val="22"/>
          <w:szCs w:val="22"/>
          <w:color w:val="auto"/>
        </w:rPr>
      </w:pPr>
    </w:p>
    <w:p>
      <w:pPr>
        <w:ind w:left="1000" w:hanging="299"/>
        <w:spacing w:after="0"/>
        <w:tabs>
          <w:tab w:leader="none" w:pos="10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our ability to hire suitable replacements in a timely manner.</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Annual Report on Form 10-K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December 2001, the Company changed its fiscal year end to a 52/53-week year ending on the Sunday closest to March 31 from a 52/53-week fiscal year ending on the Sunday closest to September 30. The change in year-end better matches the Company’s annual reporting process to its natural business cycles. This change resulted in a six-month transitional period ended March 31, 2002. This discussion compares the Company’s fiscal year ended March 30, 2003 with the six-month transitional period ended March 31, 2002, the six-month transitional period ended March 31, 2002 with the fiscal year ended September 30, 2001, and the fiscal year ended September 30, 2001 with the fiscal year ended October 1, 2000. Due to the seasonality of the Company’s business, management feels it would be more meaningful to the readers of these statements to compare results of operations to comparable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Sales for the fiscal year ended March 30, 2003 were $104,004,611 versus $49,868,179 for the six-month transitional period ended March 31, 2002 and $107,931,668 for the fiscal year ended September 30, 2001. Net income for the fiscal year ended March 30, 2003 was $8,430,172, or $.83 per share, $3,083,771, or $.30 per share for the six-month transitional period ended March 31, 2002, and $7,117,578, or $.69 per share for the fiscal year ended September 30, 2001. Return on average shareholders’ equity was 13.4% for the fiscal year ended March 30, 2003 compared to 10.5% for the six-month transitional period ended March 31, 2002 and 12.3% for the fiscal year ended September 30, 2001. Book value per share was $6.43 at March 30, 2003, $5.91 at March 31, 2002, and $5.77 at September 30, 2001.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fiscal year ended March 30, 2003, sales for the Industrial segment were $67,674,289 and for the Water Treatment segment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$36,330,322. For the six-month transitional period ended March 31, 2002, sales for the Industrial segment were $35,686,509 and for the Water Treatment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were $14,181,670. The increase in sales was due to a difference in period lengths and the seasonal nature of the Water Treatment segment’s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its sales during April through September are greater than its sales during October through March.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fiscal year ended September 30, 2001, sales for the Industrial segment were $73,818,768 and for the Water Treatment segment were</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$34,112,900. The decrease in sales for the six-month transitional period ended March 31, 2002 as compared to the fiscal year ended September 30, 2001 was due to the difference in length of periods compared and to the seasonal nature of the Water Treatment segment’s business as mentioned above.</w:t>
      </w:r>
    </w:p>
    <w:p>
      <w:pPr>
        <w:spacing w:after="0" w:line="13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For the fiscal year ended September 30, 2001, sales increased $9,909,937, a 10.1% increase from the fiscal year ended October 1, 2000, due to an increase of $6,494,368, or 9.6%, in Industrial segment sales and an increase of $3,415,569, or 11.1%, in Water Treatment segment sales. The Industrial segment increase was mainly due to an increase in the selling price of caustic soda and volume increases in other product lines, which were partially offset by a decrease in the volume of caustic soda sold. The Water Treatment segment increase is due mainly to an increase in volumes of products sold.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Gross margin, as a percentage of sales, was 26.9% for the fiscal year ended March 30, 2003 compared to 23.1% for the six-month transitional period ended March 31, 2002 and was 22.5% and 25.3% for the fiscal years ended September 30, 2001 and October 1, 2000, respectively. The gross margin variations are due to a number of variables as explained below.</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Gross margin, as a percentage of sales, for the Industrial segment was 23.8% for the fiscal year ended March 30, 2003 and 21.4% for the six-month transitional period ended March 31, 2002 and was 18.7% and 22.6% for the fiscal years ended September 30, 2001 and October 1, 2000, respectively. The increases over the previous year in the fiscal year ended March 30, 2003 and the six-month transitional period ended March 31, 2002 are mainly due to improved margins in most product lines and to fluctuations in the cost and selling price of caustic soda. During calendar 2002, the cost of caustic soda was increasing and continued to increase through the end of the 2003 fiscal year. Due to the large quantities of caustic soda inventory that are maintained to meet customer requirements and because the Company is on the last-in, first out (LIFO) method of valuing inventories, any cost fluctuations can impact gross margins. The Company attempts to maintain relatively constant dollar margins as the cost of caustic soda increases or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Company has generally been able to, and expects to continue to, adjust its selling price as the cost of materials and other expenses change.</w:t>
      </w:r>
    </w:p>
    <w:p>
      <w:pPr>
        <w:spacing w:after="0" w:line="1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decrease in gross margin for the fiscal year ended September 30, 2001 compared to the fiscal year ended October 1, 2000 was primarily due to the cost of caustic soda, which began to increase at the beginning of fiscal year 2001 but then started to decrease and continued to decrease through the end of the fiscal year. Due to the large quantities of caustic soda that the Company had on hand at the beginning of fiscal 2001 and because of the LIFO method of valuing inventories, this increase negatively impacted gross margins. The Company implemented caustic soda price increases during the year; however,</w:t>
      </w:r>
    </w:p>
    <w:p>
      <w:pPr>
        <w:sectPr>
          <w:pgSz w:w="11900" w:h="16931" w:orient="portrait"/>
          <w:cols w:equalWidth="0" w:num="1">
            <w:col w:w="11400"/>
          </w:cols>
          <w:pgMar w:left="240" w:top="152" w:right="259" w:bottom="0" w:gutter="0" w:footer="0" w:header="0"/>
        </w:sectPr>
      </w:pPr>
    </w:p>
    <w:bookmarkStart w:id="7" w:name="page8"/>
    <w:bookmarkEnd w:id="7"/>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market pressures prevented the Company from recovering all of the increased caustic soda costs. Additionally, an increase over the prior year in the volume of caustic soda in the year-end inventory combined with the increase in cost of caustic soda resulted in an increase in the LIFO reserve, all of which negatively affected earnings by $1.4 million or $.14 per share.</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Gross margin, as a percentage of sales, for the Water Treatment segment was 32.7% for the fiscal year ended March 30, 2003, 27.6% for the six-month transitional period ended March 31, 2002, and 30.7% and 31.2% for the fiscal years ended September 30, 2001 and October 1, 2000, respectively. The gross margin increase for the fiscal year ended March 30, 2003 as compared to the six-month transitional period ended March 31, 2002 was due to the fiscal year end change and to the nature of the Water Treatment segment business. During the months of April to September, the sales for this segment are greater and have higher profit margins than the sales for October to March. Additionally, there are certain fixed costs included in cost of sales that do not fluctuate with sales volumes. The decrease for the six-month transitional period ended March 31, 2002 in comparison to the fiscal year ended September 30, 2001 was due to the aforementioned fiscal year end change and the seasonality of the Water Treatment segment. The decrease for the fiscal year ended September 30, 2001 in comparison to the fiscal year ended October 1, 2000 was attributable to the aforementioned changes in caustic soda costs and costs associated with the new Red Rock facility.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Selling, general and administrative expenses, as a percentage of sales, were 14.3% for the fiscal year ended March 30, 2003, 13.9% for the six-month transitional period ended March 31, 2002, and 13.2% and 12.0% for the fiscal years ended September 30, 2001 and October 1, 2000, respectively. The increase for the fiscal year ended March 30, 2003 over the six-month transitional period ended March 31, 2002 was primarily attributable to the Company’s investment in infrastructure necessary to support future sales increases as well as a larger, more geographically dispersed organization. The six-month transitional period increase over the fiscal year ended September 30, 2001 was primarily attributable to increases in sales staff and insurance expense. The fiscal year ended September 30, 2001 increase over the fiscal year ended October 1, 2000 was mainly due to increases in the sales staff, consulting fees, amortization of intangibles related to the acquisition of Universal Chemicals, and employee benefit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Investment income increased $139,689 to $367,049 for the fiscal year ended March 30, 2003 compared to $227,360 for the six-month transitional period ended March 31, 2002 due to increased amounts of cash available for investment and the aforementioned change in our fiscal year end that resulted in the six-month transitional period. The increase was partially offset by a $370,000 loss recognized in the fiscal year ended March 30, 2003 due to declines in market value on investments which were deemed other than temporary. Investment income for the fiscal year ended March 30, 2003 was comparable to the fiscal year ended September 30, 2001, excluding the aforementioned $370,000 loss, as the increased amounts of cash available for investment during the fiscal year ended March 30, 2003 was offset by a lower rate of return. Interest income for the fiscal year ended September 30, 2001 decreased by $346,706 in comparison to the fiscal year ended October 1, 2000 due to less cash available for investment and a lower rate of return.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effective income tax rate was 37.2% for the fiscal year ended March 30, 2003, 36.2% for the six-month transitional period ended March 31, 2002, 33.8% for the fiscal year ended September 30, 2001 and 39.2% for the fiscal year ended October 1, 2000. The increase for the fiscal year ended March 30, 2003 compared to the six-month transitional period ended March 31, 2002 was primarily due to less tax-exempt interest income. The increase in the effective rate for the six-month transitional period compared to the fiscal year ended September 30, 2001 was due to changes in state apportionment factors, and the decrease in the fiscal year ended September 30, 2001 from the fiscal year ended October 1, 2000 was due to changes in state apportionment factors and a deduction for dividends paid on allocated shares held in the Employee Stock Ownership Plan and Trust.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Inflation did not have a significant impact on the Company during the fiscal year ended March 30, 2003, the six-month transitional period ended March 31, 2002, and the fiscal years ended September 30, 2001 and October 1, 2000, as selling prices have generally been adjusted as the cost of materials and other expenses have changed. On occasion, slight fluctuations in the cost of a single, large-volume product have not been reflected in the selling price of that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Fiscal Year Ended March 30, 2003</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First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400"/>
              <w:spacing w:after="0" w:line="119" w:lineRule="exact"/>
              <w:rPr>
                <w:sz w:val="20"/>
                <w:szCs w:val="20"/>
                <w:color w:val="auto"/>
              </w:rPr>
            </w:pPr>
            <w:r>
              <w:rPr>
                <w:rFonts w:ascii="Arial" w:cs="Arial" w:eastAsia="Arial" w:hAnsi="Arial"/>
                <w:sz w:val="13"/>
                <w:szCs w:val="13"/>
                <w:b w:val="1"/>
                <w:bCs w:val="1"/>
                <w:color w:val="auto"/>
              </w:rPr>
              <w:t>Second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Third</w:t>
            </w:r>
          </w:p>
        </w:tc>
        <w:tc>
          <w:tcPr>
            <w:tcW w:w="180" w:type="dxa"/>
            <w:vAlign w:val="bottom"/>
          </w:tcPr>
          <w:p>
            <w:pPr>
              <w:spacing w:after="0"/>
              <w:rPr>
                <w:sz w:val="10"/>
                <w:szCs w:val="10"/>
                <w:color w:val="auto"/>
              </w:rPr>
            </w:pPr>
          </w:p>
        </w:tc>
        <w:tc>
          <w:tcPr>
            <w:tcW w:w="12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2002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September 30, 2002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2002</w:t>
            </w:r>
          </w:p>
        </w:tc>
        <w:tc>
          <w:tcPr>
            <w:tcW w:w="1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30, 2003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27,282,901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27,636,311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24,331,951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7,751,126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7,962,555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6,290,581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5,953,590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2,574,395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2,681,311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1,835,163</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Six-Month Transitional Period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Ended March 31, 2002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First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ind w:left="360"/>
              <w:spacing w:after="0" w:line="119" w:lineRule="exact"/>
              <w:rPr>
                <w:sz w:val="20"/>
                <w:szCs w:val="20"/>
                <w:color w:val="auto"/>
              </w:rPr>
            </w:pPr>
            <w:r>
              <w:rPr>
                <w:rFonts w:ascii="Arial" w:cs="Arial" w:eastAsia="Arial" w:hAnsi="Arial"/>
                <w:sz w:val="13"/>
                <w:szCs w:val="13"/>
                <w:b w:val="1"/>
                <w:bCs w:val="1"/>
                <w:color w:val="auto"/>
              </w:rPr>
              <w:t>Second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2001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25,210,631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24,657,548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5,959,375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5,576,331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1,620,604</w:t>
            </w: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1,463,167</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8" w:name="page9"/>
    <w:bookmarkEnd w:id="8"/>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8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Fiscal Year Ended September 30, 2001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First</w:t>
            </w:r>
          </w:p>
        </w:tc>
        <w:tc>
          <w:tcPr>
            <w:tcW w:w="180" w:type="dxa"/>
            <w:vAlign w:val="bottom"/>
          </w:tcPr>
          <w:p>
            <w:pPr>
              <w:spacing w:after="0"/>
              <w:rPr>
                <w:sz w:val="10"/>
                <w:szCs w:val="10"/>
                <w:color w:val="auto"/>
              </w:rPr>
            </w:pPr>
          </w:p>
        </w:tc>
        <w:tc>
          <w:tcPr>
            <w:tcW w:w="15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3"/>
              </w:rPr>
              <w:t>Second</w:t>
            </w:r>
          </w:p>
        </w:tc>
        <w:tc>
          <w:tcPr>
            <w:tcW w:w="180" w:type="dxa"/>
            <w:vAlign w:val="bottom"/>
          </w:tcPr>
          <w:p>
            <w:pPr>
              <w:spacing w:after="0"/>
              <w:rPr>
                <w:sz w:val="10"/>
                <w:szCs w:val="10"/>
                <w:color w:val="auto"/>
              </w:rPr>
            </w:pPr>
          </w:p>
        </w:tc>
        <w:tc>
          <w:tcPr>
            <w:tcW w:w="15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December 31, 2000</w:t>
            </w:r>
          </w:p>
        </w:tc>
        <w:tc>
          <w:tcPr>
            <w:tcW w:w="180" w:type="dxa"/>
            <w:vAlign w:val="bottom"/>
          </w:tcPr>
          <w:p>
            <w:pPr>
              <w:spacing w:after="0"/>
              <w:rPr>
                <w:sz w:val="14"/>
                <w:szCs w:val="14"/>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March 31, 2001</w:t>
            </w:r>
          </w:p>
        </w:tc>
        <w:tc>
          <w:tcPr>
            <w:tcW w:w="18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24,256,916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26,152,722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28,978,656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28,543,374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5,075,036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5,368,722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7,080,326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6,773,503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1,340,378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2,082,953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Cash provided by operations in the fiscal year ended March 30, 2003 was $14,589,108 compared to $3,860,076 during the six-month transitional period ended March 31, 2002, $9,950,745 in the fiscal year ended September 30, 2001 and $9,693,479 in the fiscal year ended October 1, 2000. The increase in the fiscal year ended March 30, 2003 compared to the six-month period ended March 31, 2002 was due primarily to timing of retirement plan payments and the increase in net income, which was offset by fluctuations in inventory values and quantities. The decrease in the six-month transitional period ended March 31, 2002 compared to the fiscal year ended September 30, 2001 was due primarily to fluctuations in inventory and timing of liability payments and a decrease in net income due to the six-month period.</w:t>
      </w:r>
    </w:p>
    <w:p>
      <w:pPr>
        <w:spacing w:after="0" w:line="19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Cash and investments available-for-sale increased by $9,745,638 from March 31, 2002 to $24,256,281 as of March 30, 2003. The increase was primarily attributable to cash generated by operations in excess of capital expenditures and financing uses. Cash and investments available-for-sale increased by $1,909,772 from September 30, 2001 to $14,510,643 at the end of the six-month transitional period. This increase was primarily attributable to cash generated by operations in excess of capital expenditures and financing uses and the maturity of investments from investments held to maturity, which were invested in available-for-sale investments. Cash equivalents consist of money market accounts at a financial institution. Investments consist of investment contracts with high-rated, stable insurance companies, marketable securities consisting of variable rate municipal bonds, U.S. Government agency securities and mutual funds carried at fair value. Investments are highly liquid and are available upon demand generally with only a minor penalty. Additionally, cash and cash equivalents increased by $6,221,039 from September 30, 2001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March 31, 2002 as the Company was in process at March 31, 2002 of transitioning investments into higher rate of return investments. Subsequent to March 31, 2002 a significant portion of the cash equivalents were invested in the aforementioned investment options.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March 30, 2003, the Company had an investment portfolio of fixed income securities of $15,966,207 and mutual funds of $6,724,198, excluding $2,652,701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recorded a loss of $370,000 in the fiscal year ended March 30, 2003 due to declines in market value that were deemed other than temporary.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Capital expenditures in the fiscal year ended March 30, 2003, the six-month transitional period ended March 31, 2002, and the fiscal years ended September 30, 2001 and October 1, 2000 were $2,348,124, $1,145,030, $7,056,226, and $7,216,301, respectively. Capital expenditures during the fiscal year ended March 30, 2003 consisted primarily of $1,000,000 for machinery and equipment, $550,000 for transportation equipment, $450,000 for building improvements, and $350,000 for land and office furniture.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REPURCHASES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did not acquire any common stock during the fiscal year ended March 30, 2003. During the six-month transitional period ended March 31, 2002, the Company acquired and retired 32,100 shares of common stock for $251,790.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Future minimum lease payments due under operating leases with an initial term of one year or more at March 30, 2003 are $164,362 in 2004, $105,901 in 2005, $86,776 in 2006, $86,776 in 2007, $86,776 in 2008 and $1,851,220 thereafter. The Company does not have any other contractual obligations or commercial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 term. If the need to obtain additional capital does arise, however, management is confident that the Company’s total debt to capital ratio puts it in a position to obtain debt financing on favorable terms.</w:t>
      </w:r>
    </w:p>
    <w:p>
      <w:pPr>
        <w:spacing w:after="0" w:line="18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Other than as discussed above, management is not aware of any matters or trends that have materially affected the results of operations for the fiscal year ended March 30, 2003 that are not expected to have either short or long-term implications, nor is it aware of any trends or other matters that have not</w:t>
      </w:r>
    </w:p>
    <w:p>
      <w:pPr>
        <w:sectPr>
          <w:pgSz w:w="11900" w:h="16867"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materially affected results in the fiscal year ended March 30, 2003 but are expected to have a material effect on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144, “Accounting for the Impairment of Long-Lived Assets and for Long-Lived Assets to be Disposed Of.”</w:t>
      </w:r>
    </w:p>
    <w:p>
      <w:pPr>
        <w:spacing w:after="0" w:line="14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policies for these matters, which are described in Note 1 to the financial statements, are in accordance with generally accepted accounting principles. Management believes that their application results in a fair presentation in the financial statements of the Company’s operating results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2001, the Financial Accounting Standards Board (FASB) issued SFAS No. 142, “Goodwill and Other Intangible Assets.”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adopted the provisions of SFAS No.142 on April 1, 2002. Under SFAS No. 142, goodwill as well as other intangibles determined to have an infinite life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longer be amortized; however, these assets will be reviewed for impairment on a periodic basis. SFAS No.142 also includes provisions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of certain existing recognized intangibles as goodwill, reclassification of certain intangibles out of previously reported goodwill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identification of reporting units for purposes of assessing potential future impairments of goodwill. </w:t>
      </w:r>
      <w:r>
        <w:rPr>
          <w:rFonts w:ascii="Arial" w:cs="Arial" w:eastAsia="Arial" w:hAnsi="Arial"/>
          <w:sz w:val="16"/>
          <w:szCs w:val="16"/>
          <w:color w:val="auto"/>
        </w:rPr>
        <w:t>The implementation of SFAS No. 142 did not impact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financial statements since the Company does not have any goodwill recorded. As of March 30, 2003 the Company had net intangible assets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$3,061,663. Amortization expense was $283,485, $141,742, $283,485, and $136,561 during the fiscal year ended March 30, 2003, the six-month transitional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period ended March 31, 2002, and the fiscal years ended September 30, 2001 and October 1, 2000, respectively. The estimated amortization expense for each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next five years is approximately $284,000 per year.</w:t>
      </w:r>
    </w:p>
    <w:p>
      <w:pPr>
        <w:spacing w:after="0" w:line="21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adoption of SFAS No. 144 was effective for the Company beginning on April 1, 2002. The adoption of SFAS No. 144 did not have a material effect on the Company’s historical results of operations or financial position.</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2002, the FASB issued FASB Interpretation No. 45, “Guarantor’s Accounting and Disclosure Requirements for Guarantees, Including Indirect Guarantees of Indebtedness of Others” (Interpretation No. 45). Interpretation No. 45 clarifies the disclosures to be made by a guarantor in its interim and annual financial statements about its obligations under certain guarantees that it has issued. Interpretation No. 45 also requires a guarantor to recognize, at the inception of a guarantee, a liability for the fair value of the obligation undertaken in issuing certain types of guarantees. The disclosure requirements in Interpretation No. 45 are effective for interim or annual financial statement periods ended after December 15, 2002. The adoption of Interpretation No. 45 did not have an impact on the Company’s results of operations or financial position.</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January 2003, the FASB issued Interpretation No.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The disclosure requirements of this interpretation are effective for all financial statements issued after January 31, 2003. The consolidation requirements of this interpretation are effective for all periods beginning after June 15, 2003. The Company does not expect the adoption of this new standard to have any effect on its results of operations or financial position.</w:t>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Hawkins, Inc.:</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balance sheets of Hawkins, Inc. (the Company) as of March 30, 2003 and March 31, 2002 and the related statements of income, shareholders’ equity, and cash flows for the fiscal year ended March 30, 2003, the six-month transitional period ended March 31, 2002, and the fiscal years ended September 30, 2001 and October 1, 2000.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Hawkins, Inc. at March 30, 2003 and March 31, 2002 and the results of its operations and cash flows for the fiscal year ended March 30, 2003, the six-month transitional period ended March 31, 2002, and the fiscal years ended September 30, 2001 and October 1, 2000, in conformity with accounting principles generally accepted in the United States of America.</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1,353,720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Investments available-for-sale</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22,902,561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7,170,748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 - less allowance for doubtful accounts: 2003, $275,000; 2002, $300,000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11,253,571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9,398,338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9,397,541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2,502,496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47,410,686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36,496,237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719,942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27,197,171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26,820,678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11,491,227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7,520,148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7,347,470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2,776,787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49,705,275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47,792,429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22,238,756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27,466,519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 less accumulated amortization: 2003, $1,301,386; 2002, $1,017,901</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3,061,663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3,159,871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3,705,578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6,221,534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7,050,726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81,098,739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5,854,720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3,665,247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Container deposits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 accruals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1,101,239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855,353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13,904,250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9,749,784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57"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226,336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w w:val="96"/>
              </w:rPr>
              <w:t>Common stock - authorized: 30,000,000 shares of $.05 par value; issued and outstanding: 10,216,688 shares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510,834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27,376,115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22,317,637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65,713,504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60,430,435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81,098,739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71,487,133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left="294"/>
              <w:spacing w:after="0"/>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7"/>
              </w:rPr>
              <w:t>Six-Month</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center"/>
              <w:ind w:left="74"/>
              <w:spacing w:after="0" w:line="158" w:lineRule="exact"/>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6"/>
          </w:tcPr>
          <w:p>
            <w:pPr>
              <w:jc w:val="center"/>
              <w:ind w:right="460"/>
              <w:spacing w:after="0" w:line="158" w:lineRule="exact"/>
              <w:rPr>
                <w:sz w:val="20"/>
                <w:szCs w:val="20"/>
                <w:color w:val="auto"/>
              </w:rPr>
            </w:pPr>
            <w:r>
              <w:rPr>
                <w:rFonts w:ascii="Arial" w:cs="Arial" w:eastAsia="Arial" w:hAnsi="Arial"/>
                <w:sz w:val="14"/>
                <w:szCs w:val="14"/>
                <w:b w:val="1"/>
                <w:bCs w:val="1"/>
                <w:color w:val="auto"/>
                <w:w w:val="95"/>
              </w:rPr>
              <w:t>Period Ended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ind w:left="74"/>
              <w:spacing w:after="0" w:line="119" w:lineRule="exact"/>
              <w:rPr>
                <w:sz w:val="20"/>
                <w:szCs w:val="20"/>
                <w:color w:val="auto"/>
              </w:rPr>
            </w:pPr>
            <w:r>
              <w:rPr>
                <w:rFonts w:ascii="Arial" w:cs="Arial" w:eastAsia="Arial" w:hAnsi="Arial"/>
                <w:sz w:val="13"/>
                <w:szCs w:val="13"/>
                <w:b w:val="1"/>
                <w:bCs w:val="1"/>
                <w:color w:val="auto"/>
              </w:rPr>
              <w:t>March 30,</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6"/>
          </w:tcPr>
          <w:p>
            <w:pPr>
              <w:jc w:val="center"/>
              <w:ind w:right="4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October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294"/>
              <w:spacing w:after="0"/>
              <w:rPr>
                <w:sz w:val="20"/>
                <w:szCs w:val="20"/>
                <w:color w:val="auto"/>
              </w:rPr>
            </w:pPr>
            <w:r>
              <w:rPr>
                <w:rFonts w:ascii="Arial" w:cs="Arial" w:eastAsia="Arial" w:hAnsi="Arial"/>
                <w:sz w:val="14"/>
                <w:szCs w:val="14"/>
                <w:b w:val="1"/>
                <w:bCs w:val="1"/>
                <w:color w:val="auto"/>
                <w:w w:val="89"/>
              </w:rPr>
              <w:t>2003</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104,004,611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49,868,179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107,931,668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98,021,731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(76,046,759)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0"/>
              </w:rPr>
              <w:t>(38,332,473)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(83,634,081)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(73,219,555)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27,957,852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11,535,706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24,297,587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(14,890,640)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(6,924,750)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(14,242,227)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(11,765,758)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13,067,212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4,610,956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10,055,360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13,036,418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367,049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227,360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727,117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(4,089)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13,430,172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4,832,164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10,756,198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14,080,049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(1,748,393)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(3,638,620)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3,083,771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7,117,578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outstanding</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10,216,688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10,219,432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10,346,964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10,615,881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12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0" w:type="dxa"/>
            <w:vAlign w:val="bottom"/>
            <w:gridSpan w:val="3"/>
          </w:tcPr>
          <w:p>
            <w:pPr>
              <w:spacing w:after="0"/>
              <w:rPr>
                <w:sz w:val="20"/>
                <w:szCs w:val="20"/>
                <w:color w:val="auto"/>
              </w:rPr>
            </w:pPr>
            <w:r>
              <w:rPr>
                <w:rFonts w:ascii="Arial" w:cs="Arial" w:eastAsia="Arial" w:hAnsi="Arial"/>
                <w:sz w:val="18"/>
                <w:szCs w:val="18"/>
                <w:color w:val="auto"/>
                <w:w w:val="91"/>
              </w:rPr>
              <w:t>See accompanying notes to financial statements.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21"/>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STATEMENTS OF SHAREHOLDERS’ EQUITY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940" w:type="dxa"/>
            <w:vAlign w:val="bottom"/>
            <w:gridSpan w:val="3"/>
          </w:tcPr>
          <w:p>
            <w:pPr>
              <w:jc w:val="right"/>
              <w:ind w:right="234"/>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 1999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10,951,281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547,564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40,129,749</w:t>
            </w:r>
          </w:p>
        </w:tc>
        <w:tc>
          <w:tcPr>
            <w:tcW w:w="2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14,897,903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55,575,216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(3,361,063)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Stock acquired and retired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(608,900)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(30,445)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(2,235,668)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(2,754,253)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(5,020,366)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issued in conjunction with the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St. Mary’s Chemicals,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75,358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596,232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 tax savings from dividends paid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on ESOP shares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309,740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309,740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ind w:left="160"/>
              <w:spacing w:after="0" w:line="205" w:lineRule="exact"/>
              <w:rPr>
                <w:sz w:val="20"/>
                <w:szCs w:val="20"/>
                <w:color w:val="auto"/>
              </w:rPr>
            </w:pPr>
            <w:r>
              <w:rPr>
                <w:rFonts w:ascii="Arial" w:cs="Arial" w:eastAsia="Arial" w:hAnsi="Arial"/>
                <w:sz w:val="18"/>
                <w:szCs w:val="18"/>
                <w:color w:val="auto"/>
              </w:rPr>
              <w:t>Net and comprehensive income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8,567,699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8,567,699</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-2852420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-2852420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12" w:name="page13"/>
    <w:bookmarkEnd w:id="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6555105</wp:posOffset>
            </wp:positionH>
            <wp:positionV relativeFrom="page">
              <wp:posOffset>88900</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page">
              <wp:posOffset>2284095</wp:posOffset>
            </wp:positionH>
            <wp:positionV relativeFrom="page">
              <wp:posOffset>88900</wp:posOffset>
            </wp:positionV>
            <wp:extent cx="3302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1, 2000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10,417,739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520,887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7"/>
              </w:rPr>
              <w:t>38,490,313</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17,660,026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56,671,226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(3,090,491)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(3,090,491)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Stock acquired and retired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(168,951)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(8,448)</w:t>
            </w:r>
          </w:p>
        </w:tc>
        <w:tc>
          <w:tcPr>
            <w:tcW w:w="22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(624,221)</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(788,972)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(1,421,641)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Unrealized loss on investments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available for sale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(192,258)</w:t>
            </w:r>
          </w:p>
        </w:tc>
        <w:tc>
          <w:tcPr>
            <w:tcW w:w="1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(192,258)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7,117,578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7,117,578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6,925,320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BALANCE AT SEPTEMBER 30, 2001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10,248,788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512,439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w w:val="97"/>
              </w:rPr>
              <w:t>37,866,092</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20,898,141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(192,258)</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59,084,414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Cash dividends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(1,532,690)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(1,532,690)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acquired and retired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(118,600)</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(131,585)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gain on investments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available for sale</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46,730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3,083,771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3,083,771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Comprehensive income</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3,130,501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10,216,688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510,834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7"/>
              </w:rPr>
              <w:t>37,747,492</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22,317,637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(145,528)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60,430,435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(3,371,694)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(3,371,694)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loss on investments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available for sale</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(8,509)</w:t>
            </w: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Adjustment for impairment of</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investments included in net income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233,100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233,100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8,430,172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8,654,763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BALANCE AT MARCH 30, 2003</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10,216,688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510,834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w w:val="97"/>
              </w:rPr>
              <w:t>37,747,492</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   27,376,115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79,063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65,713,504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w w:val="93"/>
              </w:rPr>
              <w:t>See accompanying notes to financial statements.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08"/>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STATEMENTS OF CASH FLOWS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0"/>
              </w:rPr>
              <w:t>Fiscal</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Six-Month</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vMerge w:val="restart"/>
          </w:tcPr>
          <w:p>
            <w:pPr>
              <w:jc w:val="right"/>
              <w:ind w:right="100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left="34"/>
              <w:spacing w:after="0" w:line="158" w:lineRule="exact"/>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Transitional</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left="34"/>
              <w:spacing w:after="0" w:line="119" w:lineRule="exact"/>
              <w:rPr>
                <w:sz w:val="20"/>
                <w:szCs w:val="20"/>
                <w:color w:val="auto"/>
              </w:rPr>
            </w:pPr>
            <w:r>
              <w:rPr>
                <w:rFonts w:ascii="Arial" w:cs="Arial" w:eastAsia="Arial" w:hAnsi="Arial"/>
                <w:sz w:val="13"/>
                <w:szCs w:val="13"/>
                <w:b w:val="1"/>
                <w:bCs w:val="1"/>
                <w:color w:val="auto"/>
              </w:rPr>
              <w:t>March 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Period Ended</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5"/>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October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March 31, 2002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51"/>
              <w:spacing w:after="0"/>
              <w:rPr>
                <w:sz w:val="20"/>
                <w:szCs w:val="20"/>
                <w:color w:val="auto"/>
              </w:rPr>
            </w:pPr>
            <w:r>
              <w:rPr>
                <w:rFonts w:ascii="Arial" w:cs="Arial" w:eastAsia="Arial" w:hAnsi="Arial"/>
                <w:sz w:val="14"/>
                <w:szCs w:val="14"/>
                <w:b w:val="1"/>
                <w:bCs w:val="1"/>
                <w:color w:val="auto"/>
                <w:w w:val="96"/>
              </w:rPr>
              <w:t>2001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8,430,172</w:t>
            </w:r>
          </w:p>
        </w:tc>
        <w:tc>
          <w:tcPr>
            <w:tcW w:w="140" w:type="dxa"/>
            <w:vAlign w:val="bottom"/>
          </w:tcPr>
          <w:p>
            <w:pPr>
              <w:spacing w:after="0"/>
              <w:rPr>
                <w:sz w:val="18"/>
                <w:szCs w:val="18"/>
                <w:color w:val="auto"/>
              </w:rPr>
            </w:pPr>
          </w:p>
        </w:tc>
        <w:tc>
          <w:tcPr>
            <w:tcW w:w="52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3,083,771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7,117,578</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8,567,699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2,958,975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1,481,750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2,727,577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2,259,864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(121,770)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322,585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414,641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Impairment of investments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370,000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other assets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(72,929)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(45,750)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Loss (gain) from property disposals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34,713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6,144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35,901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4"/>
              </w:rPr>
              <w:t>Changes in operating accounts (requiring) providing cash:</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Trade receivables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(590,763)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1,602,016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(601,796)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(281,395)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3,187,182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(3,654,766)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1,758,900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(3,198,910)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2,288,150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2,079,348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(1,630,471)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(256,741)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(948,241)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1,125,169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(137,997)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0"/>
              </w:rPr>
              <w:t>Net cash provided by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14,589,108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3,860,076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9,950,745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9,693,479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(2,348,124)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(1,145,030)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(7,056,226)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(7,216,301)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investments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(21,395,228)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(3,600,099)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(2,247,230)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Sale and maturities of investments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6,022,000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8,797,736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1,032,018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7,638,064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property disposals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59,150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Acquisition of St. Mary’s Chemicals, Inc.</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269,122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178,306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356,106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4"/>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(17,393,080)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4,259,738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(6,375,246)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(4,060,987)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4"/>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repayment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(116,823)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(109,180)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Cash dividends paid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(3,065,380)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(1,537,805)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(3,118,722)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(3,109,181)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-5296535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-5296535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69" w:right="21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and retirement of stock</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(251,790)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(1,421,641)</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(5,020,366)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(3,182,203)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(1,898,775)</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(4,642,400)</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(8,224,909)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NET (DECREASE) INCREASE IN CASH AND CASH</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(5,986,175)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6,221,039</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(1,066,901)</w:t>
            </w:r>
          </w:p>
        </w:tc>
        <w:tc>
          <w:tcPr>
            <w:tcW w:w="3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(2,592,417)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CASH AND CASH EQUIVALENTS AT BEGINNING OF</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PERIOD</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7,339,895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1,118,856</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2,185,757</w:t>
            </w:r>
          </w:p>
        </w:tc>
        <w:tc>
          <w:tcPr>
            <w:tcW w:w="3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4,778,174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1,353,720</w:t>
            </w:r>
          </w:p>
        </w:tc>
        <w:tc>
          <w:tcPr>
            <w:tcW w:w="14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7,339,895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1,118,856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2,185,757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SUPPLEMENTAL DISCLOSURES OF CASH FLOW</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issued in conjunction with the acquisition of St. Mary’s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Chemicals, Inc.</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Borders>
              <w:top w:val="single" w:sz="8" w:color="CCEEFF"/>
            </w:tcBorders>
          </w:tcPr>
          <w:p>
            <w:pPr>
              <w:ind w:left="160"/>
              <w:spacing w:after="0" w:line="189" w:lineRule="exact"/>
              <w:rPr>
                <w:sz w:val="20"/>
                <w:szCs w:val="20"/>
                <w:color w:val="auto"/>
              </w:rPr>
            </w:pPr>
            <w:r>
              <w:rPr>
                <w:rFonts w:ascii="Arial" w:cs="Arial" w:eastAsia="Arial" w:hAnsi="Arial"/>
                <w:sz w:val="18"/>
                <w:szCs w:val="18"/>
                <w:color w:val="auto"/>
              </w:rPr>
              <w:t>Cash paid during the year for:</w:t>
            </w:r>
          </w:p>
        </w:tc>
        <w:tc>
          <w:tcPr>
            <w:tcW w:w="3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Income taxes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5,106,724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1,917,426</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2,078,071</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6,071,804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NATURE OF BUSINESS AND SIGNIFICANT ACCOUNTING POLICIES</w:t>
      </w:r>
    </w:p>
    <w:p>
      <w:pPr>
        <w:spacing w:after="0" w:line="225" w:lineRule="exact"/>
        <w:rPr>
          <w:rFonts w:ascii="Arial" w:cs="Arial" w:eastAsia="Arial" w:hAnsi="Arial"/>
          <w:sz w:val="18"/>
          <w:szCs w:val="18"/>
          <w:color w:val="auto"/>
        </w:rPr>
      </w:pPr>
    </w:p>
    <w:p>
      <w:pPr>
        <w:jc w:val="both"/>
        <w:ind w:left="66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Nature of Business </w:t>
      </w:r>
      <w:r>
        <w:rPr>
          <w:rFonts w:ascii="Arial" w:cs="Arial" w:eastAsia="Arial" w:hAnsi="Arial"/>
          <w:sz w:val="18"/>
          <w:szCs w:val="18"/>
          <w:color w:val="auto"/>
        </w:rPr>
        <w:t>- Hawkins, Inc. (the Company) has two reportable segments: Industrial and Water Treatment. The Industrial segment specializes</w:t>
      </w:r>
      <w:r>
        <w:rPr>
          <w:rFonts w:ascii="Arial" w:cs="Arial" w:eastAsia="Arial" w:hAnsi="Arial"/>
          <w:sz w:val="18"/>
          <w:szCs w:val="18"/>
          <w:i w:val="1"/>
          <w:iCs w:val="1"/>
          <w:color w:val="auto"/>
        </w:rPr>
        <w:t xml:space="preserve"> </w:t>
      </w:r>
      <w:r>
        <w:rPr>
          <w:rFonts w:ascii="Arial" w:cs="Arial" w:eastAsia="Arial" w:hAnsi="Arial"/>
          <w:sz w:val="18"/>
          <w:szCs w:val="18"/>
          <w:color w:val="auto"/>
        </w:rPr>
        <w:t>in providing industrial chemicals and services to the energy, electronics, and plating industries. In addition, the Industrial segment provides products and services to food manufacturers, processing plants and the pharmaceutical industry. The Water Treatment segment specializes in providing water and waste-water treatment equipment, chemicals and service.</w:t>
      </w:r>
    </w:p>
    <w:p>
      <w:pPr>
        <w:spacing w:after="0" w:line="186" w:lineRule="exact"/>
        <w:rPr>
          <w:rFonts w:ascii="Arial" w:cs="Arial" w:eastAsia="Arial" w:hAnsi="Arial"/>
          <w:sz w:val="18"/>
          <w:szCs w:val="18"/>
          <w:color w:val="auto"/>
        </w:rPr>
      </w:pPr>
    </w:p>
    <w:p>
      <w:pPr>
        <w:jc w:val="both"/>
        <w:ind w:left="660" w:right="30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 In December 2001, the Company changed its fiscal year end to a 52/53-week year ending on the Sunday closest to March 31 from a</w:t>
      </w:r>
      <w:r>
        <w:rPr>
          <w:rFonts w:ascii="Arial" w:cs="Arial" w:eastAsia="Arial" w:hAnsi="Arial"/>
          <w:sz w:val="16"/>
          <w:szCs w:val="16"/>
          <w:i w:val="1"/>
          <w:iCs w:val="1"/>
          <w:color w:val="auto"/>
        </w:rPr>
        <w:t xml:space="preserve"> </w:t>
      </w:r>
      <w:r>
        <w:rPr>
          <w:rFonts w:ascii="Arial" w:cs="Arial" w:eastAsia="Arial" w:hAnsi="Arial"/>
          <w:sz w:val="16"/>
          <w:szCs w:val="16"/>
          <w:color w:val="auto"/>
        </w:rPr>
        <w:t>52/53-week fiscal year ending on the Sunday closest to September 30. The change in year-end will better match the Company’s annual reporting process to its natural business cycles. This change resulted in a six-month transitional period ended March 31, 2002. The six-month transitional period was a 26-week period, the fiscal years ended March 30, 2003, September 30, 2001, and October 1, 2000 were 52-week years.</w:t>
      </w:r>
    </w:p>
    <w:p>
      <w:pPr>
        <w:spacing w:after="0" w:line="154"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liquid debt instruments (primarily cash funds, certificates of deposits, and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81"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Investments Available-For-Sale </w:t>
      </w:r>
      <w:r>
        <w:rPr>
          <w:rFonts w:ascii="Arial" w:cs="Arial" w:eastAsia="Arial" w:hAnsi="Arial"/>
          <w:sz w:val="16"/>
          <w:szCs w:val="16"/>
          <w:color w:val="auto"/>
        </w:rPr>
        <w:t>- In accordance with the provisions of Statement of Financial Accounting Standards (SFAS) No. 115,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Investments in Debt and Equity Securities,” these investments are carried at fair market value with unrealized gains and losses reported in shareholders’ equity as a component of other comprehensive income (loss). Investments classified as available-for-sale securities consist of fixed income securities, primarily municipal bonds and U.S. Government agency securities (65%), mutual funds (29%), and variable rate marketable securities, primarily annuity contracts (6%) that will be held for indefinite periods of time, including securities that may be sold in response to changes in market interest or prepayment rates, needs for liquidity, or changes in the availability or yield of alternative investments. Gross unrealized gains, primarily within the mutual fund and fixed income portfolios, were $126,063 as of March 30, 2003 and gross unrealized losses, primarily within the mutual fund portfolio, were $231,528 as of March 31, 2002. In the fiscal year ended March 30, 2003, the six-month transitional period ended March 31, 2002, and the fiscal years ended September 30, 2001 and October 1, 2000, proceeds from the sale of investments available-for-sale were $6,022,000, $8,797,736, $1,032,018 and $7,638,064, respectively. A loss of $370,000 was recorded in the fiscal year ended March 30, 2003 due to declines in market value that were deemed other than temporary. Realized gains and losses were not material for the six-month transitional period ended March 31, 2002 and the fiscal years ended September 30, 2001 and October 1, 2000.</w:t>
      </w:r>
    </w:p>
    <w:p>
      <w:pPr>
        <w:spacing w:after="0" w:line="168" w:lineRule="exact"/>
        <w:rPr>
          <w:rFonts w:ascii="Arial" w:cs="Arial" w:eastAsia="Arial" w:hAnsi="Arial"/>
          <w:sz w:val="18"/>
          <w:szCs w:val="18"/>
          <w:color w:val="auto"/>
        </w:rPr>
      </w:pPr>
    </w:p>
    <w:p>
      <w:pPr>
        <w:ind w:left="660" w:right="3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consisting primarily of finished goods, are primarily valued at the lower of cost or net realizable value, with cost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last-in, first-out (LIFO) method.</w:t>
      </w:r>
    </w:p>
    <w:p>
      <w:pPr>
        <w:spacing w:after="0" w:line="170" w:lineRule="exact"/>
        <w:rPr>
          <w:rFonts w:ascii="Arial" w:cs="Arial" w:eastAsia="Arial" w:hAnsi="Arial"/>
          <w:sz w:val="18"/>
          <w:szCs w:val="18"/>
          <w:color w:val="auto"/>
        </w:rPr>
      </w:pPr>
    </w:p>
    <w:p>
      <w:pPr>
        <w:ind w:left="660" w:right="1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is stated at cost and depreciated over the lives of the assets using both straight-line and declining-balance</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81" w:lineRule="exact"/>
        <w:rPr>
          <w:rFonts w:ascii="Arial" w:cs="Arial" w:eastAsia="Arial" w:hAnsi="Arial"/>
          <w:sz w:val="18"/>
          <w:szCs w:val="18"/>
          <w:color w:val="auto"/>
        </w:rPr>
      </w:pPr>
    </w:p>
    <w:p>
      <w:pPr>
        <w:ind w:left="660" w:right="3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Intangibles Assets </w:t>
      </w:r>
      <w:r>
        <w:rPr>
          <w:rFonts w:ascii="Arial" w:cs="Arial" w:eastAsia="Arial" w:hAnsi="Arial"/>
          <w:sz w:val="18"/>
          <w:szCs w:val="18"/>
          <w:color w:val="auto"/>
        </w:rPr>
        <w:t>- Intangible assets consist primarily of customer lists, trademarks, and trade names acquired in previous business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values assigned to the intangible assets are being amortized primarily over 15 years.</w:t>
      </w:r>
    </w:p>
    <w:p>
      <w:pPr>
        <w:spacing w:after="0" w:line="170" w:lineRule="exact"/>
        <w:rPr>
          <w:rFonts w:ascii="Arial" w:cs="Arial" w:eastAsia="Arial" w:hAnsi="Arial"/>
          <w:sz w:val="18"/>
          <w:szCs w:val="18"/>
          <w:color w:val="auto"/>
        </w:rPr>
      </w:pPr>
    </w:p>
    <w:p>
      <w:pPr>
        <w:ind w:left="660" w:right="18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Investments Held-To-Maturity </w:t>
      </w:r>
      <w:r>
        <w:rPr>
          <w:rFonts w:ascii="Arial" w:cs="Arial" w:eastAsia="Arial" w:hAnsi="Arial"/>
          <w:sz w:val="18"/>
          <w:szCs w:val="18"/>
          <w:color w:val="auto"/>
        </w:rPr>
        <w:t>- Held-to-maturity securities consist of Minnesota municipal bonds, which the Company has the intent and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to maturity, and are valued at amortized historical cost, increased for accretion of discounts and reduced by amortization of premiums, computed by the constant-yield method. Investments held-to-maturity, included within other assets, were $1,086,825 and $1,390,418 at March 30, 2003 and March 31, 2002, respectively.</w:t>
      </w:r>
    </w:p>
    <w:p>
      <w:pPr>
        <w:spacing w:after="0" w:line="186" w:lineRule="exact"/>
        <w:rPr>
          <w:rFonts w:ascii="Arial" w:cs="Arial" w:eastAsia="Arial" w:hAnsi="Arial"/>
          <w:sz w:val="18"/>
          <w:szCs w:val="18"/>
          <w:color w:val="auto"/>
        </w:rPr>
      </w:pPr>
    </w:p>
    <w:p>
      <w:pPr>
        <w:ind w:left="660" w:right="2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 xml:space="preserve">Recoverability of Long-Lived Assets </w:t>
      </w:r>
      <w:r>
        <w:rPr>
          <w:rFonts w:ascii="Arial" w:cs="Arial" w:eastAsia="Arial" w:hAnsi="Arial"/>
          <w:sz w:val="16"/>
          <w:szCs w:val="16"/>
          <w:color w:val="auto"/>
        </w:rPr>
        <w:t>- The Company reviews its long-lived assets whenever events or changes in circumstances indicate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w:t>
      </w:r>
    </w:p>
    <w:p>
      <w:pPr>
        <w:sectPr>
          <w:pgSz w:w="11900" w:h="16838" w:orient="portrait"/>
          <w:cols w:equalWidth="0" w:num="1">
            <w:col w:w="11420"/>
          </w:cols>
          <w:pgMar w:left="240" w:top="140" w:right="239" w:bottom="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would be measured by comparing the amount by which the carrying value exceeds the fair value of the asset based on market value that is based on the discounted cash flows expected to be generated by the asset.</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the product has been shipped to the customer if there is evidence that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has agreed to purchase the products, delivery and performance has occurred, the price and terms of sale are fixed, and collection of the receivable is expected.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are included in costs of goods sold.</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SFAS No. 109, “Accounting for Income Taxes.” Under SFAS No. 109, the deferred tax assets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based on differences between the financial statements and the tax bases of assets and liabilities using presently enacted tax rates.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and diluted earnings per share are computed by dividing net income by the weighted average number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 Financial instruments which potentially subject the Company to a concentration of credit risk principally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a money market account at a single financial institution.</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March 30, 2003, the Company also had an investment portfolio of fixed income securities and mutual funds, excluding $2,652,701 of those classified as cash and cash equivalents and variable rate securities, of $15,966,207 and $6,724,198, respectively. The fixed income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 The value of mutual funds, like all mutual funds, may increase or decrease due to market volatility.</w:t>
      </w:r>
    </w:p>
    <w:p>
      <w:pPr>
        <w:spacing w:after="0" w:line="158" w:lineRule="exact"/>
        <w:rPr>
          <w:sz w:val="20"/>
          <w:szCs w:val="20"/>
          <w:color w:val="auto"/>
        </w:rPr>
      </w:pPr>
    </w:p>
    <w:p>
      <w:pPr>
        <w:jc w:val="both"/>
        <w:ind w:right="220"/>
        <w:spacing w:after="0" w:line="291"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 In fiscal 2001, the Company adopted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w:t>
      </w:r>
    </w:p>
    <w:p>
      <w:pPr>
        <w:spacing w:after="0" w:line="290" w:lineRule="auto"/>
        <w:rPr>
          <w:sz w:val="20"/>
          <w:szCs w:val="20"/>
          <w:color w:val="auto"/>
        </w:rPr>
      </w:pPr>
      <w:r>
        <w:rPr>
          <w:rFonts w:ascii="Arial" w:cs="Arial" w:eastAsia="Arial" w:hAnsi="Arial"/>
          <w:sz w:val="16"/>
          <w:szCs w:val="16"/>
          <w:color w:val="auto"/>
        </w:rPr>
        <w:t>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 There are no concentrations of business transacted with a particular customer or supplier nor concentrations of sales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7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i w:val="1"/>
          <w:iCs w:val="1"/>
          <w:color w:val="auto"/>
        </w:rPr>
        <w:t xml:space="preserve">Accounting Pronouncements </w:t>
      </w:r>
      <w:r>
        <w:rPr>
          <w:rFonts w:ascii="Arial" w:cs="Arial" w:eastAsia="Arial" w:hAnsi="Arial"/>
          <w:sz w:val="17"/>
          <w:szCs w:val="17"/>
          <w:color w:val="auto"/>
        </w:rPr>
        <w:t>- In July 2001, the Financial Accounting Standards Board (FASB) issued SFAS No. 142, “Goodwill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The Company adopted the provisions of SFAS No. 142 on April 1, 2002. Under SFAS No. 142, goodwill as well as other intangibles determined to have an infinite life will no longer be amortized; however, these assets will be reviewed for impairment on a periodic basis. SFAS No. 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 The implementation of SFAS No. 142 did not impact the Company’s financial statements since the Company does not have any goodwill recorded. As of March 30, 2003, the Company had net intangible assets of $3,061,663. Amortization expense was $283,485, $141,742, $283,485, and $136,561 during the fiscal year ended March 30, 2003, the six-month transitional period ended March 31, 2002, and the fiscal years ended September 30, 2001 and October 1, 2000, respectively. The estimated amortization expense for each of the next five years is approximately $284,000 per year.</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September 2001, the FASB issued SFAS No. 144, “Accounting for the Impairment or Disposal of Long-Lived Assets.” SFAS No. 144 requires that long-lived assets to be disposed of by sale, including discontinued operations, be measured at the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lower of the carrying cost or fair value less cost to sell, whether reported in continuing operations or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adoption of SFAS No. 144 was effective for the Company beginning on April 1, 2002. The adoption of SFAS No. 144 did not have a material effect on the Company’s historical results of operations or financial position.</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November 2002, the FASB issued FASB Interpretation No. 45, “Guarantor’s Accounting and Disclosure Requirements for Guarantees, Including Indirect Guarantees of Indebtedness of Others” (Interpretation No. 45). Interpretation No. 45 clarifies the disclosures to be made by a guarantor in its interim and annual financial statements about its obligations under certain guarantees that it has issued. Interpretation No. 45 also requires a</w:t>
      </w:r>
    </w:p>
    <w:p>
      <w:pPr>
        <w:sectPr>
          <w:pgSz w:w="11900" w:h="16838" w:orient="portrait"/>
          <w:cols w:equalWidth="0" w:num="1">
            <w:col w:w="10740"/>
          </w:cols>
          <w:pgMar w:left="900" w:top="125" w:right="259" w:bottom="0" w:gutter="0" w:footer="0" w:header="0"/>
        </w:sectPr>
      </w:pPr>
    </w:p>
    <w:bookmarkStart w:id="15" w:name="page16"/>
    <w:bookmarkEnd w:id="15"/>
    <w:p>
      <w:pPr>
        <w:ind w:left="660" w:right="40"/>
        <w:spacing w:after="0" w:line="312" w:lineRule="auto"/>
        <w:rPr>
          <w:sz w:val="20"/>
          <w:szCs w:val="20"/>
          <w:color w:val="auto"/>
        </w:rPr>
      </w:pPr>
      <w:r>
        <w:rPr>
          <w:rFonts w:ascii="Arial" w:cs="Arial" w:eastAsia="Arial" w:hAnsi="Arial"/>
          <w:sz w:val="16"/>
          <w:szCs w:val="16"/>
          <w:color w:val="auto"/>
        </w:rPr>
        <w:t>guarantor to recognize, at the inception of a guarantee, a liability for the fair value of the obligation undertaken in issuing certain types of guarantees. The disclosure requirements in Interpretation No. 45 are effective for interim or annual financial statements statement periods ended after December 15, 2002. The adoption of Interpretation No. 45 did not have an impact on the Company’s results of operations or financial position.</w:t>
      </w:r>
    </w:p>
    <w:p>
      <w:pPr>
        <w:spacing w:after="0" w:line="14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In January 2003, the FASB issued Interpretation No.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The disclosure requirements of this interpretation are effective for all financial statements issued after January 31, 2003. The consolidation requirements of this interpretation are effective for all periods beginning after June 15, 2003. The Company does not expect the adoption of this new standard to have any effect on its results of operations or financial position.</w:t>
      </w:r>
    </w:p>
    <w:p>
      <w:pPr>
        <w:spacing w:after="0" w:line="18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at March 30, 2003 and March 31, 2002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2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9,909,599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LIFO reserve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(511,261)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(1,301,529)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9,398,338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9,397,541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valued under the LIFO method at March 30, 2003 and March 31, 2002 were approximately $8,204,400 and $9,405,315, respectively.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the inventory was valued under the FIFO method.</w:t>
      </w:r>
    </w:p>
    <w:p>
      <w:pPr>
        <w:spacing w:after="0" w:line="211" w:lineRule="exact"/>
        <w:rPr>
          <w:sz w:val="20"/>
          <w:szCs w:val="20"/>
          <w:color w:val="auto"/>
        </w:rPr>
      </w:pPr>
    </w:p>
    <w:p>
      <w:pPr>
        <w:ind w:left="660" w:right="160"/>
        <w:spacing w:after="0" w:line="276" w:lineRule="auto"/>
        <w:rPr>
          <w:sz w:val="20"/>
          <w:szCs w:val="20"/>
          <w:color w:val="auto"/>
        </w:rPr>
      </w:pPr>
      <w:r>
        <w:rPr>
          <w:rFonts w:ascii="Arial" w:cs="Arial" w:eastAsia="Arial" w:hAnsi="Arial"/>
          <w:sz w:val="17"/>
          <w:szCs w:val="17"/>
          <w:color w:val="auto"/>
        </w:rPr>
        <w:t>In fiscal 2003, the LIFO reserve decreased by $790,268. The decrease in the LIFO reserve was caused by a significant decrease in the cost of a single, large-volume component of inventory. During the fiscal year ended March 30, 2003 and the six-month transitional period ended March 31, 2002, the Company liquidated LIFO inventory layers that were at lower costs than current costs. During the fiscal year ended September 30, 2001, there were no LIFO inventory layers liquidated. The impact of the liquidation on cost of sales was not material for the fiscal year ended March 30, 2003 and was $300,000 for the six-month transitional period ended March 31, 2002.</w:t>
      </w:r>
    </w:p>
    <w:p>
      <w:pPr>
        <w:spacing w:after="0" w:line="1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RECEIVABLE</w:t>
      </w:r>
    </w:p>
    <w:p>
      <w:pPr>
        <w:spacing w:after="0" w:line="225"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The Company has three notes receivable related to the sales of Tessman Seed, Inc., land and building, and The Lynde Company. At March 30, 2003 and March 31, 2002, the net balances outstanding on the notes receivable were $1,965,744 and $2,234,866, respectively. The current portion of $192,489 and $226,266 at March 30, 2003 and March 31, 2002, respectively, are included within prepaid expenses and other current assets and the remaining balances are included within other assets. The notes receivable bear interest at 8% and are due in equal monthly installments of $36,204 through September 1, 2010 at which time the remaining unpaid balance of $1,213,163 is due. The notes receivable are secured by land and building, and a personal guarantee.</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final installment of $116,823 on the Company’s previously outstanding long-term debt was paid in October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EQUITY</w:t>
      </w:r>
    </w:p>
    <w:p>
      <w:pPr>
        <w:spacing w:after="0" w:line="225" w:lineRule="exact"/>
        <w:rPr>
          <w:rFonts w:ascii="Arial" w:cs="Arial" w:eastAsia="Arial" w:hAnsi="Arial"/>
          <w:sz w:val="18"/>
          <w:szCs w:val="18"/>
          <w:color w:val="auto"/>
        </w:rPr>
      </w:pPr>
    </w:p>
    <w:p>
      <w:pPr>
        <w:jc w:val="both"/>
        <w:ind w:left="660" w:right="220"/>
        <w:spacing w:after="0" w:line="286" w:lineRule="auto"/>
        <w:rPr>
          <w:rFonts w:ascii="Arial" w:cs="Arial" w:eastAsia="Arial" w:hAnsi="Arial"/>
          <w:sz w:val="18"/>
          <w:szCs w:val="18"/>
          <w:color w:val="auto"/>
        </w:rPr>
      </w:pPr>
      <w:r>
        <w:rPr>
          <w:rFonts w:ascii="Arial" w:cs="Arial" w:eastAsia="Arial" w:hAnsi="Arial"/>
          <w:sz w:val="17"/>
          <w:szCs w:val="17"/>
          <w:color w:val="auto"/>
        </w:rPr>
        <w:t>During the six-month transitional period ended March 31, 2002 and the fiscal years ended September 30, 2001 and October 1, 2000, the Company acquired and retired 32,100 shares, 168,951 shares, and 608,900 shares of common stock, respectively, for $251,790, $1,421,641, and $5,020,366, respectively. There were no shares acquired and retired during the fiscal year ended March 30, 2003.</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PENSION AND EMPLOYEE STOCK OWNERSHIP PLANS</w:t>
      </w:r>
    </w:p>
    <w:p>
      <w:pPr>
        <w:spacing w:after="0" w:line="225"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6"/>
          <w:szCs w:val="16"/>
          <w:color w:val="auto"/>
        </w:rPr>
        <w:t>The Company has a defined contribution pension plan covering substantially all of its non-bargaining employees. Pension expense for the fiscal year ended March 30, 2003, the six-month transitional period ended March 31, 2002, and the fiscal years ended September 30, 2001 and October 1, 2000 were $1,093,697, $504,349, $870,787, and $751,936, respectively. The Company’s cost for the pension plan was determined as 11% of each employee’s covered compensation in the fiscal year ended March 30, 2003 and the six-month transitional period ended March 31, 2002 and 10% in the fiscal years ended September 30, 2001 and October 1, 2000. Amounts charged to pension expense and contributed to union multi-employer pension plans (not included in the above amounts) were not material. It is the Company’s policy to fund all pension costs accrued.</w:t>
      </w:r>
    </w:p>
    <w:p>
      <w:pPr>
        <w:spacing w:after="0" w:line="164"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The Company has an employee stock ownership plan covering substantially all of its non-bargaining employees. Contributions are made at the discretion of the Board of Directors subject to a maximum amount allowed under the Internal Revenue Code. Contributions for the fiscal year ended March 30, 2003, the six-month transitional period ended March 31, 2002, and the fiscal years ended September 30, 2001 and October 1, 2000 were $901,922, $412,649, $1,027,828, and $787,667, respectively.</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does not currently offer any post-retirement benefits, deferred stock or stock-based compensation plans.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rFonts w:ascii="Arial" w:cs="Arial" w:eastAsia="Arial" w:hAnsi="Arial"/>
          <w:sz w:val="18"/>
          <w:szCs w:val="18"/>
          <w:color w:val="auto"/>
        </w:rPr>
      </w:pPr>
    </w:p>
    <w:p>
      <w:pPr>
        <w:ind w:left="660" w:right="4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 The Company has various operating leases for land and buildings on which some of its operations are located. Total rental expense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March 30, 2003, the six-month transitional period ended March 31, 2002, and the fiscal years ended September 30, 2001 and October 1, 2000 were $193,187, $98,034, $172,552, and $136,416, respectively. Future minimum lease payments due under operating leases with</w:t>
      </w:r>
    </w:p>
    <w:p>
      <w:pPr>
        <w:sectPr>
          <w:pgSz w:w="11900" w:h="16838" w:orient="portrait"/>
          <w:cols w:equalWidth="0" w:num="1">
            <w:col w:w="11420"/>
          </w:cols>
          <w:pgMar w:left="240" w:top="125" w:right="239" w:bottom="0" w:gutter="0" w:footer="0" w:header="0"/>
        </w:sectPr>
      </w:pPr>
    </w:p>
    <w:bookmarkStart w:id="16" w:name="page17"/>
    <w:bookmarkEnd w:id="16"/>
    <w:p>
      <w:pPr>
        <w:spacing w:after="0" w:line="1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an initial term of one year or more at March 30, 2003 are $164,362 in 2004, $105,901 in 2005, $86,776 in 2006, $86,776 in 2007, $86,776 in 2008, and $1,851,220 thereafter.</w:t>
      </w:r>
    </w:p>
    <w:p>
      <w:pPr>
        <w:spacing w:after="0" w:line="1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i w:val="1"/>
          <w:iCs w:val="1"/>
          <w:color w:val="auto"/>
        </w:rPr>
        <w:t xml:space="preserve">Termination Agreements - </w:t>
      </w:r>
      <w:r>
        <w:rPr>
          <w:rFonts w:ascii="Arial" w:cs="Arial" w:eastAsia="Arial" w:hAnsi="Arial"/>
          <w:sz w:val="18"/>
          <w:szCs w:val="18"/>
          <w:color w:val="auto"/>
        </w:rPr>
        <w:t>During fiscal 1999, the Company entered into termination agreements with three former employees and recorded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in the statement of income of $1,112,127. At March 30, 2003, the Company is required to make future payments to one individual for a period of 1.5 years. The present value of the future payments to be paid in fiscal 2004 is included in other accruals and the present value of the remaining payments is included in other long-term liabilities.</w:t>
      </w:r>
    </w:p>
    <w:p>
      <w:pPr>
        <w:spacing w:after="0" w:line="187"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 The Company is involved in various legal actions arising from the normal course of business. Management is of the opinion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or settlement resulting from pending or threatened litigation would not have a material adverse effect on the financial position, results of operations or cash flows of the Company.</w:t>
      </w:r>
    </w:p>
    <w:p>
      <w:pPr>
        <w:spacing w:after="0" w:line="18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provisions (benefits) for income taxes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Six-Month</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Transitional</w:t>
            </w:r>
          </w:p>
        </w:tc>
        <w:tc>
          <w:tcPr>
            <w:tcW w:w="140" w:type="dxa"/>
            <w:vAlign w:val="bottom"/>
          </w:tcPr>
          <w:p>
            <w:pPr>
              <w:spacing w:after="0"/>
              <w:rPr>
                <w:sz w:val="12"/>
                <w:szCs w:val="12"/>
                <w:color w:val="auto"/>
              </w:rPr>
            </w:pPr>
          </w:p>
        </w:tc>
        <w:tc>
          <w:tcPr>
            <w:tcW w:w="282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Fiscal Years Ended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3"/>
                <w:szCs w:val="13"/>
                <w:color w:val="auto"/>
              </w:rPr>
            </w:pPr>
          </w:p>
        </w:tc>
        <w:tc>
          <w:tcPr>
            <w:tcW w:w="13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Period Ended</w:t>
            </w:r>
          </w:p>
        </w:tc>
        <w:tc>
          <w:tcPr>
            <w:tcW w:w="140" w:type="dxa"/>
            <w:vAlign w:val="bottom"/>
          </w:tcPr>
          <w:p>
            <w:pPr>
              <w:spacing w:after="0"/>
              <w:rPr>
                <w:sz w:val="13"/>
                <w:szCs w:val="13"/>
                <w:color w:val="auto"/>
              </w:rPr>
            </w:pPr>
          </w:p>
        </w:tc>
        <w:tc>
          <w:tcPr>
            <w:tcW w:w="282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March 30,</w:t>
            </w:r>
          </w:p>
        </w:tc>
        <w:tc>
          <w:tcPr>
            <w:tcW w:w="180" w:type="dxa"/>
            <w:vAlign w:val="bottom"/>
          </w:tcPr>
          <w:p>
            <w:pPr>
              <w:spacing w:after="0"/>
              <w:rPr>
                <w:sz w:val="10"/>
                <w:szCs w:val="10"/>
                <w:color w:val="auto"/>
              </w:rPr>
            </w:pPr>
          </w:p>
        </w:tc>
        <w:tc>
          <w:tcPr>
            <w:tcW w:w="13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October 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660" w:type="dxa"/>
            <w:vAlign w:val="bottom"/>
            <w:vMerge w:val="restart"/>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Federal - current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1,122,058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2,591,327</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4,094,040</w:t>
            </w:r>
          </w:p>
        </w:tc>
        <w:tc>
          <w:tcPr>
            <w:tcW w:w="12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States - current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303,750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632,652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1,240,990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(121,770)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322,585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177,320</w:t>
            </w:r>
          </w:p>
        </w:tc>
        <w:tc>
          <w:tcPr>
            <w:tcW w:w="12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Total provision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as follows:</w:t>
      </w: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Fiscal Year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Six-Month</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4"/>
            <w:vMerge w:val="restart"/>
          </w:tcPr>
          <w:p>
            <w:pPr>
              <w:jc w:val="right"/>
              <w:ind w:right="675"/>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Period Ended</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4"/>
            <w:vMerge w:val="continue"/>
          </w:tcPr>
          <w:p>
            <w:pPr>
              <w:spacing w:after="0"/>
              <w:rPr>
                <w:sz w:val="11"/>
                <w:szCs w:val="11"/>
                <w:color w:val="auto"/>
              </w:rPr>
            </w:pP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4,700,560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1,691,257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4,928,017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702,552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225,773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490,750</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806,644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(139,329)</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8"/>
              </w:rPr>
              <w:t>ESOP dividend deduction on allocated shares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(226,373)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(112,345)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(235,902)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(241,568)</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(79,967)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tax effects of items comprising the Company’s net deferred tax asset (liability) as of March 30, 2003 and March 31, 2002 are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107,250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544,458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Accruals</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448,115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on sale of The Lynde Company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(193,219)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basis difference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(1,014,430)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(47,000)</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(1,254,649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(953,851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prepaid expenses and other current assets on the balance sheet.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 MARY’S CHEMICALS, INC. ACQUISITION</w:t>
      </w:r>
    </w:p>
    <w:p>
      <w:pPr>
        <w:spacing w:after="0" w:line="225" w:lineRule="exact"/>
        <w:rPr>
          <w:rFonts w:ascii="Arial" w:cs="Arial" w:eastAsia="Arial" w:hAnsi="Arial"/>
          <w:sz w:val="18"/>
          <w:szCs w:val="18"/>
          <w:color w:val="auto"/>
        </w:rPr>
      </w:pPr>
    </w:p>
    <w:p>
      <w:pPr>
        <w:ind w:left="660" w:right="40"/>
        <w:spacing w:after="0" w:line="312" w:lineRule="auto"/>
        <w:rPr>
          <w:rFonts w:ascii="Arial" w:cs="Arial" w:eastAsia="Arial" w:hAnsi="Arial"/>
          <w:sz w:val="18"/>
          <w:szCs w:val="18"/>
          <w:color w:val="auto"/>
        </w:rPr>
      </w:pPr>
      <w:r>
        <w:rPr>
          <w:rFonts w:ascii="Arial" w:cs="Arial" w:eastAsia="Arial" w:hAnsi="Arial"/>
          <w:sz w:val="16"/>
          <w:szCs w:val="16"/>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36,843</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12,692</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3,250,465</w:t>
            </w:r>
          </w:p>
        </w:tc>
      </w:tr>
      <w:tr>
        <w:trPr>
          <w:trHeight w:val="210"/>
        </w:trPr>
        <w:tc>
          <w:tcPr>
            <w:tcW w:w="8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57" w:orient="portrait"/>
          <w:cols w:equalWidth="0" w:num="1">
            <w:col w:w="11440"/>
          </w:cols>
          <w:pgMar w:left="240" w:top="125" w:right="219" w:bottom="0" w:gutter="0" w:footer="0" w:header="0"/>
        </w:sectPr>
      </w:pPr>
    </w:p>
    <w:bookmarkStart w:id="17" w:name="page18"/>
    <w:bookmarkEnd w:id="17"/>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Common stock issued (75,358 shares)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7"/>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2,700,000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The acquisition was accounted for using the purchase method of accounting. The operations of Universal Chemicals are included in the Company’s statement of income beginning on May 26, 2000. The pro forma effect of this acquisition on prior periods’ sales, operating income, and earnings per share were not significant.</w:t>
      </w:r>
    </w:p>
    <w:p>
      <w:pPr>
        <w:spacing w:after="0" w:line="181"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On May 26, 2000, the Company also entered into a five-year employment agreement with one of the previous owners of Universal Chemicals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have a maximum payout of $3,520,000. The non-compete provisions cover a period of five years after the termination of the employment or consulting agreements, and require annual payments of $100,000 to $200,000 depending on Universal Chemicals’ operating results, as defined, for five years after the termination date.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Company has two reportable segments: Industrial and Water Treatment. The Industrial segment specializes in providing industrial chemicals and services to the energy, electronics, and plating industries. In addition, the Industrial segment provides products and services to the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87"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Reportable Segments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Water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Treatment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30, 2003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Sales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67,674,289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36,330,322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104,004,611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51,598,804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24,447,955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76,046,759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16,075,485</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11,882,367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27,957,852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6,311,138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13,067,212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40,023,730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13,122,105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53,145,835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Six-Month Transitional Period Ended March 31, 2002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Sales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35,686,509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14,181,670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49,868,179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28,059,961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10,272,512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38,332,473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7,626,548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3,909,158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11,535,706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2,559,529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4,610,956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40,113,075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13,415,036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53,528,111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September 30, 2001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Sales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73,818,768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34,112,900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107,931,668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59,990,184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23,643,897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83,634,081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13,828,584</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10,469,003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24,297,587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3,850,444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10,055,360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44,622,720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14,244,584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58,867,304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October 1, 2000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Sales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67,324,400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30,697,331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98,021,731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52,088,658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21,130,897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73,219,555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15,235,742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9,566,434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24,802,176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7,526,740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13,036,418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42,710,196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8,057,357</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50,767,553</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TRANSITIONAL PERIOD DISCLOSURE (UNAUDITED)</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information for the twelve-month period ended March 31, 2002 and the six-month period ended March 31, 2001 is included for comparison purposes.</w:t>
      </w:r>
    </w:p>
    <w:p>
      <w:pPr>
        <w:sectPr>
          <w:pgSz w:w="11900" w:h="16857" w:orient="portrait"/>
          <w:cols w:equalWidth="0" w:num="1">
            <w:col w:w="11440"/>
          </w:cols>
          <w:pgMar w:left="240" w:top="125" w:right="219" w:bottom="0" w:gutter="0" w:footer="0" w:header="0"/>
        </w:sectPr>
      </w:pPr>
    </w:p>
    <w:p>
      <w:pPr>
        <w:spacing w:after="0" w:line="150" w:lineRule="exact"/>
        <w:rPr>
          <w:sz w:val="20"/>
          <w:szCs w:val="20"/>
          <w:color w:val="auto"/>
        </w:rPr>
      </w:pPr>
    </w:p>
    <w:tbl>
      <w:tblPr>
        <w:tblLayout w:type="fixed"/>
        <w:tblInd w:w="6000" w:type="dxa"/>
        <w:tblCellMar>
          <w:top w:w="0" w:type="dxa"/>
          <w:left w:w="0" w:type="dxa"/>
          <w:bottom w:w="0" w:type="dxa"/>
          <w:right w:w="0" w:type="dxa"/>
        </w:tblCellMar>
      </w:tblPr>
      <w:tr>
        <w:trPr>
          <w:trHeight w:val="161"/>
        </w:trPr>
        <w:tc>
          <w:tcPr>
            <w:tcW w:w="2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Twelve-Month Period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Six-Month Period</w:t>
            </w:r>
          </w:p>
        </w:tc>
      </w:tr>
      <w:tr>
        <w:trPr>
          <w:trHeight w:val="171"/>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Ended March 31, 2002</w:t>
            </w:r>
          </w:p>
        </w:tc>
        <w:tc>
          <w:tcPr>
            <w:tcW w:w="1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Ended March 31, 2001</w:t>
            </w:r>
          </w:p>
        </w:tc>
      </w:tr>
    </w:tbl>
    <w:p>
      <w:pPr>
        <w:sectPr>
          <w:pgSz w:w="11900" w:h="16857" w:orient="portrait"/>
          <w:cols w:equalWidth="0" w:num="1">
            <w:col w:w="11440"/>
          </w:cols>
          <w:pgMar w:left="240" w:top="125" w:right="219" w:bottom="0" w:gutter="0" w:footer="0" w:header="0"/>
          <w:type w:val="continuous"/>
        </w:sectPr>
      </w:pPr>
    </w:p>
    <w:bookmarkStart w:id="18" w:name="page19"/>
    <w:bookmarkEnd w:id="1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107,390,209</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50,409,638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Gross margin</w:t>
            </w:r>
          </w:p>
        </w:tc>
        <w:tc>
          <w:tcPr>
            <w:tcW w:w="19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25,389,535</w:t>
            </w:r>
          </w:p>
        </w:tc>
        <w:tc>
          <w:tcPr>
            <w:tcW w:w="7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10,443,758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3,718,913</w:t>
            </w: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1,668,100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7,612,681</w:t>
            </w:r>
          </w:p>
        </w:tc>
        <w:tc>
          <w:tcPr>
            <w:tcW w:w="7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2,588,668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1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AND EXECUTIVE OFFICERS OF THE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“Section 16 (a) Beneficial Ownership Reporting Compliance” in the Proxy Statement for the fiscal year ended March 30, 2003 is incorporated herein by this reference.</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fiscal year ended March 30, 2003 is incorporated herein by this reference.</w:t>
      </w:r>
    </w:p>
    <w:p>
      <w:pPr>
        <w:spacing w:after="0" w:line="170" w:lineRule="exact"/>
        <w:rPr>
          <w:sz w:val="20"/>
          <w:szCs w:val="20"/>
          <w:color w:val="auto"/>
        </w:rPr>
      </w:pPr>
    </w:p>
    <w:p>
      <w:pPr>
        <w:ind w:left="1300" w:right="700" w:hanging="1296"/>
        <w:spacing w:after="0" w:line="277" w:lineRule="auto"/>
        <w:tabs>
          <w:tab w:leader="none" w:pos="128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under the caption “Security Ownership of Management and Beneficial Ownership” in the Proxy Statement for the fiscal year ended March 30, 2003 is incorporated herein by this reference. The Company does not have any equity compensation plans as defined in Statement of Financial Accounting Standards No. 123, “Accounting for Stock-Based Compensation.”</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fiscal year ended March 30, 2003 is incorporated herein by this reference.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6"/>
          <w:szCs w:val="16"/>
          <w:color w:val="auto"/>
        </w:rPr>
        <w:t>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13a-14(c) and 15d-14(c) under the Securities Exchange Act of 1934) within 90 days of the filing date of this Annual Report on Form 10-K (the Evaluation Date). Based on this evaluation, our principal executive officer and principal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related to us.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were no significant changes in our internal controls or in other factors that could significantly affect these controls subsequent to the Evaluation Date. We have not identified any significant deficiencies or material weaknesses in our internal controls, and therefore there were no corrective actions taken.</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EXHIBITS, FINANCIAL STATEMENT SCHEDULES, AND REPORTS ON FORM 8-K.</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Independent Auditors’ Report.</w:t>
        </w:r>
      </w:hyperlink>
    </w:p>
    <w:p>
      <w:pPr>
        <w:spacing w:after="0" w:line="225" w:lineRule="exact"/>
        <w:rPr>
          <w:sz w:val="20"/>
          <w:szCs w:val="20"/>
          <w:color w:val="auto"/>
        </w:rPr>
      </w:pPr>
    </w:p>
    <w:p>
      <w:pPr>
        <w:ind w:left="6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Balance Sheets at March 30, 2003 and March 31, 2002.</w:t>
        </w:r>
      </w:hyperlink>
    </w:p>
    <w:p>
      <w:pPr>
        <w:spacing w:after="0" w:line="225" w:lineRule="exact"/>
        <w:rPr>
          <w:sz w:val="20"/>
          <w:szCs w:val="20"/>
          <w:color w:val="auto"/>
        </w:rPr>
      </w:pPr>
    </w:p>
    <w:p>
      <w:pPr>
        <w:ind w:left="660" w:right="80"/>
        <w:spacing w:after="0" w:line="277"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Statements of Income for the Fiscal Year Ended March 30, 2003, the Six-Month Transitional Period Ended March 31, 2002, and for the Fiscal Years</w:t>
        </w:r>
      </w:hyperlink>
      <w:r>
        <w:rPr>
          <w:rFonts w:ascii="Arial" w:cs="Arial" w:eastAsia="Arial" w:hAnsi="Arial"/>
          <w:sz w:val="18"/>
          <w:szCs w:val="18"/>
          <w:u w:val="single" w:color="auto"/>
          <w:color w:val="0000EE"/>
        </w:rPr>
        <w:t xml:space="preserve"> </w:t>
      </w:r>
      <w:hyperlink w:anchor="page12">
        <w:r>
          <w:rPr>
            <w:rFonts w:ascii="Arial" w:cs="Arial" w:eastAsia="Arial" w:hAnsi="Arial"/>
            <w:sz w:val="18"/>
            <w:szCs w:val="18"/>
            <w:u w:val="single" w:color="auto"/>
            <w:color w:val="0000EE"/>
          </w:rPr>
          <w:t>Ended September 30, 2001 and October 1, 2000.</w:t>
        </w:r>
      </w:hyperlink>
    </w:p>
    <w:p>
      <w:pPr>
        <w:spacing w:after="0" w:line="170" w:lineRule="exact"/>
        <w:rPr>
          <w:sz w:val="20"/>
          <w:szCs w:val="20"/>
          <w:color w:val="auto"/>
        </w:rPr>
      </w:pPr>
    </w:p>
    <w:p>
      <w:pPr>
        <w:ind w:left="660" w:right="20"/>
        <w:spacing w:after="0" w:line="277"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Statements of Shareholders’ Equity for the Fiscal Year Ended March 30, 2003, the Six-Month Transitional Period Ended March 31, 2002, and for the</w:t>
        </w:r>
      </w:hyperlink>
      <w:r>
        <w:rPr>
          <w:rFonts w:ascii="Arial" w:cs="Arial" w:eastAsia="Arial" w:hAnsi="Arial"/>
          <w:sz w:val="18"/>
          <w:szCs w:val="18"/>
          <w:u w:val="single" w:color="auto"/>
          <w:color w:val="0000EE"/>
        </w:rPr>
        <w:t xml:space="preserve"> </w:t>
      </w:r>
      <w:hyperlink w:anchor="page12">
        <w:r>
          <w:rPr>
            <w:rFonts w:ascii="Arial" w:cs="Arial" w:eastAsia="Arial" w:hAnsi="Arial"/>
            <w:sz w:val="18"/>
            <w:szCs w:val="18"/>
            <w:u w:val="single" w:color="auto"/>
            <w:color w:val="0000EE"/>
          </w:rPr>
          <w:t>Fiscal Years Ended September 30, 2001 and October 1, 2000.</w:t>
        </w:r>
      </w:hyperlink>
    </w:p>
    <w:p>
      <w:pPr>
        <w:spacing w:after="0" w:line="170" w:lineRule="exact"/>
        <w:rPr>
          <w:sz w:val="20"/>
          <w:szCs w:val="20"/>
          <w:color w:val="auto"/>
        </w:rPr>
      </w:pPr>
    </w:p>
    <w:p>
      <w:pPr>
        <w:ind w:left="660" w:right="220"/>
        <w:spacing w:after="0" w:line="277"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Statements of Cash Flows for the Fiscal Year Ended March 30, 2003, the Six-Month Transitional Period Ended March 31, 2002, and for the Fiscal</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Years Ended September 30, 2001 and October 1, 2000.</w:t>
        </w:r>
      </w:hyperlink>
    </w:p>
    <w:p>
      <w:pPr>
        <w:sectPr>
          <w:pgSz w:w="11900" w:h="16838" w:orient="portrait"/>
          <w:cols w:equalWidth="0" w:num="1">
            <w:col w:w="11420"/>
          </w:cols>
          <w:pgMar w:left="240" w:top="356" w:right="239" w:bottom="0" w:gutter="0" w:footer="0" w:header="0"/>
        </w:sectPr>
      </w:pPr>
    </w:p>
    <w:bookmarkStart w:id="19" w:name="page20"/>
    <w:bookmarkEnd w:id="19"/>
    <w:p>
      <w:pPr>
        <w:ind w:left="6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Notes to Financial Statements.</w:t>
        </w:r>
      </w:hyperlink>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 on Schedule.</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following financial statement schedule for the fiscal year ended March 30, 2003, the six-month transitional period ended March 31, 2002, and for the fiscal years ended September 30, 2001 and October 1, 2000.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(a)(3)</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EXHIBITS.</w:t>
            </w:r>
          </w:p>
        </w:tc>
        <w:tc>
          <w:tcPr>
            <w:tcW w:w="60" w:type="dxa"/>
            <w:vAlign w:val="bottom"/>
          </w:tcPr>
          <w:p>
            <w:pPr>
              <w:spacing w:after="0"/>
              <w:rPr>
                <w:sz w:val="20"/>
                <w:szCs w:val="20"/>
                <w:color w:val="auto"/>
              </w:rPr>
            </w:pPr>
          </w:p>
        </w:tc>
        <w:tc>
          <w:tcPr>
            <w:tcW w:w="7260" w:type="dxa"/>
            <w:vAlign w:val="bottom"/>
            <w:gridSpan w:val="2"/>
            <w:vMerge w:val="restart"/>
          </w:tcPr>
          <w:p>
            <w:pPr>
              <w:ind w:left="3540"/>
              <w:spacing w:after="0"/>
              <w:rPr>
                <w:sz w:val="20"/>
                <w:szCs w:val="20"/>
                <w:color w:val="auto"/>
              </w:rPr>
            </w:pPr>
            <w:r>
              <w:rPr>
                <w:rFonts w:ascii="Arial" w:cs="Arial" w:eastAsia="Arial" w:hAnsi="Arial"/>
                <w:sz w:val="18"/>
                <w:szCs w:val="18"/>
                <w:color w:val="auto"/>
              </w:rPr>
              <w:t>Exhibit Index</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6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7260" w:type="dxa"/>
            <w:vAlign w:val="bottom"/>
            <w:gridSpan w:val="2"/>
          </w:tcPr>
          <w:p>
            <w:pPr>
              <w:ind w:left="3180"/>
              <w:spacing w:after="0"/>
              <w:rPr>
                <w:sz w:val="20"/>
                <w:szCs w:val="20"/>
                <w:color w:val="auto"/>
              </w:rPr>
            </w:pPr>
            <w:r>
              <w:rPr>
                <w:rFonts w:ascii="Arial" w:cs="Arial" w:eastAsia="Arial" w:hAnsi="Arial"/>
                <w:sz w:val="14"/>
                <w:szCs w:val="14"/>
                <w:b w:val="1"/>
                <w:bCs w:val="1"/>
                <w:color w:val="auto"/>
              </w:rPr>
              <w:t>Description</w:t>
            </w:r>
          </w:p>
        </w:tc>
        <w:tc>
          <w:tcPr>
            <w:tcW w:w="2320" w:type="dxa"/>
            <w:vAlign w:val="bottom"/>
          </w:tcPr>
          <w:p>
            <w:pPr>
              <w:ind w:left="64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 February 27, 2001.</w:t>
            </w:r>
          </w:p>
        </w:tc>
        <w:tc>
          <w:tcPr>
            <w:tcW w:w="180" w:type="dxa"/>
            <w:vAlign w:val="bottom"/>
          </w:tcPr>
          <w:p>
            <w:pPr>
              <w:spacing w:after="0"/>
              <w:rPr>
                <w:sz w:val="16"/>
                <w:szCs w:val="16"/>
                <w:color w:val="auto"/>
              </w:rPr>
            </w:pPr>
          </w:p>
        </w:tc>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Amended and Superseding By-Laws as amended through February 15, 1995. (2)</w:t>
            </w:r>
          </w:p>
        </w:tc>
        <w:tc>
          <w:tcPr>
            <w:tcW w:w="2320" w:type="dxa"/>
            <w:vAlign w:val="bottom"/>
          </w:tcPr>
          <w:p>
            <w:pPr>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Asset purchase agreement dated May 26, 2000 among St. Mary’s Chemicals, Inc., its</w:t>
            </w:r>
          </w:p>
        </w:tc>
        <w:tc>
          <w:tcPr>
            <w:tcW w:w="2320" w:type="dxa"/>
            <w:vAlign w:val="bottom"/>
          </w:tcPr>
          <w:p>
            <w:pPr>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shareholders, and the Company. (3)</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23.1</w:t>
            </w: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Independent Auditors’ Consent.</w:t>
            </w:r>
          </w:p>
        </w:tc>
        <w:tc>
          <w:tcPr>
            <w:tcW w:w="2320" w:type="dxa"/>
            <w:vAlign w:val="bottom"/>
          </w:tcPr>
          <w:p>
            <w:pPr>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99.1</w:t>
            </w:r>
          </w:p>
        </w:tc>
        <w:tc>
          <w:tcPr>
            <w:tcW w:w="7320" w:type="dxa"/>
            <w:vAlign w:val="bottom"/>
            <w:gridSpan w:val="3"/>
          </w:tcPr>
          <w:p>
            <w:pPr>
              <w:ind w:left="60"/>
              <w:spacing w:after="0"/>
              <w:rPr>
                <w:sz w:val="20"/>
                <w:szCs w:val="20"/>
                <w:color w:val="auto"/>
              </w:rPr>
            </w:pPr>
            <w:r>
              <w:rPr>
                <w:rFonts w:ascii="Arial" w:cs="Arial" w:eastAsia="Arial" w:hAnsi="Arial"/>
                <w:sz w:val="18"/>
                <w:szCs w:val="18"/>
                <w:color w:val="auto"/>
                <w:w w:val="94"/>
              </w:rPr>
              <w:t>Certification by Chief Executive Officer pursuant to 18 U.S.C. Section 1350, as adopted pursuant</w:t>
            </w:r>
          </w:p>
        </w:tc>
        <w:tc>
          <w:tcPr>
            <w:tcW w:w="2320" w:type="dxa"/>
            <w:vAlign w:val="bottom"/>
          </w:tcPr>
          <w:p>
            <w:pPr>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to Section 906 of the Sarbanes-Oxley Act of 2002.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99.2</w:t>
            </w:r>
          </w:p>
        </w:tc>
        <w:tc>
          <w:tcPr>
            <w:tcW w:w="7320" w:type="dxa"/>
            <w:vAlign w:val="bottom"/>
            <w:gridSpan w:val="3"/>
          </w:tcPr>
          <w:p>
            <w:pPr>
              <w:ind w:left="60"/>
              <w:spacing w:after="0"/>
              <w:rPr>
                <w:sz w:val="20"/>
                <w:szCs w:val="20"/>
                <w:color w:val="auto"/>
              </w:rPr>
            </w:pPr>
            <w:r>
              <w:rPr>
                <w:rFonts w:ascii="Arial" w:cs="Arial" w:eastAsia="Arial" w:hAnsi="Arial"/>
                <w:sz w:val="18"/>
                <w:szCs w:val="18"/>
                <w:color w:val="auto"/>
                <w:w w:val="94"/>
              </w:rPr>
              <w:t>Certification by Chief Financial Officer pursuant to 18 U.S.C. Section 1350, as adopted pursuant</w:t>
            </w:r>
          </w:p>
        </w:tc>
        <w:tc>
          <w:tcPr>
            <w:tcW w:w="2320" w:type="dxa"/>
            <w:vAlign w:val="bottom"/>
          </w:tcPr>
          <w:p>
            <w:pPr>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3"/>
          </w:tcPr>
          <w:p>
            <w:pPr>
              <w:ind w:left="60"/>
              <w:spacing w:after="0"/>
              <w:rPr>
                <w:sz w:val="20"/>
                <w:szCs w:val="20"/>
                <w:color w:val="auto"/>
              </w:rPr>
            </w:pPr>
            <w:r>
              <w:rPr>
                <w:rFonts w:ascii="Arial" w:cs="Arial" w:eastAsia="Arial" w:hAnsi="Arial"/>
                <w:sz w:val="18"/>
                <w:szCs w:val="18"/>
                <w:color w:val="auto"/>
              </w:rPr>
              <w:t>to Section 906 of the Sarbanes-Oxley Act of 2002.</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 ended June 30, 2000.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660" w:right="180"/>
        <w:spacing w:after="0" w:line="277" w:lineRule="auto"/>
        <w:rPr>
          <w:rFonts w:ascii="Arial" w:cs="Arial" w:eastAsia="Arial" w:hAnsi="Arial"/>
          <w:sz w:val="18"/>
          <w:szCs w:val="18"/>
          <w:color w:val="auto"/>
        </w:rPr>
      </w:pPr>
      <w:r>
        <w:rPr>
          <w:rFonts w:ascii="Arial" w:cs="Arial" w:eastAsia="Arial" w:hAnsi="Arial"/>
          <w:sz w:val="18"/>
          <w:szCs w:val="18"/>
          <w:color w:val="auto"/>
        </w:rPr>
        <w:t>On June 19, 2003, we furnished a Current Report on Form 8-K to the SEC, including the Company’s press release announcing financial results for the fiscal year ended March 30, 2003.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on June 27, 2003.</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58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Hawkins</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R. Hawkins,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138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4"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Marvin E. Dee</w:t>
            </w:r>
          </w:p>
        </w:tc>
      </w:tr>
      <w:tr>
        <w:trPr>
          <w:trHeight w:val="195"/>
        </w:trPr>
        <w:tc>
          <w:tcPr>
            <w:tcW w:w="5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Marvin E. Dee, Chief Financial Officer,</w:t>
            </w:r>
          </w:p>
        </w:tc>
      </w:tr>
      <w:tr>
        <w:trPr>
          <w:trHeight w:val="230"/>
        </w:trPr>
        <w:tc>
          <w:tcPr>
            <w:tcW w:w="5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Secretary, Treasurer</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1934,this report has also been signed below by the following persons on behalf of the Company and in the capacities indicated on June 27, 2003.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John R. Hawkins</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John R. Hawkins,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Kurt R. Norman</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Kurt R. Norman,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Dean L. Hahn</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Dean L. Hahn,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Donald L. Shipp</w:t>
            </w:r>
          </w:p>
        </w:tc>
      </w:tr>
    </w:tbl>
    <w:p>
      <w:pPr>
        <w:sectPr>
          <w:pgSz w:w="11900" w:h="16838" w:orient="portrait"/>
          <w:cols w:equalWidth="0" w:num="1">
            <w:col w:w="11380"/>
          </w:cols>
          <w:pgMar w:left="240" w:top="341" w:right="27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Donald L. Shipp, 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Howard M. Hawkins</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Howard M. Hawkins,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John S. McKeon</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John S. McKeon,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Duane M. Jergenson</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Duane M. Jergenson,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 Robert Gey</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G. Robert Gey,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Daryl I. Skaar</w:t>
            </w:r>
          </w:p>
        </w:tc>
      </w:tr>
      <w:tr>
        <w:trPr>
          <w:trHeight w:val="224"/>
        </w:trPr>
        <w:tc>
          <w:tcPr>
            <w:tcW w:w="5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Daryl I. Skaar, Director</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880" w:hanging="548"/>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ind w:left="880" w:right="140" w:hanging="548"/>
        <w:spacing w:after="0" w:line="264"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880" w:right="200" w:hanging="548"/>
        <w:spacing w:after="0" w:line="342" w:lineRule="auto"/>
        <w:tabs>
          <w:tab w:leader="none" w:pos="893"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left="880" w:right="80" w:hanging="548"/>
        <w:spacing w:after="0" w:line="277"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1300" w:right="160" w:hanging="320"/>
        <w:spacing w:after="0" w:line="264" w:lineRule="auto"/>
        <w:tabs>
          <w:tab w:leader="none" w:pos="1303"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1300" w:right="120" w:hanging="320"/>
        <w:spacing w:after="0" w:line="277" w:lineRule="auto"/>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3"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880" w:right="420" w:hanging="548"/>
        <w:spacing w:after="0" w:line="277"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100" w:hanging="320"/>
        <w:spacing w:after="0" w:line="264" w:lineRule="auto"/>
        <w:tabs>
          <w:tab w:leader="none" w:pos="1303"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1" w:lineRule="exact"/>
        <w:rPr>
          <w:rFonts w:ascii="Arial" w:cs="Arial" w:eastAsia="Arial" w:hAnsi="Arial"/>
          <w:sz w:val="18"/>
          <w:szCs w:val="18"/>
          <w:color w:val="auto"/>
        </w:rPr>
      </w:pPr>
    </w:p>
    <w:p>
      <w:pPr>
        <w:ind w:left="1300" w:right="220" w:hanging="320"/>
        <w:spacing w:after="0" w:line="277" w:lineRule="auto"/>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left="980" w:right="180" w:hanging="661"/>
        <w:spacing w:after="0" w:line="264" w:lineRule="auto"/>
        <w:tabs>
          <w:tab w:leader="none" w:pos="9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14605</wp:posOffset>
            </wp:positionV>
            <wp:extent cx="23926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June 27, 2003</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5" w:right="339" w:bottom="316"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ind w:left="880" w:right="240" w:hanging="332"/>
        <w:spacing w:after="0" w:line="264"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880" w:right="300" w:hanging="332"/>
        <w:spacing w:after="0" w:line="342" w:lineRule="auto"/>
        <w:tabs>
          <w:tab w:leader="none" w:pos="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left="880" w:right="180" w:hanging="332"/>
        <w:spacing w:after="0" w:line="277"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1520" w:right="40" w:hanging="323"/>
        <w:spacing w:after="0" w:line="264" w:lineRule="auto"/>
        <w:tabs>
          <w:tab w:leader="none" w:pos="15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1520" w:hanging="323"/>
        <w:spacing w:after="0" w:line="277"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70" w:lineRule="exact"/>
        <w:rPr>
          <w:rFonts w:ascii="Arial" w:cs="Arial" w:eastAsia="Arial" w:hAnsi="Arial"/>
          <w:sz w:val="18"/>
          <w:szCs w:val="18"/>
          <w:color w:val="auto"/>
        </w:rPr>
      </w:pPr>
    </w:p>
    <w:p>
      <w:pPr>
        <w:ind w:left="1520" w:right="80" w:hanging="323"/>
        <w:spacing w:after="0" w:line="277" w:lineRule="auto"/>
        <w:tabs>
          <w:tab w:leader="none" w:pos="15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880" w:right="520" w:hanging="332"/>
        <w:spacing w:after="0" w:line="277"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520" w:right="200" w:hanging="323"/>
        <w:spacing w:after="0" w:line="264" w:lineRule="auto"/>
        <w:tabs>
          <w:tab w:leader="none" w:pos="15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1" w:lineRule="exact"/>
        <w:rPr>
          <w:rFonts w:ascii="Arial" w:cs="Arial" w:eastAsia="Arial" w:hAnsi="Arial"/>
          <w:sz w:val="18"/>
          <w:szCs w:val="18"/>
          <w:color w:val="auto"/>
        </w:rPr>
      </w:pPr>
    </w:p>
    <w:p>
      <w:pPr>
        <w:ind w:left="1520" w:right="100" w:hanging="323"/>
        <w:spacing w:after="0" w:line="277"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left="980" w:right="280" w:hanging="432"/>
        <w:spacing w:after="0" w:line="264" w:lineRule="auto"/>
        <w:tabs>
          <w:tab w:leader="none" w:pos="9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14605</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June 27,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 ON SCHEDULE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audited the financial statements of Hawkins, Inc. (the Company) as of March 30, 2003 and March 31, 2002 and for the fiscal year ended March 30, 2003, the six-month transitional period ended March 31, 2002, and the fiscal years ended September 30, 2001 and October 1, 2000 and have issued our report thereon dated June 13, 2003; such report is included elsewhere in this Form 10-K. Our audits also included the financial statement schedule of the Company, listed in Item 16(a)(2).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2003</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ectPr>
          <w:pgSz w:w="11900" w:h="16838" w:orient="portrait"/>
          <w:cols w:equalWidth="0" w:num="1">
            <w:col w:w="11420"/>
          </w:cols>
          <w:pgMar w:left="240" w:top="12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ind w:right="2840"/>
        <w:spacing w:after="0" w:line="261" w:lineRule="auto"/>
        <w:rPr>
          <w:sz w:val="20"/>
          <w:szCs w:val="20"/>
          <w:color w:val="auto"/>
        </w:rPr>
      </w:pPr>
      <w:r>
        <w:rPr>
          <w:rFonts w:ascii="Arial" w:cs="Arial" w:eastAsia="Arial" w:hAnsi="Arial"/>
          <w:sz w:val="18"/>
          <w:szCs w:val="18"/>
          <w:b w:val="1"/>
          <w:bCs w:val="1"/>
          <w:color w:val="auto"/>
        </w:rPr>
        <w:t>FOR THE FISCAL YEAR ENDED MARCH 30, 2003, THE SIX-MONTH TRANSITIONAL PERIOD ENDED MARCH 31, 2002 AND THE FISCAL YEARS ENDED SEPTEMBER 30, 2001 AND OCTOBER 1, 2000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Additions</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9"/>
              </w:rPr>
              <w:t>Charged to</w:t>
            </w:r>
          </w:p>
        </w:tc>
        <w:tc>
          <w:tcPr>
            <w:tcW w:w="10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Charged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Deductions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Costs and</w:t>
            </w: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 Other</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gridSpan w:val="3"/>
            <w:vMerge w:val="continue"/>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4"/>
                <w:szCs w:val="14"/>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Expenses</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Accounts</w:t>
            </w:r>
          </w:p>
        </w:tc>
        <w:tc>
          <w:tcPr>
            <w:tcW w:w="200" w:type="dxa"/>
            <w:vAlign w:val="bottom"/>
          </w:tcPr>
          <w:p>
            <w:pPr>
              <w:spacing w:after="0"/>
              <w:rPr>
                <w:sz w:val="14"/>
                <w:szCs w:val="1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 of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Reserve deducted from asset to which it applies -</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March 30, 2003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18,051</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SIX MONTHS ENDED: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March 31, 2002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30,868</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65,868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September 30, 2001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70,803</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112,803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October 1, 2000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380,000</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32</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gridSpan w:val="6"/>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ind w:left="900"/>
              <w:spacing w:after="0"/>
              <w:rPr>
                <w:sz w:val="20"/>
                <w:szCs w:val="20"/>
                <w:color w:val="auto"/>
              </w:rPr>
            </w:pPr>
            <w:r>
              <w:rPr>
                <w:rFonts w:ascii="Arial" w:cs="Arial" w:eastAsia="Arial" w:hAnsi="Arial"/>
                <w:sz w:val="18"/>
                <w:szCs w:val="18"/>
                <w:color w:val="auto"/>
              </w:rPr>
              <w:t>Exhibit Index</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6"/>
          </w:tcPr>
          <w:p>
            <w:pPr>
              <w:ind w:left="70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7440" w:type="dxa"/>
            <w:vAlign w:val="bottom"/>
            <w:tcBorders>
              <w:top w:val="single" w:sz="8" w:color="auto"/>
            </w:tcBorders>
            <w:gridSpan w:val="11"/>
          </w:tcPr>
          <w:p>
            <w:pPr>
              <w:ind w:left="20"/>
              <w:spacing w:after="0" w:line="195" w:lineRule="exact"/>
              <w:rPr>
                <w:sz w:val="20"/>
                <w:szCs w:val="20"/>
                <w:color w:val="auto"/>
              </w:rPr>
            </w:pPr>
            <w:r>
              <w:rPr>
                <w:rFonts w:ascii="Arial" w:cs="Arial" w:eastAsia="Arial" w:hAnsi="Arial"/>
                <w:sz w:val="18"/>
                <w:szCs w:val="18"/>
                <w:color w:val="auto"/>
                <w:w w:val="92"/>
              </w:rPr>
              <w:t>Amended and Second Restated Articles of Incorporation as amended through February 27, 2001.(1)</w:t>
            </w: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gridSpan w:val="6"/>
          </w:tcPr>
          <w:p>
            <w:pPr>
              <w:ind w:left="20"/>
              <w:spacing w:after="0" w:line="195" w:lineRule="exact"/>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6220" w:type="dxa"/>
            <w:vAlign w:val="bottom"/>
            <w:gridSpan w:val="9"/>
          </w:tcPr>
          <w:p>
            <w:pPr>
              <w:ind w:left="20"/>
              <w:spacing w:after="0"/>
              <w:rPr>
                <w:sz w:val="20"/>
                <w:szCs w:val="20"/>
                <w:color w:val="auto"/>
              </w:rPr>
            </w:pPr>
            <w:r>
              <w:rPr>
                <w:rFonts w:ascii="Arial" w:cs="Arial" w:eastAsia="Arial" w:hAnsi="Arial"/>
                <w:sz w:val="18"/>
                <w:szCs w:val="18"/>
                <w:color w:val="auto"/>
                <w:w w:val="95"/>
              </w:rPr>
              <w:t>Amended and Superseding By-Laws as amended through February 15, 1995. (2)</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7440" w:type="dxa"/>
            <w:vAlign w:val="bottom"/>
            <w:gridSpan w:val="11"/>
          </w:tcPr>
          <w:p>
            <w:pPr>
              <w:ind w:left="20"/>
              <w:spacing w:after="0"/>
              <w:rPr>
                <w:sz w:val="20"/>
                <w:szCs w:val="20"/>
                <w:color w:val="auto"/>
              </w:rPr>
            </w:pPr>
            <w:r>
              <w:rPr>
                <w:rFonts w:ascii="Arial" w:cs="Arial" w:eastAsia="Arial" w:hAnsi="Arial"/>
                <w:sz w:val="18"/>
                <w:szCs w:val="18"/>
                <w:color w:val="auto"/>
                <w:w w:val="89"/>
              </w:rPr>
              <w:t>Asset purchase agreement dated May 26, 2000 among St. Mary’s Chemicals, Inc., its shareholders, and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the Company. (3)</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Independent Auditors’ Consent.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7440" w:type="dxa"/>
            <w:vAlign w:val="bottom"/>
            <w:gridSpan w:val="11"/>
          </w:tcPr>
          <w:p>
            <w:pPr>
              <w:ind w:left="20"/>
              <w:spacing w:after="0"/>
              <w:rPr>
                <w:sz w:val="20"/>
                <w:szCs w:val="20"/>
                <w:color w:val="auto"/>
              </w:rPr>
            </w:pPr>
            <w:r>
              <w:rPr>
                <w:rFonts w:ascii="Arial" w:cs="Arial" w:eastAsia="Arial" w:hAnsi="Arial"/>
                <w:sz w:val="18"/>
                <w:szCs w:val="18"/>
                <w:color w:val="auto"/>
                <w:w w:val="93"/>
              </w:rPr>
              <w:t>Certification by Chief Executive Officer pursuant to 18 U.S.C. Section 1350, as adopted pursuant to</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5"/>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7440" w:type="dxa"/>
            <w:vAlign w:val="bottom"/>
            <w:gridSpan w:val="11"/>
          </w:tcPr>
          <w:p>
            <w:pPr>
              <w:ind w:left="20"/>
              <w:spacing w:after="0"/>
              <w:rPr>
                <w:sz w:val="20"/>
                <w:szCs w:val="20"/>
                <w:color w:val="auto"/>
              </w:rPr>
            </w:pPr>
            <w:r>
              <w:rPr>
                <w:rFonts w:ascii="Arial" w:cs="Arial" w:eastAsia="Arial" w:hAnsi="Arial"/>
                <w:sz w:val="18"/>
                <w:szCs w:val="18"/>
                <w:color w:val="auto"/>
                <w:w w:val="94"/>
              </w:rPr>
              <w:t>Certification by Chief Financial Officer pursuant to 18 U.S.C. Section 1350, as adopted pursuant to</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5"/>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-1950085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-1950085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 ended June 30, 2000.</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33-41323 of Hawkins, Inc. (the Company) on Form S-8 of our reports dated June 13, 2003 appearing in this Annual Report on Form 10-K for the Company for the year ended March 30, 2003.</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2003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2003</w:t>
      </w:r>
    </w:p>
    <w:p>
      <w:pPr>
        <w:spacing w:after="0" w:line="200" w:lineRule="exact"/>
        <w:rPr>
          <w:sz w:val="20"/>
          <w:szCs w:val="20"/>
          <w:color w:val="auto"/>
        </w:rPr>
      </w:pPr>
    </w:p>
    <w:p>
      <w:pPr>
        <w:spacing w:after="0" w:line="22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Hawkins, Inc. and will be retained by Hawkins, Inc. and furnished to the Securities and Exchange Commission or its staff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2003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2003</w:t>
      </w:r>
    </w:p>
    <w:p>
      <w:pPr>
        <w:spacing w:after="0" w:line="200" w:lineRule="exact"/>
        <w:rPr>
          <w:sz w:val="20"/>
          <w:szCs w:val="20"/>
          <w:color w:val="auto"/>
        </w:rPr>
      </w:pPr>
    </w:p>
    <w:p>
      <w:pPr>
        <w:spacing w:after="0" w:line="22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Hawkins, Inc. and will be retained by Hawkins, Inc. and furnished to the Securities and Exchange Commission or its staff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1)"/>
      <w:numFmt w:val="lowerLetter"/>
      <w:start w:val="2"/>
    </w:lvl>
  </w:abstractNum>
  <w:abstractNum w:abstractNumId="2">
    <w:nsid w:val="1BEFD79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
    <w:nsid w:val="41A7C4C9"/>
    <w:multiLevelType w:val="hybridMultilevel"/>
    <w:lvl w:ilvl="0">
      <w:lvlJc w:val="left"/>
      <w:lvlText w:val="(%1)"/>
      <w:numFmt w:val="lowerRoman"/>
      <w:start w:val="2"/>
    </w:lvl>
  </w:abstractNum>
  <w:abstractNum w:abstractNumId="4">
    <w:nsid w:val="6B68079A"/>
    <w:multiLevelType w:val="hybridMultilevel"/>
    <w:lvl w:ilvl="0">
      <w:lvlJc w:val="left"/>
      <w:lvlText w:val="(%1)"/>
      <w:numFmt w:val="lowerRoman"/>
      <w:start w:val="4"/>
    </w:lvl>
  </w:abstractNum>
  <w:abstractNum w:abstractNumId="5">
    <w:nsid w:val="4E6AFB66"/>
    <w:multiLevelType w:val="hybridMultilevel"/>
    <w:lvl w:ilvl="0">
      <w:lvlJc w:val="left"/>
      <w:lvlText w:val="%1"/>
      <w:numFmt w:val="lowerLetter"/>
      <w:start w:val="1"/>
    </w:lvl>
    <w:lvl w:ilvl="1">
      <w:lvlJc w:val="left"/>
      <w:lvlText w:val="(%2)"/>
      <w:numFmt w:val="lowerRoman"/>
      <w:start w:val="7"/>
    </w:lvl>
  </w:abstractNum>
  <w:abstractNum w:abstractNumId="6">
    <w:nsid w:val="25E45D32"/>
    <w:multiLevelType w:val="hybridMultilevel"/>
    <w:lvl w:ilvl="0">
      <w:lvlJc w:val="left"/>
      <w:lvlText w:val="(%1)"/>
      <w:numFmt w:val="lowerLetter"/>
      <w:start w:val="4"/>
    </w:lvl>
    <w:lvl w:ilvl="1">
      <w:lvlJc w:val="left"/>
      <w:lvlText w:val="%2"/>
      <w:numFmt w:val="lowerRoman"/>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1."/>
      <w:numFmt w:val="decimal"/>
      <w:start w:val="3"/>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decimal"/>
      <w:start w:val="8"/>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0"/>
    </w:lvl>
  </w:abstractNum>
  <w:abstractNum w:abstractNumId="18">
    <w:nsid w:val="2D1D5AE9"/>
    <w:multiLevelType w:val="hybridMultilevel"/>
    <w:lvl w:ilvl="0">
      <w:lvlJc w:val="left"/>
      <w:lvlText w:val="%1."/>
      <w:numFmt w:val="decimal"/>
      <w:start w:val="1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9838CB2"/>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2019-12-12T09:37:22Z</dcterms:created>
  <dcterms:modified xsi:type="dcterms:W3CDTF">2019-12-12T09:37:22Z</dcterms:modified>
</cp:coreProperties>
</file>