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February 6, 2019</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February 6, 2019, Hawkins, Inc. issued a press release announcing financial results for its fiscal 2019 third quarter ended December 30, 2018.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320" w:firstLine="878"/>
        <w:spacing w:after="0" w:line="277" w:lineRule="auto"/>
        <w:rPr>
          <w:sz w:val="20"/>
          <w:szCs w:val="20"/>
          <w:color w:val="auto"/>
        </w:rPr>
      </w:pPr>
      <w:r>
        <w:rPr>
          <w:rFonts w:ascii="Arial" w:cs="Arial" w:eastAsia="Arial" w:hAnsi="Arial"/>
          <w:sz w:val="18"/>
          <w:szCs w:val="18"/>
          <w:color w:val="auto"/>
        </w:rPr>
        <w:t>Exhibit 99.1—Press Release, dated February 6, 2019, announcing financial results of Hawkins, Inc. for its fiscal 2019 third quarter ended December 30, 2018.</w:t>
      </w:r>
    </w:p>
    <w:p>
      <w:pPr>
        <w:sectPr>
          <w:pgSz w:w="11900" w:h="16838" w:orient="portrait"/>
          <w:cols w:equalWidth="0" w:num="1">
            <w:col w:w="11100"/>
          </w:cols>
          <w:pgMar w:left="240" w:top="580" w:right="559" w:bottom="1440" w:gutter="0" w:footer="0" w:header="0"/>
        </w:sectPr>
      </w:pPr>
    </w:p>
    <w:bookmarkStart w:id="2" w:name="page3"/>
    <w:bookmarkEnd w:id="2"/>
    <w:p>
      <w:pPr>
        <w:ind w:left="40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5874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1340"/>
        <w:spacing w:after="0"/>
        <w:tabs>
          <w:tab w:leader="none" w:pos="214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6"/>
          <w:szCs w:val="16"/>
          <w:color w:val="0000FF"/>
        </w:rPr>
        <w:t>Press Release, dated February 6, 2019, announcing financial results of Hawkins, Inc. for its fiscal</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2019 third quarter ended December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20" w:space="720"/>
            <w:col w:w="980"/>
          </w:cols>
          <w:pgMar w:left="280" w:top="584" w:right="59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February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Jeffrey P. Oldenkamp</w:t>
      </w:r>
    </w:p>
    <w:p>
      <w:pPr>
        <w:spacing w:after="0" w:line="86" w:lineRule="exact"/>
        <w:rPr>
          <w:sz w:val="20"/>
          <w:szCs w:val="20"/>
          <w:color w:val="auto"/>
        </w:rPr>
      </w:pPr>
    </w:p>
    <w:p>
      <w:pPr>
        <w:sectPr>
          <w:pgSz w:w="11900" w:h="16838" w:orient="portrait"/>
          <w:cols w:equalWidth="0" w:num="2">
            <w:col w:w="6220" w:space="720"/>
            <w:col w:w="448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February 6,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QUARTER FISCAL 2019 RESULTS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Minneapolis, MN, February 6, 2019 – Hawkins, Inc. (Nasdaq: HWKN) today announced results for the three months ended December 30, 2018, its third quarter of fiscal 2019. Highlights include:</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$128.2 million, an increase of 9% from $118.1 million a year ago.</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$6.7 million, an increase of 43% over the third quarter of the prior year, all as a result of organic growth along with improved productivity and effective expense control.</w:t>
      </w:r>
    </w:p>
    <w:p>
      <w:pPr>
        <w:ind w:left="660" w:right="10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Diluted earnings per share (EPS) of $0.39 for the current quarter, as compared to EPS of $1.61 and adjusted EPS of $0.27 for the same period of the prior year; prior year EPS of $1.61 included $1.34 of one-time benefits for adjustments related to the Tax Cuts and Jobs Act.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$31.0 million in operating cash flow in the first nine months of fiscal 2019, a $16.4 million year-over-year improvement.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Made year-to-date debt payments of $10 million, which, combined with an improvement of cash on hand, reduced net debt by $12.4 million from the end of fiscal 2018 and $23.2 million from the same period a year ago.</w:t>
      </w:r>
    </w:p>
    <w:p>
      <w:pPr>
        <w:ind w:left="660" w:right="4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third quarter of fiscal 2019 we repurchased approximately 60,000 shares of our common stock to help offset dilution from the Company's equity award programs.</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pleased to report a 43% increase in operating income for the third quarter, with double-digit growth in each of our segments,” said Patrick Hawkins, Chief Executive Officer and President. “In particular, operating income in our Health and Nutrition segment improved significantly from the third quarter of the prior year as we continue to rationalize the sales of manufactured products to focus on core products. This, combined with a reduction in operating costs, resulted in a $1.1 million increase in operating income for the segment from a small loss last year. Through the first three quarters, Health and Nutrition operating income is up nearly 300% from the prior year.”</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Hawkins continued, “Our Industrial segment experienced double-digit organic revenue growth for the third consecutive quarter. This growth came from continued increased sales across a number of specialty product lines, as well as our ability to pass on increased raw material costs in the form of higher selling prices on certain products. The growth in our Water Treatment segment resulted from increased sales across several specialty product lines in the majority of the geographic markets we serve."</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the third quarter of fiscal 2019, sales increased 9% to $128.2 million from the prior year. Industrial segment sales were $69.0 million, an increase of $8.7 million, or 14%, from the same period of the prior year. Sales dollars increased compared to the same period in the prior year due to higher volumes sold, in particular certain specialty products that carry higher per-unit selling prices, as well as increased selling prices on certain products resulting from increased raw material costs. Water Treatment segment sales were $32.7 million for the most recent quarter, an increase of $1.9 million, or 6%, from the same period of the prior year. A product mix shift and slightly higher overall sales volumes resulted in higher sales dollars in the current period. Health and Nutrition segment sales were $26.4 million, a decrease of $0.5 million, or 2%, from the same period of the prior year. Increased sales of distributed specialty products were more than offset by decreased sales of manufactured products as we focus on core products in this area.</w:t>
      </w:r>
    </w:p>
    <w:p>
      <w:pPr>
        <w:spacing w:after="0" w:line="17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Company-wide gross profit for the third quarter of fiscal 2019 was $21.0 million, or 16% of sales, an increase of $2.2 million from $18.8 million, or 16% of sales, for the same period of the prior year. As a result of projected year-end raw material cost and on-hand quantity estimates, the LIFO reserve decreased and gross profits increased by $0.5 million during the three months ended December 30, 2018 while the LIFO reserve increased and gross profits decreased by $0.7 million in same period of the prior year. Industrial segment gross profit was $8.3 million, or 12% of sales, for the quarter, compared to $7.1 million, or 12% of sales, for the same period of the prior year. Gross profit increased as a result of a favorable $0.9 million year-over-year LIFO impact, as well as higher sales volumes, partially offset by increased freight costs and other operating costs including repair and maintenance costs. Water Treatment segment gross profit was $7.6 million, or 23% of sales, for the three months ended</w:t>
      </w:r>
    </w:p>
    <w:p>
      <w:pPr>
        <w:sectPr>
          <w:pgSz w:w="11900" w:h="16838" w:orient="portrait"/>
          <w:cols w:equalWidth="0" w:num="1">
            <w:col w:w="11420"/>
          </w:cols>
          <w:pgMar w:left="240" w:top="746" w:right="239" w:bottom="1440" w:gutter="0" w:footer="0" w:header="0"/>
          <w:type w:val="continuous"/>
        </w:sectPr>
      </w:pPr>
    </w:p>
    <w:bookmarkStart w:id="5" w:name="page6"/>
    <w:bookmarkEnd w:id="5"/>
    <w:p>
      <w:pPr>
        <w:ind w:right="220"/>
        <w:spacing w:after="0" w:line="257" w:lineRule="auto"/>
        <w:rPr>
          <w:sz w:val="20"/>
          <w:szCs w:val="20"/>
          <w:color w:val="auto"/>
        </w:rPr>
      </w:pPr>
      <w:r>
        <w:rPr>
          <w:rFonts w:ascii="Arial" w:cs="Arial" w:eastAsia="Arial" w:hAnsi="Arial"/>
          <w:sz w:val="18"/>
          <w:szCs w:val="18"/>
          <w:color w:val="auto"/>
        </w:rPr>
        <w:t>December 30, 2018, an increase of $0.2 million compared to $7.4 million, or 24% of sales, for the same period of the prior year. Gross profit increased as a result of the $0.2 million favorable year-over-year LIFO impact. Additional increases in profit resulting from higher sales were largely offset by increased operating costs. Health and Nutrition segment gross profit increased $0.7 million to $5.1 million, or 19% of sales, for the third quarter of fiscal 2019 compared to $4.4 million, or 16% of sales, for the same period of the prior year. Although total sales were down compared to a year ago, our focus on core products in our manufactured business resulted in improved gross profit.</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Company-wide SG&amp;A expenses increased $0.2 million to $14.3 million, or 11% of sales, for the third quarter of fiscal 2019, compared to $14.1 million, or 12% of sales, for the same period of the prior year. Increases in certain variable expenses were largely offset by actions taken by management, combined with a $0.4 million reduction in compensation expense resulting from a change in the non-qualified deferred compensation plan liability. This offsets a loss recorded in other income representing a loss on investments held for our non-qualified deferred compensation plan.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effective income tax rate was 26.2% for the three months ended December 30, 2018. Our effective tax rate for the three months ended December 31, 2017 was not meaningful as we recorded a $13.2 million one-time income tax benefit during the period as a result of the U.S. Tax Cuts and Jobs Act of 2017 which was signed into law in December 2017. The effective tax rate is impacted by projected levels of annual taxable income, permanent items, and state taxes.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December 30, 2018 was $12.5 million, an increase of $2.0 million, or 19%, from EBITDA of $10.5 million for the same period in the prior year. The increase was due to the combined impact of improved gross profit in all of our operating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define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each non-GAAP financial measure used in this release to its most directly comparable financial measure calculated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is presented below:</w:t>
      </w:r>
    </w:p>
    <w:p>
      <w:pPr>
        <w:sectPr>
          <w:pgSz w:w="11900" w:h="16838" w:orient="portrait"/>
          <w:cols w:equalWidth="0" w:num="1">
            <w:col w:w="11400"/>
          </w:cols>
          <w:pgMar w:left="240" w:top="584" w:right="259" w:bottom="1440" w:gutter="0" w:footer="0" w:header="0"/>
        </w:sectPr>
      </w:pPr>
    </w:p>
    <w:bookmarkStart w:id="6" w:name="page7"/>
    <w:bookmarkEnd w:id="6"/>
    <w:tbl>
      <w:tblPr>
        <w:tblLayout w:type="fixed"/>
        <w:tblInd w:w="26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ind w:left="560"/>
              <w:spacing w:after="0"/>
              <w:rPr>
                <w:sz w:val="20"/>
                <w:szCs w:val="20"/>
                <w:color w:val="auto"/>
              </w:rPr>
            </w:pPr>
            <w:r>
              <w:rPr>
                <w:rFonts w:ascii="Arial" w:cs="Arial" w:eastAsia="Arial" w:hAnsi="Arial"/>
                <w:sz w:val="18"/>
                <w:szCs w:val="18"/>
                <w:b w:val="1"/>
                <w:bCs w:val="1"/>
                <w:color w:val="auto"/>
              </w:rPr>
              <w:t>December 30, 2018</w:t>
            </w:r>
          </w:p>
        </w:tc>
        <w:tc>
          <w:tcPr>
            <w:tcW w:w="140" w:type="dxa"/>
            <w:vAlign w:val="bottom"/>
          </w:tcPr>
          <w:p>
            <w:pPr>
              <w:spacing w:after="0"/>
              <w:rPr>
                <w:sz w:val="20"/>
                <w:szCs w:val="20"/>
                <w:color w:val="auto"/>
              </w:rPr>
            </w:pPr>
          </w:p>
        </w:tc>
        <w:tc>
          <w:tcPr>
            <w:tcW w:w="27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Diluted earnings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Diluted earnings</w:t>
            </w:r>
          </w:p>
        </w:tc>
      </w:tr>
      <w:tr>
        <w:trPr>
          <w:trHeight w:val="234"/>
        </w:trPr>
        <w:tc>
          <w:tcPr>
            <w:tcW w:w="5020" w:type="dxa"/>
            <w:vAlign w:val="bottom"/>
          </w:tcPr>
          <w:p>
            <w:pPr>
              <w:ind w:left="40"/>
              <w:spacing w:after="0"/>
              <w:rPr>
                <w:sz w:val="20"/>
                <w:szCs w:val="20"/>
                <w:color w:val="auto"/>
              </w:rPr>
            </w:pPr>
            <w:r>
              <w:rPr>
                <w:rFonts w:ascii="Arial" w:cs="Arial" w:eastAsia="Arial" w:hAnsi="Arial"/>
                <w:sz w:val="18"/>
                <w:szCs w:val="18"/>
                <w:color w:val="auto"/>
              </w:rPr>
              <w:t>(In thousands, except share and per share data)</w:t>
            </w:r>
          </w:p>
        </w:tc>
        <w:tc>
          <w:tcPr>
            <w:tcW w:w="14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Net Income</w:t>
            </w:r>
          </w:p>
        </w:tc>
        <w:tc>
          <w:tcPr>
            <w:tcW w:w="32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 (1)</w:t>
            </w:r>
          </w:p>
        </w:tc>
        <w:tc>
          <w:tcPr>
            <w:tcW w:w="14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Net Income</w:t>
            </w:r>
          </w:p>
        </w:tc>
        <w:tc>
          <w:tcPr>
            <w:tcW w:w="30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per share (2)</w:t>
            </w: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4,130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17,143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Revaluation of net deferred tax liabilities</w:t>
            </w:r>
          </w:p>
        </w:tc>
        <w:tc>
          <w:tcPr>
            <w:tcW w:w="1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(13,228)</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lower effective tax rate on previously-recorded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(1,078)</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50"/>
        </w:trPr>
        <w:tc>
          <w:tcPr>
            <w:tcW w:w="5020" w:type="dxa"/>
            <w:vAlign w:val="bottom"/>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4,130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2,837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8890</wp:posOffset>
            </wp:positionV>
            <wp:extent cx="3738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10,712,027 shares used in calculating diluted earnings per share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10,648,232 shares used in calculating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-276860</wp:posOffset>
            </wp:positionV>
            <wp:extent cx="3738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34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ind w:left="560"/>
              <w:spacing w:after="0"/>
              <w:rPr>
                <w:sz w:val="20"/>
                <w:szCs w:val="20"/>
                <w:color w:val="auto"/>
              </w:rPr>
            </w:pPr>
            <w:r>
              <w:rPr>
                <w:rFonts w:ascii="Arial" w:cs="Arial" w:eastAsia="Arial" w:hAnsi="Arial"/>
                <w:sz w:val="18"/>
                <w:szCs w:val="18"/>
                <w:b w:val="1"/>
                <w:bCs w:val="1"/>
                <w:color w:val="auto"/>
              </w:rPr>
              <w:t>December 30, 2018</w:t>
            </w:r>
          </w:p>
        </w:tc>
        <w:tc>
          <w:tcPr>
            <w:tcW w:w="140" w:type="dxa"/>
            <w:vAlign w:val="bottom"/>
          </w:tcPr>
          <w:p>
            <w:pPr>
              <w:spacing w:after="0"/>
              <w:rPr>
                <w:sz w:val="20"/>
                <w:szCs w:val="20"/>
                <w:color w:val="auto"/>
              </w:rPr>
            </w:pPr>
          </w:p>
        </w:tc>
        <w:tc>
          <w:tcPr>
            <w:tcW w:w="27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Diluted earnings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Diluted earnings</w:t>
            </w:r>
          </w:p>
        </w:tc>
      </w:tr>
      <w:tr>
        <w:trPr>
          <w:trHeight w:val="234"/>
        </w:trPr>
        <w:tc>
          <w:tcPr>
            <w:tcW w:w="5020" w:type="dxa"/>
            <w:vAlign w:val="bottom"/>
          </w:tcPr>
          <w:p>
            <w:pPr>
              <w:ind w:left="40"/>
              <w:spacing w:after="0"/>
              <w:rPr>
                <w:sz w:val="20"/>
                <w:szCs w:val="20"/>
                <w:color w:val="auto"/>
              </w:rPr>
            </w:pPr>
            <w:r>
              <w:rPr>
                <w:rFonts w:ascii="Arial" w:cs="Arial" w:eastAsia="Arial" w:hAnsi="Arial"/>
                <w:sz w:val="18"/>
                <w:szCs w:val="18"/>
                <w:color w:val="auto"/>
              </w:rPr>
              <w:t>(In thousands, except share and per share data)</w:t>
            </w:r>
          </w:p>
        </w:tc>
        <w:tc>
          <w:tcPr>
            <w:tcW w:w="14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Net Income</w:t>
            </w:r>
          </w:p>
        </w:tc>
        <w:tc>
          <w:tcPr>
            <w:tcW w:w="32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 (3)</w:t>
            </w:r>
          </w:p>
        </w:tc>
        <w:tc>
          <w:tcPr>
            <w:tcW w:w="14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Net Income</w:t>
            </w:r>
          </w:p>
        </w:tc>
        <w:tc>
          <w:tcPr>
            <w:tcW w:w="30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per share (4)</w:t>
            </w: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20,662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28,184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Revaluation of net deferred tax liabilities</w:t>
            </w:r>
          </w:p>
        </w:tc>
        <w:tc>
          <w:tcPr>
            <w:tcW w:w="1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(13,228)</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20,662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14,956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10,727,377 shares used in calculating diluted earnings per share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10,641,578 shares used in calculating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420" w:type="dxa"/>
            <w:vAlign w:val="bottom"/>
          </w:tcPr>
          <w:p>
            <w:pPr>
              <w:spacing w:after="0"/>
              <w:rPr>
                <w:sz w:val="20"/>
                <w:szCs w:val="20"/>
                <w:color w:val="auto"/>
              </w:rPr>
            </w:pPr>
          </w:p>
        </w:tc>
        <w:tc>
          <w:tcPr>
            <w:tcW w:w="278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30,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28,184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2,522</w:t>
            </w:r>
          </w:p>
        </w:tc>
      </w:tr>
      <w:tr>
        <w:trPr>
          <w:trHeight w:val="27"/>
        </w:trPr>
        <w:tc>
          <w:tcPr>
            <w:tcW w:w="5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4,280</w:t>
            </w:r>
          </w:p>
        </w:tc>
      </w:tr>
      <w:tr>
        <w:trPr>
          <w:trHeight w:val="27"/>
        </w:trPr>
        <w:tc>
          <w:tcPr>
            <w:tcW w:w="5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1,209</w:t>
            </w:r>
          </w:p>
        </w:tc>
      </w:tr>
      <w:tr>
        <w:trPr>
          <w:trHeight w:val="27"/>
        </w:trPr>
        <w:tc>
          <w:tcPr>
            <w:tcW w:w="5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Non-recurring debt refinancing costs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12,480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48,854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42,287</w:t>
            </w:r>
          </w:p>
        </w:tc>
      </w:tr>
      <w:tr>
        <w:trPr>
          <w:trHeight w:val="20"/>
        </w:trPr>
        <w:tc>
          <w:tcPr>
            <w:tcW w:w="5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w:t>
      </w:r>
    </w:p>
    <w:p>
      <w:pPr>
        <w:sectPr>
          <w:pgSz w:w="11900" w:h="16838" w:orient="portrait"/>
          <w:cols w:equalWidth="0" w:num="1">
            <w:col w:w="11420"/>
          </w:cols>
          <w:pgMar w:left="240" w:top="742" w:right="239" w:bottom="1440" w:gutter="0" w:footer="0" w:header="0"/>
        </w:sectPr>
      </w:pPr>
    </w:p>
    <w:bookmarkStart w:id="7" w:name="page8"/>
    <w:bookmarkEnd w:id="7"/>
    <w:p>
      <w:pPr>
        <w:spacing w:after="0" w:line="290" w:lineRule="auto"/>
        <w:rPr>
          <w:sz w:val="20"/>
          <w:szCs w:val="20"/>
          <w:color w:val="auto"/>
        </w:rPr>
      </w:pPr>
      <w:r>
        <w:rPr>
          <w:rFonts w:ascii="Arial" w:cs="Arial" w:eastAsia="Arial" w:hAnsi="Arial"/>
          <w:sz w:val="16"/>
          <w:szCs w:val="16"/>
          <w:color w:val="auto"/>
        </w:rPr>
        <w:t>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pretax income in future periods, changes in federal and state tax laws and interpretations, and our ability to consummate and successfully integrate other future acquisitions. Additional information concerning potential factors that could affect future financial results is included in our Annual Report on Form 10-K for the fiscal year ended April 1, 2018,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2019 RESULTS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30,</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30,</w:t>
            </w:r>
          </w:p>
        </w:tc>
        <w:tc>
          <w:tcPr>
            <w:tcW w:w="140" w:type="dxa"/>
            <w:vAlign w:val="bottom"/>
          </w:tcPr>
          <w:p>
            <w:pPr>
              <w:spacing w:after="0"/>
              <w:rPr>
                <w:sz w:val="18"/>
                <w:szCs w:val="18"/>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377,179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(348,013)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(308,225)</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(44,733)</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21,798</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28,184</w:t>
            </w:r>
          </w:p>
        </w:tc>
      </w:tr>
      <w:tr>
        <w:trPr>
          <w:trHeight w:val="67"/>
        </w:trPr>
        <w:tc>
          <w:tcPr>
            <w:tcW w:w="56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5"/>
        </w:trPr>
        <w:tc>
          <w:tcPr>
            <w:tcW w:w="5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10,667,001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10,609,078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10,663,807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10,599,232</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10,712,027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10,648,232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10,727,377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10,641,578</w:t>
            </w:r>
          </w:p>
        </w:tc>
      </w:tr>
      <w:tr>
        <w:trPr>
          <w:trHeight w:val="324"/>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2.65</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0.225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0.44</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2019-12-28T17:01:54Z</dcterms:created>
  <dcterms:modified xsi:type="dcterms:W3CDTF">2019-12-28T17:01:54Z</dcterms:modified>
</cp:coreProperties>
</file>