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5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32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0" w:lineRule="exact"/>
        <w:rPr>
          <w:sz w:val="24"/>
          <w:szCs w:val="24"/>
          <w:color w:val="auto"/>
        </w:rPr>
      </w:pPr>
    </w:p>
    <w:p>
      <w:pPr>
        <w:spacing w:after="0" w:line="38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CURRENT REPORT</w:t>
      </w:r>
    </w:p>
    <w:p>
      <w:pPr>
        <w:spacing w:after="0" w:line="18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13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January 28, 2021</w:t>
      </w:r>
    </w:p>
    <w:p>
      <w:pPr>
        <w:spacing w:after="0" w:line="35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Hawkins, Inc.</w:t>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240"/>
          </w:cols>
          <w:pgMar w:left="320" w:top="1029" w:right="339" w:bottom="1440" w:gutter="0" w:footer="0" w:header="0"/>
        </w:sectPr>
      </w:pPr>
    </w:p>
    <w:p>
      <w:pPr>
        <w:spacing w:after="0" w:line="215" w:lineRule="exact"/>
        <w:rPr>
          <w:sz w:val="24"/>
          <w:szCs w:val="24"/>
          <w:color w:val="auto"/>
        </w:rPr>
      </w:pPr>
    </w:p>
    <w:p>
      <w:pPr>
        <w:ind w:left="1140"/>
        <w:spacing w:after="0"/>
        <w:rPr>
          <w:sz w:val="20"/>
          <w:szCs w:val="20"/>
          <w:color w:val="auto"/>
        </w:rPr>
      </w:pPr>
      <w:r>
        <w:rPr>
          <w:rFonts w:ascii="Arial" w:cs="Arial" w:eastAsia="Arial" w:hAnsi="Arial"/>
          <w:sz w:val="17"/>
          <w:szCs w:val="17"/>
          <w:b w:val="1"/>
          <w:bCs w:val="1"/>
          <w:color w:val="auto"/>
        </w:rPr>
        <w:t>Minnesota</w:t>
      </w:r>
    </w:p>
    <w:p>
      <w:pPr>
        <w:spacing w:after="0" w:line="20" w:lineRule="exact"/>
        <w:rPr>
          <w:sz w:val="24"/>
          <w:szCs w:val="24"/>
          <w:color w:val="auto"/>
        </w:rPr>
      </w:pPr>
      <w:r>
        <w:rPr>
          <w:sz w:val="24"/>
          <w:szCs w:val="24"/>
          <w:color w:val="auto"/>
        </w:rPr>
        <w:br w:type="column"/>
      </w:r>
    </w:p>
    <w:p>
      <w:pPr>
        <w:spacing w:after="0" w:line="195" w:lineRule="exact"/>
        <w:rPr>
          <w:sz w:val="24"/>
          <w:szCs w:val="24"/>
          <w:color w:val="auto"/>
        </w:rPr>
      </w:pPr>
    </w:p>
    <w:p>
      <w:pPr>
        <w:jc w:val="center"/>
        <w:ind w:right="2300"/>
        <w:spacing w:after="0"/>
        <w:rPr>
          <w:sz w:val="20"/>
          <w:szCs w:val="20"/>
          <w:color w:val="auto"/>
        </w:rPr>
      </w:pPr>
      <w:r>
        <w:rPr>
          <w:rFonts w:ascii="Arial" w:cs="Arial" w:eastAsia="Arial" w:hAnsi="Arial"/>
          <w:sz w:val="18"/>
          <w:szCs w:val="18"/>
          <w:b w:val="1"/>
          <w:bCs w:val="1"/>
          <w:color w:val="auto"/>
        </w:rPr>
        <w:t>0-7647</w:t>
      </w:r>
    </w:p>
    <w:p>
      <w:pPr>
        <w:spacing w:after="0" w:line="20" w:lineRule="exact"/>
        <w:rPr>
          <w:sz w:val="24"/>
          <w:szCs w:val="24"/>
          <w:color w:val="auto"/>
        </w:rPr>
      </w:pPr>
      <w:r>
        <w:rPr>
          <w:sz w:val="24"/>
          <w:szCs w:val="24"/>
          <w:color w:val="auto"/>
        </w:rPr>
        <w:br w:type="column"/>
      </w:r>
    </w:p>
    <w:p>
      <w:pPr>
        <w:spacing w:after="0" w:line="195"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41-0771293</w:t>
      </w:r>
    </w:p>
    <w:p>
      <w:pPr>
        <w:spacing w:after="0" w:line="57" w:lineRule="exact"/>
        <w:rPr>
          <w:sz w:val="24"/>
          <w:szCs w:val="24"/>
          <w:color w:val="auto"/>
        </w:rPr>
      </w:pPr>
    </w:p>
    <w:p>
      <w:pPr>
        <w:sectPr>
          <w:pgSz w:w="11900" w:h="16838" w:orient="portrait"/>
          <w:cols w:equalWidth="0" w:num="3">
            <w:col w:w="4560" w:space="720"/>
            <w:col w:w="2880" w:space="720"/>
            <w:col w:w="2360"/>
          </w:cols>
          <w:pgMar w:left="320" w:top="1029" w:right="339" w:bottom="1440" w:gutter="0" w:footer="0" w:header="0"/>
          <w:type w:val="continuous"/>
        </w:sectPr>
      </w:pPr>
    </w:p>
    <w:p>
      <w:pPr>
        <w:ind w:left="780"/>
        <w:spacing w:after="0"/>
        <w:rPr>
          <w:sz w:val="20"/>
          <w:szCs w:val="20"/>
          <w:color w:val="auto"/>
        </w:rPr>
      </w:pPr>
      <w:r>
        <w:rPr>
          <w:rFonts w:ascii="Arial" w:cs="Arial" w:eastAsia="Arial" w:hAnsi="Arial"/>
          <w:sz w:val="14"/>
          <w:szCs w:val="14"/>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(IRS Employer Identification No.)</w:t>
      </w:r>
    </w:p>
    <w:p>
      <w:pPr>
        <w:spacing w:after="0" w:line="200" w:lineRule="exact"/>
        <w:rPr>
          <w:sz w:val="24"/>
          <w:szCs w:val="24"/>
          <w:color w:val="auto"/>
        </w:rPr>
      </w:pPr>
    </w:p>
    <w:p>
      <w:pPr>
        <w:sectPr>
          <w:pgSz w:w="11900" w:h="16838" w:orient="portrait"/>
          <w:cols w:equalWidth="0" w:num="3">
            <w:col w:w="3940" w:space="720"/>
            <w:col w:w="2860" w:space="720"/>
            <w:col w:w="3000"/>
          </w:cols>
          <w:pgMar w:left="320" w:top="1029" w:right="339" w:bottom="1440" w:gutter="0" w:footer="0" w:header="0"/>
          <w:type w:val="continuous"/>
        </w:sectPr>
      </w:pPr>
    </w:p>
    <w:p>
      <w:pPr>
        <w:spacing w:after="0" w:line="237" w:lineRule="exact"/>
        <w:rPr>
          <w:sz w:val="24"/>
          <w:szCs w:val="24"/>
          <w:color w:val="auto"/>
        </w:rPr>
      </w:pPr>
    </w:p>
    <w:p>
      <w:pPr>
        <w:ind w:left="620"/>
        <w:spacing w:after="0"/>
        <w:tabs>
          <w:tab w:leader="none" w:pos="3060" w:val="left"/>
        </w:tabs>
        <w:rPr>
          <w:sz w:val="20"/>
          <w:szCs w:val="20"/>
          <w:color w:val="auto"/>
        </w:rPr>
      </w:pPr>
      <w:r>
        <w:rPr>
          <w:rFonts w:ascii="Arial" w:cs="Arial" w:eastAsia="Arial" w:hAnsi="Arial"/>
          <w:sz w:val="18"/>
          <w:szCs w:val="18"/>
          <w:b w:val="1"/>
          <w:bCs w:val="1"/>
          <w:color w:val="auto"/>
        </w:rPr>
        <w:t>2381 Rosegate, Roseville,</w:t>
      </w:r>
      <w:r>
        <w:rPr>
          <w:sz w:val="20"/>
          <w:szCs w:val="20"/>
          <w:color w:val="auto"/>
        </w:rPr>
        <w:tab/>
      </w:r>
      <w:r>
        <w:rPr>
          <w:rFonts w:ascii="Arial" w:cs="Arial" w:eastAsia="Arial" w:hAnsi="Arial"/>
          <w:sz w:val="17"/>
          <w:szCs w:val="17"/>
          <w:b w:val="1"/>
          <w:bCs w:val="1"/>
          <w:color w:val="auto"/>
        </w:rPr>
        <w:t>Minnesota</w:t>
      </w:r>
    </w:p>
    <w:p>
      <w:pPr>
        <w:spacing w:after="0" w:line="20" w:lineRule="exact"/>
        <w:rPr>
          <w:sz w:val="24"/>
          <w:szCs w:val="24"/>
          <w:color w:val="auto"/>
        </w:rPr>
      </w:pPr>
      <w:r>
        <w:rPr>
          <w:sz w:val="24"/>
          <w:szCs w:val="24"/>
          <w:color w:val="auto"/>
        </w:rPr>
        <w:br w:type="column"/>
      </w:r>
    </w:p>
    <w:p>
      <w:pPr>
        <w:spacing w:after="0" w:line="217"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55113</w:t>
      </w:r>
    </w:p>
    <w:p>
      <w:pPr>
        <w:spacing w:after="0" w:line="57" w:lineRule="exact"/>
        <w:rPr>
          <w:sz w:val="24"/>
          <w:szCs w:val="24"/>
          <w:color w:val="auto"/>
        </w:rPr>
      </w:pPr>
    </w:p>
    <w:p>
      <w:pPr>
        <w:sectPr>
          <w:pgSz w:w="11900" w:h="16838" w:orient="portrait"/>
          <w:cols w:equalWidth="0" w:num="2">
            <w:col w:w="8640" w:space="720"/>
            <w:col w:w="1880"/>
          </w:cols>
          <w:pgMar w:left="320" w:top="1029" w:right="339" w:bottom="1440" w:gutter="0" w:footer="0" w:header="0"/>
          <w:type w:val="continuous"/>
        </w:sectPr>
      </w:pPr>
    </w:p>
    <w:p>
      <w:pPr>
        <w:ind w:left="94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(Zip Code)</w:t>
      </w:r>
    </w:p>
    <w:p>
      <w:pPr>
        <w:spacing w:after="0" w:line="200" w:lineRule="exact"/>
        <w:rPr>
          <w:sz w:val="24"/>
          <w:szCs w:val="24"/>
          <w:color w:val="auto"/>
        </w:rPr>
      </w:pPr>
    </w:p>
    <w:p>
      <w:pPr>
        <w:sectPr>
          <w:pgSz w:w="11900" w:h="16838" w:orient="portrait"/>
          <w:cols w:equalWidth="0" w:num="2">
            <w:col w:w="8540" w:space="720"/>
            <w:col w:w="1980"/>
          </w:cols>
          <w:pgMar w:left="320" w:top="1029" w:right="339" w:bottom="1440" w:gutter="0" w:footer="0" w:header="0"/>
          <w:type w:val="continuous"/>
        </w:sectPr>
      </w:pPr>
    </w:p>
    <w:p>
      <w:pPr>
        <w:spacing w:after="0" w:line="1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(612) 331-6910</w:t>
      </w:r>
    </w:p>
    <w:p>
      <w:pPr>
        <w:spacing w:after="0" w:line="335" w:lineRule="exact"/>
        <w:rPr>
          <w:sz w:val="24"/>
          <w:szCs w:val="24"/>
          <w:color w:val="auto"/>
        </w:rPr>
      </w:pPr>
    </w:p>
    <w:p>
      <w:pPr>
        <w:ind w:right="220" w:firstLine="445"/>
        <w:spacing w:after="0" w:line="266"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14"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76"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39" w:lineRule="exact"/>
        <w:rPr>
          <w:sz w:val="24"/>
          <w:szCs w:val="24"/>
          <w:color w:val="auto"/>
        </w:rPr>
      </w:pPr>
    </w:p>
    <w:tbl>
      <w:tblPr>
        <w:tblLayout w:type="fixed"/>
        <w:tblInd w:w="0" w:type="dxa"/>
        <w:tblCellMar>
          <w:top w:w="0" w:type="dxa"/>
          <w:left w:w="0" w:type="dxa"/>
          <w:bottom w:w="0" w:type="dxa"/>
          <w:right w:w="0" w:type="dxa"/>
        </w:tblCellMar>
      </w:tblPr>
      <w:tr>
        <w:trPr>
          <w:trHeight w:val="232"/>
        </w:trPr>
        <w:tc>
          <w:tcPr>
            <w:tcW w:w="3860" w:type="dxa"/>
            <w:vAlign w:val="bottom"/>
            <w:tcBorders>
              <w:bottom w:val="single" w:sz="8" w:color="auto"/>
            </w:tcBorders>
          </w:tcPr>
          <w:p>
            <w:pPr>
              <w:ind w:left="1080"/>
              <w:spacing w:after="0"/>
              <w:rPr>
                <w:sz w:val="20"/>
                <w:szCs w:val="20"/>
                <w:color w:val="auto"/>
              </w:rPr>
            </w:pPr>
            <w:r>
              <w:rPr>
                <w:rFonts w:ascii="Arial" w:cs="Arial" w:eastAsia="Arial" w:hAnsi="Arial"/>
                <w:sz w:val="16"/>
                <w:szCs w:val="16"/>
                <w:b w:val="1"/>
                <w:bCs w:val="1"/>
                <w:color w:val="auto"/>
              </w:rPr>
              <w:t>Title of each class</w:t>
            </w:r>
          </w:p>
        </w:tc>
        <w:tc>
          <w:tcPr>
            <w:tcW w:w="2980" w:type="dxa"/>
            <w:vAlign w:val="bottom"/>
            <w:tcBorders>
              <w:bottom w:val="single" w:sz="8" w:color="auto"/>
            </w:tcBorders>
          </w:tcPr>
          <w:p>
            <w:pPr>
              <w:jc w:val="center"/>
              <w:ind w:left="79"/>
              <w:spacing w:after="0"/>
              <w:rPr>
                <w:sz w:val="20"/>
                <w:szCs w:val="20"/>
                <w:color w:val="auto"/>
              </w:rPr>
            </w:pPr>
            <w:r>
              <w:rPr>
                <w:rFonts w:ascii="Arial" w:cs="Arial" w:eastAsia="Arial" w:hAnsi="Arial"/>
                <w:sz w:val="16"/>
                <w:szCs w:val="16"/>
                <w:b w:val="1"/>
                <w:bCs w:val="1"/>
                <w:color w:val="auto"/>
              </w:rPr>
              <w:t>Trading Symbol(s)</w:t>
            </w:r>
          </w:p>
        </w:tc>
        <w:tc>
          <w:tcPr>
            <w:tcW w:w="4360" w:type="dxa"/>
            <w:vAlign w:val="bottom"/>
            <w:tcBorders>
              <w:bottom w:val="single" w:sz="8" w:color="auto"/>
            </w:tcBorders>
          </w:tcPr>
          <w:p>
            <w:pPr>
              <w:jc w:val="center"/>
              <w:ind w:left="379"/>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216"/>
        </w:trPr>
        <w:tc>
          <w:tcPr>
            <w:tcW w:w="3860" w:type="dxa"/>
            <w:vAlign w:val="bottom"/>
          </w:tcPr>
          <w:p>
            <w:pPr>
              <w:ind w:left="20"/>
              <w:spacing w:after="0"/>
              <w:rPr>
                <w:sz w:val="20"/>
                <w:szCs w:val="20"/>
                <w:color w:val="auto"/>
              </w:rPr>
            </w:pPr>
            <w:r>
              <w:rPr>
                <w:rFonts w:ascii="Arial" w:cs="Arial" w:eastAsia="Arial" w:hAnsi="Arial"/>
                <w:sz w:val="16"/>
                <w:szCs w:val="16"/>
                <w:color w:val="auto"/>
              </w:rPr>
              <w:t>Common Stock, par value $.05 per share</w:t>
            </w:r>
          </w:p>
        </w:tc>
        <w:tc>
          <w:tcPr>
            <w:tcW w:w="2980" w:type="dxa"/>
            <w:vAlign w:val="bottom"/>
          </w:tcPr>
          <w:p>
            <w:pPr>
              <w:jc w:val="center"/>
              <w:ind w:left="79"/>
              <w:spacing w:after="0"/>
              <w:rPr>
                <w:sz w:val="20"/>
                <w:szCs w:val="20"/>
                <w:color w:val="auto"/>
              </w:rPr>
            </w:pPr>
            <w:r>
              <w:rPr>
                <w:rFonts w:ascii="Arial" w:cs="Arial" w:eastAsia="Arial" w:hAnsi="Arial"/>
                <w:sz w:val="16"/>
                <w:szCs w:val="16"/>
                <w:color w:val="auto"/>
              </w:rPr>
              <w:t>HWKN</w:t>
            </w:r>
          </w:p>
        </w:tc>
        <w:tc>
          <w:tcPr>
            <w:tcW w:w="4360" w:type="dxa"/>
            <w:vAlign w:val="bottom"/>
          </w:tcPr>
          <w:p>
            <w:pPr>
              <w:jc w:val="center"/>
              <w:ind w:left="399"/>
              <w:spacing w:after="0"/>
              <w:rPr>
                <w:sz w:val="20"/>
                <w:szCs w:val="20"/>
                <w:color w:val="auto"/>
              </w:rPr>
            </w:pPr>
            <w:r>
              <w:rPr>
                <w:rFonts w:ascii="Arial" w:cs="Arial" w:eastAsia="Arial" w:hAnsi="Arial"/>
                <w:sz w:val="16"/>
                <w:szCs w:val="16"/>
                <w:color w:val="auto"/>
              </w:rPr>
              <w:t>Nasdaq Stock Market LLC</w:t>
            </w:r>
          </w:p>
        </w:tc>
      </w:tr>
    </w:tbl>
    <w:p>
      <w:pPr>
        <w:spacing w:after="0" w:line="231" w:lineRule="exact"/>
        <w:rPr>
          <w:sz w:val="24"/>
          <w:szCs w:val="24"/>
          <w:color w:val="auto"/>
        </w:rPr>
      </w:pPr>
    </w:p>
    <w:p>
      <w:pPr>
        <w:jc w:val="both"/>
        <w:ind w:right="20"/>
        <w:spacing w:after="0" w:line="292"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(17 CFR 230.405) or Rule 12b-2 of the Exchange Act (17 CFR 240.12b 2).</w:t>
      </w:r>
    </w:p>
    <w:p>
      <w:pPr>
        <w:spacing w:after="0" w:line="147" w:lineRule="exact"/>
        <w:rPr>
          <w:sz w:val="24"/>
          <w:szCs w:val="24"/>
          <w:color w:val="auto"/>
        </w:rPr>
      </w:pPr>
    </w:p>
    <w:p>
      <w:pPr>
        <w:ind w:left="8880"/>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166" w:lineRule="exact"/>
        <w:rPr>
          <w:sz w:val="24"/>
          <w:szCs w:val="24"/>
          <w:color w:val="auto"/>
        </w:rPr>
      </w:pPr>
    </w:p>
    <w:p>
      <w:pPr>
        <w:ind w:right="20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699135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29"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06" w:lineRule="exact"/>
        <w:rPr>
          <w:sz w:val="20"/>
          <w:szCs w:val="20"/>
          <w:color w:val="auto"/>
        </w:rPr>
      </w:pPr>
    </w:p>
    <w:p>
      <w:pPr>
        <w:ind w:right="320" w:firstLine="445"/>
        <w:spacing w:after="0" w:line="271" w:lineRule="auto"/>
        <w:rPr>
          <w:sz w:val="20"/>
          <w:szCs w:val="20"/>
          <w:color w:val="auto"/>
        </w:rPr>
      </w:pPr>
      <w:r>
        <w:rPr>
          <w:rFonts w:ascii="Arial" w:cs="Arial" w:eastAsia="Arial" w:hAnsi="Arial"/>
          <w:sz w:val="18"/>
          <w:szCs w:val="18"/>
          <w:color w:val="auto"/>
        </w:rPr>
        <w:t>On January 28, 2021, Hawkins, Inc. issued a press release announcing financial results for its fiscal 2021 third quarter ended December 27, 2020. A copy of the press release issued by the Registrant is furnished herewith as Exhibit 99.1 hereto and is incorporated herein by reference.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19" w:lineRule="exact"/>
        <w:rPr>
          <w:sz w:val="20"/>
          <w:szCs w:val="20"/>
          <w:color w:val="auto"/>
        </w:rPr>
      </w:pPr>
    </w:p>
    <w:p>
      <w:pPr>
        <w:ind w:left="580" w:hanging="329"/>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Exhibits</w:t>
      </w:r>
      <w:r>
        <w:rPr>
          <w:rFonts w:ascii="Arial" w:cs="Arial" w:eastAsia="Arial" w:hAnsi="Arial"/>
          <w:sz w:val="18"/>
          <w:szCs w:val="18"/>
          <w:color w:val="auto"/>
        </w:rPr>
        <w:t>.</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6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Exhibit No.</w:t>
            </w:r>
          </w:p>
        </w:tc>
        <w:tc>
          <w:tcPr>
            <w:tcW w:w="500" w:type="dxa"/>
            <w:vAlign w:val="bottom"/>
          </w:tcPr>
          <w:p>
            <w:pPr>
              <w:spacing w:after="0"/>
              <w:rPr>
                <w:sz w:val="16"/>
                <w:szCs w:val="16"/>
                <w:color w:val="auto"/>
              </w:rPr>
            </w:pPr>
          </w:p>
        </w:tc>
        <w:tc>
          <w:tcPr>
            <w:tcW w:w="69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Description</w:t>
            </w:r>
          </w:p>
        </w:tc>
        <w:tc>
          <w:tcPr>
            <w:tcW w:w="460" w:type="dxa"/>
            <w:vAlign w:val="bottom"/>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Method of Filing</w:t>
            </w:r>
          </w:p>
        </w:tc>
        <w:tc>
          <w:tcPr>
            <w:tcW w:w="20" w:type="dxa"/>
            <w:vAlign w:val="bottom"/>
          </w:tcPr>
          <w:p>
            <w:pPr>
              <w:spacing w:after="0"/>
              <w:rPr>
                <w:sz w:val="16"/>
                <w:szCs w:val="16"/>
                <w:color w:val="auto"/>
              </w:rPr>
            </w:pPr>
          </w:p>
        </w:tc>
      </w:tr>
      <w:tr>
        <w:trPr>
          <w:trHeight w:val="209"/>
        </w:trPr>
        <w:tc>
          <w:tcPr>
            <w:tcW w:w="1660" w:type="dxa"/>
            <w:vAlign w:val="bottom"/>
          </w:tcPr>
          <w:p>
            <w:pPr>
              <w:ind w:left="128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99.1</w:t>
              </w:r>
            </w:hyperlink>
          </w:p>
        </w:tc>
        <w:tc>
          <w:tcPr>
            <w:tcW w:w="500" w:type="dxa"/>
            <w:vAlign w:val="bottom"/>
          </w:tcPr>
          <w:p>
            <w:pPr>
              <w:spacing w:after="0"/>
              <w:rPr>
                <w:sz w:val="18"/>
                <w:szCs w:val="18"/>
                <w:color w:val="auto"/>
              </w:rPr>
            </w:pPr>
          </w:p>
        </w:tc>
        <w:tc>
          <w:tcPr>
            <w:tcW w:w="7360" w:type="dxa"/>
            <w:vAlign w:val="bottom"/>
            <w:gridSpan w:val="2"/>
          </w:tcPr>
          <w:p>
            <w:pPr>
              <w:ind w:left="20"/>
              <w:spacing w:after="0"/>
              <w:rPr>
                <w:sz w:val="20"/>
                <w:szCs w:val="20"/>
                <w:color w:val="auto"/>
              </w:rPr>
            </w:pPr>
            <w:r>
              <w:rPr>
                <w:rFonts w:ascii="Arial" w:cs="Arial" w:eastAsia="Arial" w:hAnsi="Arial"/>
                <w:sz w:val="18"/>
                <w:szCs w:val="18"/>
                <w:color w:val="auto"/>
              </w:rPr>
              <w:t>Press Release, dated January 28, 2021, announcing financial results of Hawkins, Inc.</w:t>
            </w:r>
          </w:p>
        </w:tc>
        <w:tc>
          <w:tcPr>
            <w:tcW w:w="172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Filed Electronically</w:t>
            </w:r>
          </w:p>
        </w:tc>
      </w:tr>
      <w:tr>
        <w:trPr>
          <w:trHeight w:val="220"/>
        </w:trPr>
        <w:tc>
          <w:tcPr>
            <w:tcW w:w="1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360" w:type="dxa"/>
            <w:vAlign w:val="bottom"/>
            <w:gridSpan w:val="2"/>
          </w:tcPr>
          <w:p>
            <w:pPr>
              <w:ind w:left="20"/>
              <w:spacing w:after="0"/>
              <w:rPr>
                <w:sz w:val="20"/>
                <w:szCs w:val="20"/>
                <w:color w:val="auto"/>
              </w:rPr>
            </w:pPr>
            <w:r>
              <w:rPr>
                <w:rFonts w:ascii="Arial" w:cs="Arial" w:eastAsia="Arial" w:hAnsi="Arial"/>
                <w:sz w:val="18"/>
                <w:szCs w:val="18"/>
                <w:color w:val="auto"/>
              </w:rPr>
              <w:t>for its fiscal 2021 third quarter ended December 27, 2020.</w:t>
            </w:r>
          </w:p>
        </w:tc>
        <w:tc>
          <w:tcPr>
            <w:tcW w:w="17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3"/>
        </w:trPr>
        <w:tc>
          <w:tcPr>
            <w:tcW w:w="1660" w:type="dxa"/>
            <w:vAlign w:val="bottom"/>
          </w:tcPr>
          <w:p>
            <w:pPr>
              <w:ind w:left="1280"/>
              <w:spacing w:after="0"/>
              <w:rPr>
                <w:sz w:val="20"/>
                <w:szCs w:val="20"/>
                <w:color w:val="auto"/>
              </w:rPr>
            </w:pPr>
            <w:r>
              <w:rPr>
                <w:rFonts w:ascii="Arial" w:cs="Arial" w:eastAsia="Arial" w:hAnsi="Arial"/>
                <w:sz w:val="18"/>
                <w:szCs w:val="18"/>
                <w:color w:val="auto"/>
              </w:rPr>
              <w:t>104</w:t>
            </w:r>
          </w:p>
        </w:tc>
        <w:tc>
          <w:tcPr>
            <w:tcW w:w="500" w:type="dxa"/>
            <w:vAlign w:val="bottom"/>
          </w:tcPr>
          <w:p>
            <w:pPr>
              <w:spacing w:after="0"/>
              <w:rPr>
                <w:sz w:val="21"/>
                <w:szCs w:val="21"/>
                <w:color w:val="auto"/>
              </w:rPr>
            </w:pPr>
          </w:p>
        </w:tc>
        <w:tc>
          <w:tcPr>
            <w:tcW w:w="7360" w:type="dxa"/>
            <w:vAlign w:val="bottom"/>
            <w:gridSpan w:val="2"/>
          </w:tcPr>
          <w:p>
            <w:pPr>
              <w:ind w:left="20"/>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172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Filed Electronically</w:t>
            </w:r>
          </w:p>
        </w:tc>
      </w:tr>
      <w:tr>
        <w:trPr>
          <w:trHeight w:val="1231"/>
        </w:trPr>
        <w:tc>
          <w:tcPr>
            <w:tcW w:w="16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69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84"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3" w:lineRule="exact"/>
        <w:rPr>
          <w:sz w:val="20"/>
          <w:szCs w:val="20"/>
          <w:color w:val="auto"/>
        </w:rPr>
      </w:pPr>
    </w:p>
    <w:p>
      <w:pPr>
        <w:ind w:right="340" w:firstLine="445"/>
        <w:spacing w:after="0" w:line="29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3180" w:type="dxa"/>
            <w:vAlign w:val="bottom"/>
          </w:tcPr>
          <w:p>
            <w:pPr>
              <w:spacing w:after="0"/>
              <w:rPr>
                <w:sz w:val="21"/>
                <w:szCs w:val="21"/>
                <w:color w:val="auto"/>
              </w:rPr>
            </w:pPr>
          </w:p>
        </w:tc>
        <w:tc>
          <w:tcPr>
            <w:tcW w:w="2720" w:type="dxa"/>
            <w:vAlign w:val="bottom"/>
            <w:gridSpan w:val="2"/>
          </w:tcPr>
          <w:p>
            <w:pPr>
              <w:ind w:left="1300"/>
              <w:spacing w:after="0"/>
              <w:rPr>
                <w:sz w:val="20"/>
                <w:szCs w:val="20"/>
                <w:color w:val="auto"/>
              </w:rPr>
            </w:pPr>
            <w:r>
              <w:rPr>
                <w:rFonts w:ascii="Arial" w:cs="Arial" w:eastAsia="Arial" w:hAnsi="Arial"/>
                <w:sz w:val="18"/>
                <w:szCs w:val="18"/>
                <w:color w:val="auto"/>
              </w:rPr>
              <w:t>HAWKINS, INC.</w:t>
            </w:r>
          </w:p>
        </w:tc>
        <w:tc>
          <w:tcPr>
            <w:tcW w:w="5280" w:type="dxa"/>
            <w:vAlign w:val="bottom"/>
          </w:tcPr>
          <w:p>
            <w:pPr>
              <w:spacing w:after="0"/>
              <w:rPr>
                <w:sz w:val="21"/>
                <w:szCs w:val="21"/>
                <w:color w:val="auto"/>
              </w:rPr>
            </w:pPr>
          </w:p>
        </w:tc>
      </w:tr>
      <w:tr>
        <w:trPr>
          <w:trHeight w:val="279"/>
        </w:trPr>
        <w:tc>
          <w:tcPr>
            <w:tcW w:w="3180" w:type="dxa"/>
            <w:vAlign w:val="bottom"/>
          </w:tcPr>
          <w:p>
            <w:pPr>
              <w:spacing w:after="0"/>
              <w:rPr>
                <w:sz w:val="20"/>
                <w:szCs w:val="20"/>
                <w:color w:val="auto"/>
              </w:rPr>
            </w:pPr>
            <w:r>
              <w:rPr>
                <w:rFonts w:ascii="Arial" w:cs="Arial" w:eastAsia="Arial" w:hAnsi="Arial"/>
                <w:sz w:val="18"/>
                <w:szCs w:val="18"/>
                <w:color w:val="auto"/>
              </w:rPr>
              <w:t>Date: January 28, 2021</w:t>
            </w:r>
          </w:p>
        </w:tc>
        <w:tc>
          <w:tcPr>
            <w:tcW w:w="2720" w:type="dxa"/>
            <w:vAlign w:val="bottom"/>
            <w:gridSpan w:val="2"/>
          </w:tcPr>
          <w:p>
            <w:pPr>
              <w:ind w:left="1300"/>
              <w:spacing w:after="0"/>
              <w:rPr>
                <w:sz w:val="20"/>
                <w:szCs w:val="20"/>
                <w:color w:val="auto"/>
              </w:rPr>
            </w:pPr>
            <w:r>
              <w:rPr>
                <w:rFonts w:ascii="Arial" w:cs="Arial" w:eastAsia="Arial" w:hAnsi="Arial"/>
                <w:sz w:val="18"/>
                <w:szCs w:val="18"/>
                <w:color w:val="auto"/>
              </w:rPr>
              <w:t>By:</w:t>
            </w:r>
          </w:p>
        </w:tc>
        <w:tc>
          <w:tcPr>
            <w:tcW w:w="5280" w:type="dxa"/>
            <w:vAlign w:val="bottom"/>
          </w:tcPr>
          <w:p>
            <w:pPr>
              <w:jc w:val="center"/>
              <w:ind w:right="770"/>
              <w:spacing w:after="0"/>
              <w:rPr>
                <w:sz w:val="20"/>
                <w:szCs w:val="20"/>
                <w:color w:val="auto"/>
              </w:rPr>
            </w:pPr>
            <w:r>
              <w:rPr>
                <w:rFonts w:ascii="Arial" w:cs="Arial" w:eastAsia="Arial" w:hAnsi="Arial"/>
                <w:sz w:val="18"/>
                <w:szCs w:val="18"/>
                <w:color w:val="auto"/>
                <w:w w:val="98"/>
              </w:rPr>
              <w:t>/s/ Jeffrey P. Oldenkamp</w:t>
            </w:r>
          </w:p>
        </w:tc>
      </w:tr>
      <w:tr>
        <w:trPr>
          <w:trHeight w:val="214"/>
        </w:trPr>
        <w:tc>
          <w:tcPr>
            <w:tcW w:w="31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5280" w:type="dxa"/>
            <w:vAlign w:val="bottom"/>
            <w:tcBorders>
              <w:top w:val="single" w:sz="8" w:color="auto"/>
            </w:tcBorders>
          </w:tcPr>
          <w:p>
            <w:pPr>
              <w:jc w:val="center"/>
              <w:ind w:right="770"/>
              <w:spacing w:after="0"/>
              <w:rPr>
                <w:sz w:val="20"/>
                <w:szCs w:val="20"/>
                <w:color w:val="auto"/>
              </w:rPr>
            </w:pPr>
            <w:r>
              <w:rPr>
                <w:rFonts w:ascii="Arial" w:cs="Arial" w:eastAsia="Arial" w:hAnsi="Arial"/>
                <w:sz w:val="18"/>
                <w:szCs w:val="18"/>
                <w:color w:val="auto"/>
                <w:w w:val="98"/>
              </w:rPr>
              <w:t>Jeffrey P. Oldenkamp</w:t>
            </w:r>
          </w:p>
        </w:tc>
      </w:tr>
      <w:tr>
        <w:trPr>
          <w:trHeight w:val="243"/>
        </w:trPr>
        <w:tc>
          <w:tcPr>
            <w:tcW w:w="318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280" w:type="dxa"/>
            <w:vAlign w:val="bottom"/>
          </w:tcPr>
          <w:p>
            <w:pPr>
              <w:jc w:val="center"/>
              <w:ind w:right="770"/>
              <w:spacing w:after="0"/>
              <w:rPr>
                <w:sz w:val="20"/>
                <w:szCs w:val="20"/>
                <w:color w:val="auto"/>
              </w:rPr>
            </w:pPr>
            <w:r>
              <w:rPr>
                <w:rFonts w:ascii="Arial" w:cs="Arial" w:eastAsia="Arial" w:hAnsi="Arial"/>
                <w:sz w:val="18"/>
                <w:szCs w:val="18"/>
                <w:color w:val="auto"/>
                <w:w w:val="99"/>
              </w:rPr>
              <w:t>Executive Vice President and Chief Financial Officer</w:t>
            </w:r>
          </w:p>
        </w:tc>
      </w:tr>
    </w:tbl>
    <w:p>
      <w:pPr>
        <w:sectPr>
          <w:pgSz w:w="11900" w:h="16838" w:orient="portrait"/>
          <w:cols w:equalWidth="0" w:num="1">
            <w:col w:w="11200"/>
          </w:cols>
          <w:pgMar w:left="320" w:top="884" w:right="379" w:bottom="1440" w:gutter="0" w:footer="0" w:header="0"/>
        </w:sectPr>
      </w:pPr>
    </w:p>
    <w:bookmarkStart w:id="3" w:name="page4"/>
    <w:bookmarkEnd w:id="3"/>
    <w:p>
      <w:pPr>
        <w:ind w:left="10260"/>
        <w:spacing w:after="0"/>
        <w:rPr>
          <w:sz w:val="20"/>
          <w:szCs w:val="20"/>
          <w:color w:val="auto"/>
        </w:rPr>
      </w:pPr>
      <w:r>
        <w:rPr>
          <w:rFonts w:ascii="Arial" w:cs="Arial" w:eastAsia="Arial" w:hAnsi="Arial"/>
          <w:sz w:val="18"/>
          <w:szCs w:val="18"/>
          <w:color w:val="auto"/>
        </w:rPr>
        <w:t>Exhibit 99.1</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8"/>
          <w:szCs w:val="18"/>
          <w:color w:val="auto"/>
        </w:rPr>
        <w:t>FOR IMMEDIATE RELEASE</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January 28, 2021</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Hawkins, Inc.</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2381 Rosegate</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Roseville, MN 55113</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HAWKINS, INC. REPORTS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THIRD QUARTER FISCAL 2021 RESULTS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Minneapolis, MN, January 28, 2021 – Hawkins, Inc. (Nasdaq: HWKN) today announced results for the three and nine months ended</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December 27, 2020, its third quarter of fiscal 2021. Highlights include:</w:t>
      </w:r>
    </w:p>
    <w:p>
      <w:pPr>
        <w:spacing w:after="0" w:line="230" w:lineRule="exact"/>
        <w:rPr>
          <w:sz w:val="20"/>
          <w:szCs w:val="20"/>
          <w:color w:val="auto"/>
        </w:rPr>
      </w:pPr>
    </w:p>
    <w:p>
      <w:pPr>
        <w:ind w:left="660" w:right="160" w:hanging="328"/>
        <w:spacing w:after="0" w:line="263" w:lineRule="auto"/>
        <w:tabs>
          <w:tab w:leader="none" w:pos="628"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Record third quarter sales of $142.9 million, a 19% year-over-year increase, with a 75% year-over-year sales increase in our Health and Nutrition segment.</w:t>
      </w:r>
    </w:p>
    <w:p>
      <w:pPr>
        <w:ind w:left="660" w:right="40" w:hanging="328"/>
        <w:spacing w:after="0" w:line="250" w:lineRule="auto"/>
        <w:tabs>
          <w:tab w:leader="none" w:pos="628"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Record third quarter gross profit of $28.2 million, a 31% increase over the prior year, contributing to a 55% year-over-year increase in operating income.</w:t>
      </w: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Third quarter diluted earnings per share (EPS) of $0.75, which was $0.32, or 74%, higher than the same period last year.</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Year to date diluted EPS of $3.00, a 35% increase over the prior year.</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debt of $88 million and a leverage ratio of 1.2x, while reinitiating stock repurchases in the third quarter.</w:t>
      </w:r>
    </w:p>
    <w:p>
      <w:pPr>
        <w:spacing w:after="0" w:line="9" w:lineRule="exact"/>
        <w:rPr>
          <w:rFonts w:ascii="Arial" w:cs="Arial" w:eastAsia="Arial" w:hAnsi="Arial"/>
          <w:sz w:val="18"/>
          <w:szCs w:val="18"/>
          <w:color w:val="auto"/>
        </w:rPr>
      </w:pPr>
    </w:p>
    <w:p>
      <w:pPr>
        <w:ind w:left="660" w:right="320" w:hanging="328"/>
        <w:spacing w:after="0" w:line="266" w:lineRule="auto"/>
        <w:tabs>
          <w:tab w:leader="none" w:pos="628" w:val="left"/>
        </w:tabs>
        <w:numPr>
          <w:ilvl w:val="0"/>
          <w:numId w:val="3"/>
        </w:numPr>
        <w:rPr>
          <w:rFonts w:ascii="Arial" w:cs="Arial" w:eastAsia="Arial" w:hAnsi="Arial"/>
          <w:sz w:val="18"/>
          <w:szCs w:val="18"/>
          <w:color w:val="auto"/>
        </w:rPr>
      </w:pPr>
      <w:r>
        <w:rPr>
          <w:rFonts w:ascii="Arial" w:cs="Arial" w:eastAsia="Arial" w:hAnsi="Arial"/>
          <w:sz w:val="18"/>
          <w:szCs w:val="18"/>
          <w:color w:val="auto"/>
        </w:rPr>
        <w:t>Extended our Water Treatment footprint into Louisiana through the acquisition of C &amp; L Aqua Professionals, Inc. and LC Blending, Inc. on December 30, 2020.</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Commentary – Patrick H. Hawkins, Chief Executive Officer and President:</w:t>
      </w:r>
    </w:p>
    <w:p>
      <w:pPr>
        <w:spacing w:after="0" w:line="25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are very pleased with our company’s continued growth in net income this quarter. We have continued to operate and execute on our business strategy throughout this pandemic, and our business segment operating results reflected substantial year-over-year improvement in the third quarter. In particular, our Health and Nutrition segment reported revenue growth of 75% over the same period last year, with operating income growing to nearly six times the levels of last year due to increased demand for health and immunity products. In our Water Treatment segment, our acquisition of American Development Corporation has been accretive, and while we've seen some areas of softness in our legacy business, which we believe is related to COVID-19 impacts, increased sales of our specialty and manufactured products contributed to the year-over-year increase. Our Industrial segment reported year-over-year sales growth in the third quarter for the first time this year, with gross profit increasing nearly 10% as a result of increased sales of our specialty and manufactured products."</w:t>
      </w:r>
    </w:p>
    <w:p>
      <w:pPr>
        <w:spacing w:after="0" w:line="20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Mr. Hawkins continued, "As previously announced, we extended our Water Treatment footprint into the state of Louisiana with acquisitions at the end of December, and look forward to continuing to grow our business as a result. In addition, we acquired a manufacturing facility to allow further expansion and growth in both our Industrial and Water Treatment segments. This site is adjacent to our facility in Rosemount, Minnesota, adding 40,000 square feet of manufacturing and warehouse space on 28 acres of land to bring us to a total of 105,000 square feet of space on 56 acres of land in that area, with rail access at both of the sites to allow for future growth and provide for supply chain flexibility on certain raw materials to better serve our customers. These actions reaffirm our deep commitment to continue to grow the business.”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Financial Highlights:</w:t>
      </w:r>
    </w:p>
    <w:p>
      <w:pPr>
        <w:spacing w:after="0" w:line="25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Sales were $142.9 million for the third quarter of fiscal 2021, an increase of 19%, from sales of $120.4 million for the same period of the prior year. Industrial segment sales increased $1.4 million, or 2%, to $64.4 million for the current quarter, as compared to $63.0 million for the same period of the prior year. The increase in sales dollars from the prior year was driven largely by a product mix shift of more sales of certain of our higher-priced manufactured, blended and repackaged products. Water Treatment segment sales increased $4.4 million, or 13%, to $39.3 million for the current quarter, as compared to $34.9 million for the same period of the prior year. The increase in sales dollars from the prior year was largely attributable to added sales from the acquisition of ADC. Sales by our legacy business also increased overall due to increased sales of our manufactured, blended and repackaged products. Sales for our Health and Nutrition segment increased $16.8 million, or 75%, to $ 39.3 million for the current quarter, as compared to $22.5 million for the same period of the prior year. The increase in sales was driven by increased sales of both our manufactured and specialty distributed products largely as a result of increased consumer demand for health and immunity products.</w:t>
      </w:r>
    </w:p>
    <w:p>
      <w:pPr>
        <w:spacing w:after="0" w:line="204" w:lineRule="exact"/>
        <w:rPr>
          <w:sz w:val="20"/>
          <w:szCs w:val="20"/>
          <w:color w:val="auto"/>
        </w:rPr>
      </w:pPr>
    </w:p>
    <w:p>
      <w:pPr>
        <w:ind w:right="200"/>
        <w:spacing w:after="0" w:line="292" w:lineRule="auto"/>
        <w:rPr>
          <w:sz w:val="20"/>
          <w:szCs w:val="20"/>
          <w:color w:val="auto"/>
        </w:rPr>
      </w:pPr>
      <w:r>
        <w:rPr>
          <w:rFonts w:ascii="Arial" w:cs="Arial" w:eastAsia="Arial" w:hAnsi="Arial"/>
          <w:sz w:val="18"/>
          <w:szCs w:val="18"/>
          <w:color w:val="auto"/>
        </w:rPr>
        <w:t>Gross profit increased $6.7 million, or 31%, to $28.2 million, or 20% of sales, for the current quarter, from $21.5 million, or 18% of sales, for the same period a year ago. During the current quarter, the LIFO reserve increased, and gross profits</w:t>
      </w:r>
    </w:p>
    <w:p>
      <w:pPr>
        <w:sectPr>
          <w:pgSz w:w="11900" w:h="16838" w:orient="portrait"/>
          <w:cols w:equalWidth="0" w:num="1">
            <w:col w:w="11240"/>
          </w:cols>
          <w:pgMar w:left="320" w:top="846" w:right="339" w:bottom="1440" w:gutter="0" w:footer="0" w:header="0"/>
        </w:sectPr>
      </w:pPr>
    </w:p>
    <w:bookmarkStart w:id="4" w:name="page5"/>
    <w:bookmarkEnd w:id="4"/>
    <w:p>
      <w:pPr>
        <w:ind w:right="60"/>
        <w:spacing w:after="0" w:line="255" w:lineRule="auto"/>
        <w:rPr>
          <w:sz w:val="20"/>
          <w:szCs w:val="20"/>
          <w:color w:val="auto"/>
        </w:rPr>
      </w:pPr>
      <w:r>
        <w:rPr>
          <w:rFonts w:ascii="Arial" w:cs="Arial" w:eastAsia="Arial" w:hAnsi="Arial"/>
          <w:sz w:val="18"/>
          <w:szCs w:val="18"/>
          <w:color w:val="auto"/>
        </w:rPr>
        <w:t>decreased, by $0.1 million. In the same quarter a year ago, the LIFO reserve decreased, and gross profits increased, by $ 0.3 million. Gross profit for the Industrial segment increased $0.8 million, or 9%, to $9.2 million, or 14% of sales, for the current quarter, from $ 8.4 million, or 13% of sales, for the same period of the prior year. Total Industrial segment gross profit, and gross profit as a percentage of sales, increased due to a product mix shift to more sales of certain higher-margin manufactured, blended and re-packaged products. Gross profit for the Water Treatment segment increased $1.6 million to $10.0 million, or 26% of sales, for the current quarter, from $8.4 million, or 24% of sales, for the same period of the prior year. Gross profit in our Water Treatment segment increased as a result of the added gross profit from the sales in the acquired ADC business, as well as increased sales of manufactured, blended and repackaged products in our legacy business. Gross profit for our Health and Nutrition segment increased $ 4.3 million, or 92%, to $ 9.0 million, or 23% of sales, for the current quarter, from $4.7 million, or 21% of sales, for the same period of the prior year. Gross profit in our Health and Nutrition segment increased as a result of higher sales compared to the prior year.</w:t>
      </w:r>
    </w:p>
    <w:p>
      <w:pPr>
        <w:spacing w:after="0" w:line="204"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Company-wide selling, general and administrative expenses increased $3.1 million to $17.8 million, or 12% of sales, for the current quarter, compared to $14.7 million, or 12% of sales, for the same period of the prior year. Expenses increased primarily due to an increase in variable costs, primarily variable compensation, added costs from the acquired ADC business, including amortization of intangibles, and acquisition expenses. In addition, we recorded a year-over-year expense increase of $0.3 million due to higher compensation expense relating to the non-qualified deferred compensation plan liability which is offset in other income as described below. These increases were partially offset by a decrease in travel and trade show expenses due to restrictions imposed as a result of COVID-19.</w:t>
      </w:r>
    </w:p>
    <w:p>
      <w:pPr>
        <w:spacing w:after="0" w:line="204" w:lineRule="exact"/>
        <w:rPr>
          <w:sz w:val="20"/>
          <w:szCs w:val="20"/>
          <w:color w:val="auto"/>
        </w:rPr>
      </w:pPr>
    </w:p>
    <w:p>
      <w:pPr>
        <w:jc w:val="both"/>
        <w:ind w:right="300"/>
        <w:spacing w:after="0" w:line="271" w:lineRule="auto"/>
        <w:rPr>
          <w:sz w:val="20"/>
          <w:szCs w:val="20"/>
          <w:color w:val="auto"/>
        </w:rPr>
      </w:pPr>
      <w:r>
        <w:rPr>
          <w:rFonts w:ascii="Arial" w:cs="Arial" w:eastAsia="Arial" w:hAnsi="Arial"/>
          <w:sz w:val="18"/>
          <w:szCs w:val="18"/>
          <w:color w:val="auto"/>
        </w:rPr>
        <w:t>Our effective income tax rate was 25.2% for the current quarter, compared to 28.1% in the same period of the prior year. The effective tax rate decreased from the prior year due to favorable tax provision adjustments recorded in the third quarter of fiscal 2021. The effective tax rate is impacted by projected levels of annual taxable income, permanent items, and state taxes.</w:t>
      </w:r>
    </w:p>
    <w:p>
      <w:pPr>
        <w:spacing w:after="0" w:line="19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Earnings before interest, taxes, depreciation and amortization ("EBITDA"), a non-GAAP financial measure, is an important performance indicator and a key compliance measure under the terms of our credit agreement. An explanation of the computation of EBITDA is presented below. EBITDA for the three months ended December 27, 2020 was $17.8 million, an increase of $4.8 million, or 37%, from EBITDA of $13.0 million for the same period of the prior year. The increase was primarily due to improved gross profit.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About Hawkins, Inc.</w:t>
      </w:r>
    </w:p>
    <w:p>
      <w:pPr>
        <w:spacing w:after="0" w:line="239" w:lineRule="exact"/>
        <w:rPr>
          <w:sz w:val="20"/>
          <w:szCs w:val="20"/>
          <w:color w:val="auto"/>
        </w:rPr>
      </w:pPr>
    </w:p>
    <w:p>
      <w:pPr>
        <w:ind w:right="100"/>
        <w:spacing w:after="0" w:line="245" w:lineRule="auto"/>
        <w:rPr>
          <w:sz w:val="20"/>
          <w:szCs w:val="20"/>
          <w:color w:val="auto"/>
        </w:rPr>
      </w:pPr>
      <w:r>
        <w:rPr>
          <w:rFonts w:ascii="Arial" w:cs="Arial" w:eastAsia="Arial" w:hAnsi="Arial"/>
          <w:sz w:val="18"/>
          <w:szCs w:val="18"/>
          <w:color w:val="auto"/>
        </w:rPr>
        <w:t>Hawkins, Inc. was founded in 1938 and is a leading specialty chemical company that distributes, blends and manufactures chemicals and other specialty ingredients for its Industrial, Water Treatment, and Health &amp; Nutrition customers. Headquartered in Roseville, Minnesota, and with 46 facilities in 21 states, the Company creates value for its customers through superb customer service and support, quality products and personalized applications. Hawkins, Inc. generated $540 million of revenue in fiscal 2020 and has approximately 700 employees. For more information, including registering to receive email alerts, please visit www.hawkinsinc.com/investors.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Reconciliation of Non-GAAP Financial Measures</w:t>
      </w:r>
    </w:p>
    <w:p>
      <w:pPr>
        <w:spacing w:after="0" w:line="185"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auto"/>
        </w:rPr>
        <w:t>We report our consolidated financial results in accordance with U.S. generally accepted accounting principles (GAAP). To assist investors in understanding our financial performance between periods, we have provided certain financial measures not computed according to GAAP, including adjusted EBITDA. This non-GAAP financial measure is not meant to be considered in isolation or as a substitute for comparable GAAP measures. The method we use to produce non-GAAP results is not computed according to GAAP and may differ from the methods used by other companies.</w:t>
      </w:r>
    </w:p>
    <w:p>
      <w:pPr>
        <w:spacing w:after="0" w:line="148"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Management uses this non-GAAP financial measure internally to understand, manage and evaluate our business and to make operating decisions. Management believes that this non-GAAP financial measure reflects an additional way of viewing aspects of our operations that, when viewed with our GAAP results, provides a more complete understanding of the factors and trends affecting our financial condition and results of operations.</w:t>
      </w:r>
    </w:p>
    <w:p>
      <w:pPr>
        <w:spacing w:after="0" w:line="129"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We define adjusted EBITDA as GAAP net income adjusted for the impact of the following: net interest expense resulting from our net borrowing position; income tax expense; non-cash expenses including amortization of intangibles, depreciation and charges for the employee stock purchase plan and restricted stock grants; and non-recurring items of income or expense, if applicable.</w:t>
      </w:r>
    </w:p>
    <w:p>
      <w:pPr>
        <w:sectPr>
          <w:pgSz w:w="11900" w:h="16838" w:orient="portrait"/>
          <w:cols w:equalWidth="0" w:num="1">
            <w:col w:w="11240"/>
          </w:cols>
          <w:pgMar w:left="320" w:top="562"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41"/>
        </w:trPr>
        <w:tc>
          <w:tcPr>
            <w:tcW w:w="4040" w:type="dxa"/>
            <w:vAlign w:val="bottom"/>
          </w:tcPr>
          <w:p>
            <w:pPr>
              <w:ind w:left="20"/>
              <w:spacing w:after="0"/>
              <w:rPr>
                <w:sz w:val="20"/>
                <w:szCs w:val="20"/>
                <w:color w:val="auto"/>
              </w:rPr>
            </w:pPr>
            <w:r>
              <w:rPr>
                <w:rFonts w:ascii="Arial" w:cs="Arial" w:eastAsia="Arial" w:hAnsi="Arial"/>
                <w:sz w:val="18"/>
                <w:szCs w:val="18"/>
                <w:b w:val="1"/>
                <w:bCs w:val="1"/>
                <w:color w:val="auto"/>
              </w:rPr>
              <w:t>Adjusted EBITDA</w:t>
            </w:r>
          </w:p>
        </w:tc>
        <w:tc>
          <w:tcPr>
            <w:tcW w:w="48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3"/>
          </w:tcPr>
          <w:p>
            <w:pPr>
              <w:ind w:left="380"/>
              <w:spacing w:after="0"/>
              <w:rPr>
                <w:sz w:val="20"/>
                <w:szCs w:val="20"/>
                <w:color w:val="auto"/>
              </w:rPr>
            </w:pPr>
            <w:r>
              <w:rPr>
                <w:rFonts w:ascii="Arial" w:cs="Arial" w:eastAsia="Arial" w:hAnsi="Arial"/>
                <w:sz w:val="18"/>
                <w:szCs w:val="18"/>
                <w:b w:val="1"/>
                <w:bCs w:val="1"/>
                <w:color w:val="auto"/>
              </w:rPr>
              <w:t>Three Months Ended</w:t>
            </w:r>
          </w:p>
        </w:tc>
        <w:tc>
          <w:tcPr>
            <w:tcW w:w="7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3"/>
          </w:tcPr>
          <w:p>
            <w:pPr>
              <w:ind w:left="420"/>
              <w:spacing w:after="0"/>
              <w:rPr>
                <w:sz w:val="20"/>
                <w:szCs w:val="20"/>
                <w:color w:val="auto"/>
              </w:rPr>
            </w:pPr>
            <w:r>
              <w:rPr>
                <w:rFonts w:ascii="Arial" w:cs="Arial" w:eastAsia="Arial" w:hAnsi="Arial"/>
                <w:sz w:val="18"/>
                <w:szCs w:val="18"/>
                <w:b w:val="1"/>
                <w:bCs w:val="1"/>
                <w:color w:val="auto"/>
              </w:rPr>
              <w:t>Nine months ended</w:t>
            </w:r>
          </w:p>
        </w:tc>
        <w:tc>
          <w:tcPr>
            <w:tcW w:w="780" w:type="dxa"/>
            <w:vAlign w:val="bottom"/>
            <w:tcBorders>
              <w:bottom w:val="single" w:sz="8" w:color="auto"/>
            </w:tcBorders>
          </w:tcPr>
          <w:p>
            <w:pPr>
              <w:spacing w:after="0"/>
              <w:rPr>
                <w:sz w:val="20"/>
                <w:szCs w:val="20"/>
                <w:color w:val="auto"/>
              </w:rPr>
            </w:pPr>
          </w:p>
        </w:tc>
      </w:tr>
      <w:tr>
        <w:trPr>
          <w:trHeight w:val="223"/>
        </w:trPr>
        <w:tc>
          <w:tcPr>
            <w:tcW w:w="4040" w:type="dxa"/>
            <w:vAlign w:val="bottom"/>
          </w:tcPr>
          <w:p>
            <w:pPr>
              <w:ind w:left="20"/>
              <w:spacing w:after="0"/>
              <w:rPr>
                <w:sz w:val="20"/>
                <w:szCs w:val="20"/>
                <w:color w:val="auto"/>
              </w:rPr>
            </w:pPr>
            <w:r>
              <w:rPr>
                <w:rFonts w:ascii="Arial" w:cs="Arial" w:eastAsia="Arial" w:hAnsi="Arial"/>
                <w:sz w:val="18"/>
                <w:szCs w:val="18"/>
                <w:color w:val="auto"/>
              </w:rPr>
              <w:t>(In thousands)</w:t>
            </w:r>
          </w:p>
        </w:tc>
        <w:tc>
          <w:tcPr>
            <w:tcW w:w="1820" w:type="dxa"/>
            <w:vAlign w:val="bottom"/>
            <w:gridSpan w:val="3"/>
          </w:tcPr>
          <w:p>
            <w:pPr>
              <w:ind w:left="40"/>
              <w:spacing w:after="0"/>
              <w:rPr>
                <w:sz w:val="20"/>
                <w:szCs w:val="20"/>
                <w:color w:val="auto"/>
              </w:rPr>
            </w:pPr>
            <w:r>
              <w:rPr>
                <w:rFonts w:ascii="Arial" w:cs="Arial" w:eastAsia="Arial" w:hAnsi="Arial"/>
                <w:sz w:val="18"/>
                <w:szCs w:val="18"/>
                <w:b w:val="1"/>
                <w:bCs w:val="1"/>
                <w:color w:val="auto"/>
              </w:rPr>
              <w:t>December 27, 2020</w:t>
            </w:r>
          </w:p>
        </w:tc>
        <w:tc>
          <w:tcPr>
            <w:tcW w:w="170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29, 2019</w:t>
            </w:r>
          </w:p>
        </w:tc>
        <w:tc>
          <w:tcPr>
            <w:tcW w:w="140" w:type="dxa"/>
            <w:vAlign w:val="bottom"/>
          </w:tcPr>
          <w:p>
            <w:pPr>
              <w:spacing w:after="0"/>
              <w:rPr>
                <w:sz w:val="19"/>
                <w:szCs w:val="19"/>
                <w:color w:val="auto"/>
              </w:rPr>
            </w:pPr>
          </w:p>
        </w:tc>
        <w:tc>
          <w:tcPr>
            <w:tcW w:w="1840" w:type="dxa"/>
            <w:vAlign w:val="bottom"/>
            <w:gridSpan w:val="3"/>
          </w:tcPr>
          <w:p>
            <w:pPr>
              <w:ind w:left="40"/>
              <w:spacing w:after="0"/>
              <w:rPr>
                <w:sz w:val="20"/>
                <w:szCs w:val="20"/>
                <w:color w:val="auto"/>
              </w:rPr>
            </w:pPr>
            <w:r>
              <w:rPr>
                <w:rFonts w:ascii="Arial" w:cs="Arial" w:eastAsia="Arial" w:hAnsi="Arial"/>
                <w:sz w:val="18"/>
                <w:szCs w:val="18"/>
                <w:b w:val="1"/>
                <w:bCs w:val="1"/>
                <w:color w:val="auto"/>
              </w:rPr>
              <w:t>December 27, 2020</w:t>
            </w:r>
          </w:p>
        </w:tc>
        <w:tc>
          <w:tcPr>
            <w:tcW w:w="170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29, 2019</w:t>
            </w:r>
          </w:p>
        </w:tc>
      </w:tr>
      <w:tr>
        <w:trPr>
          <w:trHeight w:val="223"/>
        </w:trPr>
        <w:tc>
          <w:tcPr>
            <w:tcW w:w="4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(GAAP)</w:t>
            </w:r>
          </w:p>
        </w:tc>
        <w:tc>
          <w:tcPr>
            <w:tcW w:w="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7,921</w:t>
            </w:r>
          </w:p>
        </w:tc>
        <w:tc>
          <w:tcPr>
            <w:tcW w:w="12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4,547</w:t>
            </w:r>
          </w:p>
        </w:tc>
        <w:tc>
          <w:tcPr>
            <w:tcW w:w="14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31,899</w:t>
            </w:r>
          </w:p>
        </w:tc>
        <w:tc>
          <w:tcPr>
            <w:tcW w:w="14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23,604</w:t>
            </w:r>
          </w:p>
        </w:tc>
      </w:tr>
      <w:tr>
        <w:trPr>
          <w:trHeight w:val="229"/>
        </w:trPr>
        <w:tc>
          <w:tcPr>
            <w:tcW w:w="4040" w:type="dxa"/>
            <w:vAlign w:val="bottom"/>
          </w:tcPr>
          <w:p>
            <w:pPr>
              <w:ind w:left="140"/>
              <w:spacing w:after="0"/>
              <w:rPr>
                <w:sz w:val="20"/>
                <w:szCs w:val="20"/>
                <w:color w:val="auto"/>
              </w:rPr>
            </w:pPr>
            <w:r>
              <w:rPr>
                <w:rFonts w:ascii="Arial" w:cs="Arial" w:eastAsia="Arial" w:hAnsi="Arial"/>
                <w:sz w:val="18"/>
                <w:szCs w:val="18"/>
                <w:color w:val="auto"/>
              </w:rPr>
              <w:t>Interest expense, net</w:t>
            </w:r>
          </w:p>
        </w:tc>
        <w:tc>
          <w:tcPr>
            <w:tcW w:w="4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382</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584</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1,101</w:t>
            </w: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2,013</w:t>
            </w:r>
          </w:p>
        </w:tc>
      </w:tr>
      <w:tr>
        <w:trPr>
          <w:trHeight w:val="230"/>
        </w:trPr>
        <w:tc>
          <w:tcPr>
            <w:tcW w:w="4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tax expense</w:t>
            </w:r>
          </w:p>
        </w:tc>
        <w:tc>
          <w:tcPr>
            <w:tcW w:w="4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2,664</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1,776</w:t>
            </w: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11,285</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8,571</w:t>
            </w:r>
          </w:p>
        </w:tc>
      </w:tr>
      <w:tr>
        <w:trPr>
          <w:trHeight w:val="229"/>
        </w:trPr>
        <w:tc>
          <w:tcPr>
            <w:tcW w:w="4040" w:type="dxa"/>
            <w:vAlign w:val="bottom"/>
          </w:tcPr>
          <w:p>
            <w:pPr>
              <w:ind w:left="140"/>
              <w:spacing w:after="0"/>
              <w:rPr>
                <w:sz w:val="20"/>
                <w:szCs w:val="20"/>
                <w:color w:val="auto"/>
              </w:rPr>
            </w:pPr>
            <w:r>
              <w:rPr>
                <w:rFonts w:ascii="Arial" w:cs="Arial" w:eastAsia="Arial" w:hAnsi="Arial"/>
                <w:sz w:val="18"/>
                <w:szCs w:val="18"/>
                <w:color w:val="auto"/>
              </w:rPr>
              <w:t>Amortization of intangibles</w:t>
            </w:r>
          </w:p>
        </w:tc>
        <w:tc>
          <w:tcPr>
            <w:tcW w:w="4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1,521</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1,268</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4,237</w:t>
            </w: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3,805</w:t>
            </w:r>
          </w:p>
        </w:tc>
      </w:tr>
      <w:tr>
        <w:trPr>
          <w:trHeight w:val="229"/>
        </w:trPr>
        <w:tc>
          <w:tcPr>
            <w:tcW w:w="4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expense</w:t>
            </w:r>
          </w:p>
        </w:tc>
        <w:tc>
          <w:tcPr>
            <w:tcW w:w="4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4,149</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4,174</w:t>
            </w: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12,498</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12,376</w:t>
            </w:r>
          </w:p>
        </w:tc>
      </w:tr>
      <w:tr>
        <w:trPr>
          <w:trHeight w:val="230"/>
        </w:trPr>
        <w:tc>
          <w:tcPr>
            <w:tcW w:w="4040" w:type="dxa"/>
            <w:vAlign w:val="bottom"/>
          </w:tcPr>
          <w:p>
            <w:pPr>
              <w:ind w:left="140"/>
              <w:spacing w:after="0"/>
              <w:rPr>
                <w:sz w:val="20"/>
                <w:szCs w:val="20"/>
                <w:color w:val="auto"/>
              </w:rPr>
            </w:pPr>
            <w:r>
              <w:rPr>
                <w:rFonts w:ascii="Arial" w:cs="Arial" w:eastAsia="Arial" w:hAnsi="Arial"/>
                <w:sz w:val="18"/>
                <w:szCs w:val="18"/>
                <w:color w:val="auto"/>
              </w:rPr>
              <w:t>Non-cash compensation expense</w:t>
            </w:r>
          </w:p>
        </w:tc>
        <w:tc>
          <w:tcPr>
            <w:tcW w:w="4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917</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685</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2,303</w:t>
            </w: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1,830</w:t>
            </w:r>
          </w:p>
        </w:tc>
      </w:tr>
      <w:tr>
        <w:trPr>
          <w:trHeight w:val="229"/>
        </w:trPr>
        <w:tc>
          <w:tcPr>
            <w:tcW w:w="4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Non-recurring acquisition expenses</w:t>
            </w:r>
          </w:p>
        </w:tc>
        <w:tc>
          <w:tcPr>
            <w:tcW w:w="4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040" w:type="dxa"/>
            <w:vAlign w:val="bottom"/>
          </w:tcPr>
          <w:p>
            <w:pPr>
              <w:ind w:left="20"/>
              <w:spacing w:after="0"/>
              <w:rPr>
                <w:sz w:val="20"/>
                <w:szCs w:val="20"/>
                <w:color w:val="auto"/>
              </w:rPr>
            </w:pPr>
            <w:r>
              <w:rPr>
                <w:rFonts w:ascii="Arial" w:cs="Arial" w:eastAsia="Arial" w:hAnsi="Arial"/>
                <w:sz w:val="18"/>
                <w:szCs w:val="18"/>
                <w:b w:val="1"/>
                <w:bCs w:val="1"/>
                <w:color w:val="auto"/>
              </w:rPr>
              <w:t>Adjusted EBITDA</w:t>
            </w:r>
          </w:p>
        </w:tc>
        <w:tc>
          <w:tcPr>
            <w:tcW w:w="4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17,797</w:t>
            </w:r>
          </w:p>
        </w:tc>
        <w:tc>
          <w:tcPr>
            <w:tcW w:w="120" w:type="dxa"/>
            <w:vAlign w:val="bottom"/>
          </w:tcPr>
          <w:p>
            <w:pPr>
              <w:spacing w:after="0"/>
              <w:rPr>
                <w:sz w:val="19"/>
                <w:szCs w:val="19"/>
                <w:color w:val="auto"/>
              </w:rPr>
            </w:pPr>
          </w:p>
        </w:tc>
        <w:tc>
          <w:tcPr>
            <w:tcW w:w="9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13,034</w:t>
            </w:r>
          </w:p>
        </w:tc>
        <w:tc>
          <w:tcPr>
            <w:tcW w:w="140" w:type="dxa"/>
            <w:vAlign w:val="bottom"/>
          </w:tcPr>
          <w:p>
            <w:pPr>
              <w:spacing w:after="0"/>
              <w:rPr>
                <w:sz w:val="19"/>
                <w:szCs w:val="19"/>
                <w:color w:val="auto"/>
              </w:rPr>
            </w:pPr>
          </w:p>
        </w:tc>
        <w:tc>
          <w:tcPr>
            <w:tcW w:w="5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63,831</w:t>
            </w:r>
          </w:p>
        </w:tc>
        <w:tc>
          <w:tcPr>
            <w:tcW w:w="140" w:type="dxa"/>
            <w:vAlign w:val="bottom"/>
          </w:tcPr>
          <w:p>
            <w:pPr>
              <w:spacing w:after="0"/>
              <w:rPr>
                <w:sz w:val="19"/>
                <w:szCs w:val="19"/>
                <w:color w:val="auto"/>
              </w:rPr>
            </w:pPr>
          </w:p>
        </w:tc>
        <w:tc>
          <w:tcPr>
            <w:tcW w:w="9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52,199</w:t>
            </w:r>
          </w:p>
        </w:tc>
      </w:tr>
      <w:tr>
        <w:trPr>
          <w:trHeight w:val="20"/>
        </w:trPr>
        <w:tc>
          <w:tcPr>
            <w:tcW w:w="40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60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HAWKINS,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 (UNAUDITED)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and per-share data)</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40" w:type="dxa"/>
            <w:vAlign w:val="bottom"/>
            <w:gridSpan w:val="5"/>
          </w:tcPr>
          <w:p>
            <w:pPr>
              <w:ind w:left="46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Pr>
          <w:p>
            <w:pPr>
              <w:spacing w:after="0"/>
              <w:rPr>
                <w:sz w:val="20"/>
                <w:szCs w:val="20"/>
                <w:color w:val="auto"/>
              </w:rPr>
            </w:pPr>
          </w:p>
        </w:tc>
        <w:tc>
          <w:tcPr>
            <w:tcW w:w="284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Nine Months Ended</w:t>
            </w:r>
          </w:p>
        </w:tc>
      </w:tr>
      <w:tr>
        <w:trPr>
          <w:trHeight w:val="169"/>
        </w:trPr>
        <w:tc>
          <w:tcPr>
            <w:tcW w:w="52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gridSpan w:val="2"/>
          </w:tcPr>
          <w:p>
            <w:pPr>
              <w:spacing w:after="0" w:line="169" w:lineRule="exact"/>
              <w:rPr>
                <w:sz w:val="20"/>
                <w:szCs w:val="20"/>
                <w:color w:val="auto"/>
              </w:rPr>
            </w:pPr>
            <w:r>
              <w:rPr>
                <w:rFonts w:ascii="Arial" w:cs="Arial" w:eastAsia="Arial" w:hAnsi="Arial"/>
                <w:sz w:val="18"/>
                <w:szCs w:val="18"/>
                <w:b w:val="1"/>
                <w:bCs w:val="1"/>
                <w:color w:val="auto"/>
              </w:rPr>
              <w:t>December 27,</w:t>
            </w:r>
          </w:p>
        </w:tc>
        <w:tc>
          <w:tcPr>
            <w:tcW w:w="12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right"/>
              <w:ind w:right="30"/>
              <w:spacing w:after="0" w:line="169" w:lineRule="exact"/>
              <w:rPr>
                <w:sz w:val="20"/>
                <w:szCs w:val="20"/>
                <w:color w:val="auto"/>
              </w:rPr>
            </w:pPr>
            <w:r>
              <w:rPr>
                <w:rFonts w:ascii="Arial" w:cs="Arial" w:eastAsia="Arial" w:hAnsi="Arial"/>
                <w:sz w:val="18"/>
                <w:szCs w:val="18"/>
                <w:b w:val="1"/>
                <w:bCs w:val="1"/>
                <w:color w:val="auto"/>
                <w:w w:val="99"/>
              </w:rPr>
              <w:t>December 29,</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gridSpan w:val="2"/>
          </w:tcPr>
          <w:p>
            <w:pPr>
              <w:spacing w:after="0" w:line="169" w:lineRule="exact"/>
              <w:rPr>
                <w:sz w:val="20"/>
                <w:szCs w:val="20"/>
                <w:color w:val="auto"/>
              </w:rPr>
            </w:pPr>
            <w:r>
              <w:rPr>
                <w:rFonts w:ascii="Arial" w:cs="Arial" w:eastAsia="Arial" w:hAnsi="Arial"/>
                <w:sz w:val="18"/>
                <w:szCs w:val="18"/>
                <w:b w:val="1"/>
                <w:bCs w:val="1"/>
                <w:color w:val="auto"/>
              </w:rPr>
              <w:t>December 27,</w:t>
            </w:r>
          </w:p>
        </w:tc>
        <w:tc>
          <w:tcPr>
            <w:tcW w:w="14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right"/>
              <w:ind w:right="50"/>
              <w:spacing w:after="0" w:line="169" w:lineRule="exact"/>
              <w:rPr>
                <w:sz w:val="20"/>
                <w:szCs w:val="20"/>
                <w:color w:val="auto"/>
              </w:rPr>
            </w:pPr>
            <w:r>
              <w:rPr>
                <w:rFonts w:ascii="Arial" w:cs="Arial" w:eastAsia="Arial" w:hAnsi="Arial"/>
                <w:sz w:val="18"/>
                <w:szCs w:val="18"/>
                <w:b w:val="1"/>
                <w:bCs w:val="1"/>
                <w:color w:val="auto"/>
                <w:w w:val="97"/>
              </w:rPr>
              <w:t>December 29,</w:t>
            </w:r>
          </w:p>
        </w:tc>
      </w:tr>
      <w:tr>
        <w:trPr>
          <w:trHeight w:val="229"/>
        </w:trPr>
        <w:tc>
          <w:tcPr>
            <w:tcW w:w="52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r>
      <w:tr>
        <w:trPr>
          <w:trHeight w:val="22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142,927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120,406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433,900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407,785</w:t>
            </w:r>
          </w:p>
        </w:tc>
      </w:tr>
      <w:tr>
        <w:trPr>
          <w:trHeight w:val="229"/>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sales</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(114,688)</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(98,928)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(341,888)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(329,516)</w:t>
            </w:r>
          </w:p>
        </w:tc>
      </w:tr>
      <w:tr>
        <w:trPr>
          <w:trHeight w:val="22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28,239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21,478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78,269</w:t>
            </w:r>
          </w:p>
        </w:tc>
      </w:tr>
      <w:tr>
        <w:trPr>
          <w:trHeight w:val="229"/>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(17,750)</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(14,702)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(49,009)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(44,355)</w:t>
            </w:r>
          </w:p>
        </w:tc>
      </w:tr>
      <w:tr>
        <w:trPr>
          <w:trHeight w:val="22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33,914</w:t>
            </w: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(382)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(584)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(2,013)</w:t>
            </w: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w:t>
            </w: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10,585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6,323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43,184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32,175</w:t>
            </w: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(2,664)</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(11,285)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(8,571)</w:t>
            </w: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7,921</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4,547</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31,899</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23,604</w:t>
            </w: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37"/>
        </w:trPr>
        <w:tc>
          <w:tcPr>
            <w:tcW w:w="5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Weighted average number of shares outstanding - basic</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10,506,918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10,546,453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10,521,521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10,575,432</w:t>
            </w: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number of shares outstanding - diluted</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10,611,655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10,605,895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10,639,372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10,656,115</w:t>
            </w: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Basic earnings per share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0.75</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0.43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2.23</w:t>
            </w: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per share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Cash dividends declared per common share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0.2325</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0.2300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0.6975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0.6900</w:t>
            </w:r>
          </w:p>
        </w:tc>
      </w:tr>
    </w:tbl>
    <w:p>
      <w:pPr>
        <w:sectPr>
          <w:pgSz w:w="11900" w:h="16838" w:orient="portrait"/>
          <w:cols w:equalWidth="0" w:num="1">
            <w:col w:w="11240"/>
          </w:cols>
          <w:pgMar w:left="320" w:top="1019"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HAWKINS,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data)</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27,</w:t>
            </w:r>
          </w:p>
        </w:tc>
        <w:tc>
          <w:tcPr>
            <w:tcW w:w="240" w:type="dxa"/>
            <w:vAlign w:val="bottom"/>
          </w:tcPr>
          <w:p>
            <w:pPr>
              <w:spacing w:after="0"/>
              <w:rPr>
                <w:sz w:val="16"/>
                <w:szCs w:val="16"/>
                <w:color w:val="auto"/>
              </w:rPr>
            </w:pPr>
          </w:p>
        </w:tc>
        <w:tc>
          <w:tcPr>
            <w:tcW w:w="1200" w:type="dxa"/>
            <w:vAlign w:val="bottom"/>
          </w:tcPr>
          <w:p>
            <w:pPr>
              <w:jc w:val="right"/>
              <w:ind w:right="259"/>
              <w:spacing w:after="0"/>
              <w:rPr>
                <w:sz w:val="20"/>
                <w:szCs w:val="20"/>
                <w:color w:val="auto"/>
              </w:rPr>
            </w:pPr>
            <w:r>
              <w:rPr>
                <w:rFonts w:ascii="Arial" w:cs="Arial" w:eastAsia="Arial" w:hAnsi="Arial"/>
                <w:sz w:val="16"/>
                <w:szCs w:val="16"/>
                <w:b w:val="1"/>
                <w:bCs w:val="1"/>
                <w:color w:val="auto"/>
              </w:rPr>
              <w:t>March 29,</w:t>
            </w:r>
          </w:p>
        </w:tc>
        <w:tc>
          <w:tcPr>
            <w:tcW w:w="0" w:type="dxa"/>
            <w:vAlign w:val="bottom"/>
          </w:tcPr>
          <w:p>
            <w:pPr>
              <w:spacing w:after="0"/>
              <w:rPr>
                <w:sz w:val="1"/>
                <w:szCs w:val="1"/>
                <w:color w:val="auto"/>
              </w:rPr>
            </w:pPr>
          </w:p>
        </w:tc>
      </w:tr>
      <w:tr>
        <w:trPr>
          <w:trHeight w:val="216"/>
        </w:trPr>
        <w:tc>
          <w:tcPr>
            <w:tcW w:w="8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96"/>
        </w:trPr>
        <w:tc>
          <w:tcPr>
            <w:tcW w:w="82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0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7,969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4,277</w:t>
            </w:r>
          </w:p>
        </w:tc>
        <w:tc>
          <w:tcPr>
            <w:tcW w:w="0" w:type="dxa"/>
            <w:vAlign w:val="bottom"/>
          </w:tcPr>
          <w:p>
            <w:pPr>
              <w:spacing w:after="0"/>
              <w:rPr>
                <w:sz w:val="1"/>
                <w:szCs w:val="1"/>
                <w:color w:val="auto"/>
              </w:rPr>
            </w:pPr>
          </w:p>
        </w:tc>
      </w:tr>
      <w:tr>
        <w:trPr>
          <w:trHeight w:val="216"/>
        </w:trPr>
        <w:tc>
          <w:tcPr>
            <w:tcW w:w="8200" w:type="dxa"/>
            <w:vAlign w:val="bottom"/>
          </w:tcPr>
          <w:p>
            <w:pPr>
              <w:ind w:left="340"/>
              <w:spacing w:after="0"/>
              <w:rPr>
                <w:sz w:val="20"/>
                <w:szCs w:val="20"/>
                <w:color w:val="auto"/>
              </w:rPr>
            </w:pPr>
            <w:r>
              <w:rPr>
                <w:rFonts w:ascii="Arial" w:cs="Arial" w:eastAsia="Arial" w:hAnsi="Arial"/>
                <w:sz w:val="16"/>
                <w:szCs w:val="16"/>
                <w:color w:val="auto"/>
              </w:rPr>
              <w:t>Trade receivables — less allowance for doubtful accounts:</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ind w:left="560"/>
              <w:spacing w:after="0"/>
              <w:rPr>
                <w:sz w:val="20"/>
                <w:szCs w:val="20"/>
                <w:color w:val="auto"/>
              </w:rPr>
            </w:pPr>
            <w:r>
              <w:rPr>
                <w:rFonts w:ascii="Arial" w:cs="Arial" w:eastAsia="Arial" w:hAnsi="Arial"/>
                <w:sz w:val="16"/>
                <w:szCs w:val="16"/>
                <w:color w:val="auto"/>
              </w:rPr>
              <w:t>$549 as of December 27, 2020 and $784 as of March 29, 2020</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76,822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67,391</w:t>
            </w:r>
          </w:p>
        </w:tc>
        <w:tc>
          <w:tcPr>
            <w:tcW w:w="0" w:type="dxa"/>
            <w:vAlign w:val="bottom"/>
          </w:tcPr>
          <w:p>
            <w:pPr>
              <w:spacing w:after="0"/>
              <w:rPr>
                <w:sz w:val="1"/>
                <w:szCs w:val="1"/>
                <w:color w:val="auto"/>
              </w:rPr>
            </w:pPr>
          </w:p>
        </w:tc>
      </w:tr>
      <w:tr>
        <w:trPr>
          <w:trHeight w:val="216"/>
        </w:trPr>
        <w:tc>
          <w:tcPr>
            <w:tcW w:w="8200" w:type="dxa"/>
            <w:vAlign w:val="bottom"/>
          </w:tcPr>
          <w:p>
            <w:pPr>
              <w:ind w:left="340"/>
              <w:spacing w:after="0"/>
              <w:rPr>
                <w:sz w:val="20"/>
                <w:szCs w:val="20"/>
                <w:color w:val="auto"/>
              </w:rPr>
            </w:pPr>
            <w:r>
              <w:rPr>
                <w:rFonts w:ascii="Arial" w:cs="Arial" w:eastAsia="Arial" w:hAnsi="Arial"/>
                <w:sz w:val="16"/>
                <w:szCs w:val="16"/>
                <w:color w:val="auto"/>
              </w:rPr>
              <w:t>Inventories</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64,657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54,436</w:t>
            </w: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Income taxes receivable</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82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Prepaid expenses and other current assets</w:t>
            </w: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5,075</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4,927</w:t>
            </w:r>
          </w:p>
        </w:tc>
        <w:tc>
          <w:tcPr>
            <w:tcW w:w="0" w:type="dxa"/>
            <w:vAlign w:val="bottom"/>
          </w:tcPr>
          <w:p>
            <w:pPr>
              <w:spacing w:after="0"/>
              <w:rPr>
                <w:sz w:val="1"/>
                <w:szCs w:val="1"/>
                <w:color w:val="auto"/>
              </w:rPr>
            </w:pPr>
          </w:p>
        </w:tc>
      </w:tr>
      <w:tr>
        <w:trPr>
          <w:trHeight w:val="210"/>
        </w:trPr>
        <w:tc>
          <w:tcPr>
            <w:tcW w:w="8200" w:type="dxa"/>
            <w:vAlign w:val="bottom"/>
            <w:shd w:val="clear" w:color="auto" w:fill="CCEEFF"/>
          </w:tcPr>
          <w:p>
            <w:pPr>
              <w:ind w:left="780"/>
              <w:spacing w:after="0"/>
              <w:rPr>
                <w:sz w:val="20"/>
                <w:szCs w:val="20"/>
                <w:color w:val="auto"/>
              </w:rPr>
            </w:pPr>
            <w:r>
              <w:rPr>
                <w:rFonts w:ascii="Arial" w:cs="Arial" w:eastAsia="Arial" w:hAnsi="Arial"/>
                <w:sz w:val="16"/>
                <w:szCs w:val="16"/>
                <w:color w:val="auto"/>
              </w:rPr>
              <w:t>Total current assets</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155,469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131,031</w:t>
            </w:r>
          </w:p>
        </w:tc>
        <w:tc>
          <w:tcPr>
            <w:tcW w:w="0" w:type="dxa"/>
            <w:vAlign w:val="bottom"/>
          </w:tcPr>
          <w:p>
            <w:pPr>
              <w:spacing w:after="0"/>
              <w:rPr>
                <w:sz w:val="1"/>
                <w:szCs w:val="1"/>
                <w:color w:val="auto"/>
              </w:rPr>
            </w:pPr>
          </w:p>
        </w:tc>
      </w:tr>
      <w:tr>
        <w:trPr>
          <w:trHeight w:val="216"/>
        </w:trPr>
        <w:tc>
          <w:tcPr>
            <w:tcW w:w="8200" w:type="dxa"/>
            <w:vAlign w:val="bottom"/>
          </w:tcPr>
          <w:p>
            <w:pPr>
              <w:ind w:left="20"/>
              <w:spacing w:after="0"/>
              <w:rPr>
                <w:sz w:val="20"/>
                <w:szCs w:val="20"/>
                <w:color w:val="auto"/>
              </w:rPr>
            </w:pPr>
            <w:r>
              <w:rPr>
                <w:rFonts w:ascii="Arial" w:cs="Arial" w:eastAsia="Arial" w:hAnsi="Arial"/>
                <w:sz w:val="16"/>
                <w:szCs w:val="16"/>
                <w:color w:val="auto"/>
              </w:rPr>
              <w:t>PROPERTY, PLANT, AND EQUIPMENT: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291,491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267,221</w:t>
            </w: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Less accumulated depreciation</w:t>
            </w: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152,568</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140,877</w:t>
            </w:r>
          </w:p>
        </w:tc>
        <w:tc>
          <w:tcPr>
            <w:tcW w:w="0" w:type="dxa"/>
            <w:vAlign w:val="bottom"/>
          </w:tcPr>
          <w:p>
            <w:pPr>
              <w:spacing w:after="0"/>
              <w:rPr>
                <w:sz w:val="1"/>
                <w:szCs w:val="1"/>
                <w:color w:val="auto"/>
              </w:rPr>
            </w:pPr>
          </w:p>
        </w:tc>
      </w:tr>
      <w:tr>
        <w:trPr>
          <w:trHeight w:val="210"/>
        </w:trPr>
        <w:tc>
          <w:tcPr>
            <w:tcW w:w="8200" w:type="dxa"/>
            <w:vAlign w:val="bottom"/>
          </w:tcPr>
          <w:p>
            <w:pPr>
              <w:ind w:left="780"/>
              <w:spacing w:after="0"/>
              <w:rPr>
                <w:sz w:val="20"/>
                <w:szCs w:val="20"/>
                <w:color w:val="auto"/>
              </w:rPr>
            </w:pPr>
            <w:r>
              <w:rPr>
                <w:rFonts w:ascii="Arial" w:cs="Arial" w:eastAsia="Arial" w:hAnsi="Arial"/>
                <w:sz w:val="16"/>
                <w:szCs w:val="16"/>
                <w:color w:val="auto"/>
              </w:rPr>
              <w:t>Net property, plant, and equipment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138,923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126,344</w:t>
            </w: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tcPr>
          <w:p>
            <w:pPr>
              <w:ind w:left="340"/>
              <w:spacing w:after="0"/>
              <w:rPr>
                <w:sz w:val="20"/>
                <w:szCs w:val="20"/>
                <w:color w:val="auto"/>
              </w:rPr>
            </w:pPr>
            <w:r>
              <w:rPr>
                <w:rFonts w:ascii="Arial" w:cs="Arial" w:eastAsia="Arial" w:hAnsi="Arial"/>
                <w:sz w:val="16"/>
                <w:szCs w:val="16"/>
                <w:color w:val="auto"/>
              </w:rPr>
              <w:t>Right-of-use assets</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8,181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9,090</w:t>
            </w: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Goodwill</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67,657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58,440</w:t>
            </w:r>
          </w:p>
        </w:tc>
        <w:tc>
          <w:tcPr>
            <w:tcW w:w="0" w:type="dxa"/>
            <w:vAlign w:val="bottom"/>
          </w:tcPr>
          <w:p>
            <w:pPr>
              <w:spacing w:after="0"/>
              <w:rPr>
                <w:sz w:val="1"/>
                <w:szCs w:val="1"/>
                <w:color w:val="auto"/>
              </w:rPr>
            </w:pPr>
          </w:p>
        </w:tc>
      </w:tr>
      <w:tr>
        <w:trPr>
          <w:trHeight w:val="216"/>
        </w:trPr>
        <w:tc>
          <w:tcPr>
            <w:tcW w:w="8200" w:type="dxa"/>
            <w:vAlign w:val="bottom"/>
          </w:tcPr>
          <w:p>
            <w:pPr>
              <w:ind w:left="340"/>
              <w:spacing w:after="0"/>
              <w:rPr>
                <w:sz w:val="20"/>
                <w:szCs w:val="20"/>
                <w:color w:val="auto"/>
              </w:rPr>
            </w:pPr>
            <w:r>
              <w:rPr>
                <w:rFonts w:ascii="Arial" w:cs="Arial" w:eastAsia="Arial" w:hAnsi="Arial"/>
                <w:sz w:val="16"/>
                <w:szCs w:val="16"/>
                <w:color w:val="auto"/>
              </w:rPr>
              <w:t>Intangible assets, net of accumulated amortization</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69,726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60,653</w:t>
            </w: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6,049</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3,770</w:t>
            </w:r>
          </w:p>
        </w:tc>
        <w:tc>
          <w:tcPr>
            <w:tcW w:w="0" w:type="dxa"/>
            <w:vAlign w:val="bottom"/>
          </w:tcPr>
          <w:p>
            <w:pPr>
              <w:spacing w:after="0"/>
              <w:rPr>
                <w:sz w:val="1"/>
                <w:szCs w:val="1"/>
                <w:color w:val="auto"/>
              </w:rPr>
            </w:pPr>
          </w:p>
        </w:tc>
      </w:tr>
      <w:tr>
        <w:trPr>
          <w:trHeight w:val="210"/>
        </w:trPr>
        <w:tc>
          <w:tcPr>
            <w:tcW w:w="8200" w:type="dxa"/>
            <w:vAlign w:val="bottom"/>
            <w:tcBorders>
              <w:bottom w:val="single" w:sz="8" w:color="CCEEFF"/>
            </w:tcBorders>
          </w:tcPr>
          <w:p>
            <w:pPr>
              <w:ind w:left="780"/>
              <w:spacing w:after="0"/>
              <w:rPr>
                <w:sz w:val="20"/>
                <w:szCs w:val="20"/>
                <w:color w:val="auto"/>
              </w:rPr>
            </w:pPr>
            <w:r>
              <w:rPr>
                <w:rFonts w:ascii="Arial" w:cs="Arial" w:eastAsia="Arial" w:hAnsi="Arial"/>
                <w:sz w:val="16"/>
                <w:szCs w:val="16"/>
                <w:color w:val="auto"/>
              </w:rPr>
              <w:t>Total other assets</w:t>
            </w: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151,613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131,953</w:t>
            </w:r>
          </w:p>
        </w:tc>
        <w:tc>
          <w:tcPr>
            <w:tcW w:w="0" w:type="dxa"/>
            <w:vAlign w:val="bottom"/>
          </w:tcPr>
          <w:p>
            <w:pPr>
              <w:spacing w:after="0"/>
              <w:rPr>
                <w:sz w:val="1"/>
                <w:szCs w:val="1"/>
                <w:color w:val="auto"/>
              </w:rPr>
            </w:pPr>
          </w:p>
        </w:tc>
      </w:tr>
      <w:tr>
        <w:trPr>
          <w:trHeight w:val="234"/>
        </w:trPr>
        <w:tc>
          <w:tcPr>
            <w:tcW w:w="820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6"/>
                <w:szCs w:val="16"/>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446,005</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389,328</w:t>
            </w:r>
          </w:p>
        </w:tc>
        <w:tc>
          <w:tcPr>
            <w:tcW w:w="0" w:type="dxa"/>
            <w:vAlign w:val="bottom"/>
          </w:tcPr>
          <w:p>
            <w:pPr>
              <w:spacing w:after="0"/>
              <w:rPr>
                <w:sz w:val="1"/>
                <w:szCs w:val="1"/>
                <w:color w:val="auto"/>
              </w:rPr>
            </w:pPr>
          </w:p>
        </w:tc>
      </w:tr>
      <w:tr>
        <w:trPr>
          <w:trHeight w:val="20"/>
        </w:trPr>
        <w:tc>
          <w:tcPr>
            <w:tcW w:w="82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 AND SHAREHOLDERS’ EQUITY</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2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tcPr>
          <w:p>
            <w:pPr>
              <w:ind w:left="340"/>
              <w:spacing w:after="0"/>
              <w:rPr>
                <w:sz w:val="20"/>
                <w:szCs w:val="20"/>
                <w:color w:val="auto"/>
              </w:rPr>
            </w:pPr>
            <w:r>
              <w:rPr>
                <w:rFonts w:ascii="Arial" w:cs="Arial" w:eastAsia="Arial" w:hAnsi="Arial"/>
                <w:sz w:val="16"/>
                <w:szCs w:val="16"/>
                <w:color w:val="auto"/>
              </w:rPr>
              <w:t>Accounts payable — trade</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31,160</w:t>
            </w:r>
          </w:p>
        </w:tc>
        <w:tc>
          <w:tcPr>
            <w:tcW w:w="10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34,129</w:t>
            </w: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Accrued payroll and employee benefits</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13,406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13,538</w:t>
            </w:r>
          </w:p>
        </w:tc>
        <w:tc>
          <w:tcPr>
            <w:tcW w:w="0" w:type="dxa"/>
            <w:vAlign w:val="bottom"/>
          </w:tcPr>
          <w:p>
            <w:pPr>
              <w:spacing w:after="0"/>
              <w:rPr>
                <w:sz w:val="1"/>
                <w:szCs w:val="1"/>
                <w:color w:val="auto"/>
              </w:rPr>
            </w:pPr>
          </w:p>
        </w:tc>
      </w:tr>
      <w:tr>
        <w:trPr>
          <w:trHeight w:val="216"/>
        </w:trPr>
        <w:tc>
          <w:tcPr>
            <w:tcW w:w="8200" w:type="dxa"/>
            <w:vAlign w:val="bottom"/>
          </w:tcPr>
          <w:p>
            <w:pPr>
              <w:ind w:left="340"/>
              <w:spacing w:after="0"/>
              <w:rPr>
                <w:sz w:val="20"/>
                <w:szCs w:val="20"/>
                <w:color w:val="auto"/>
              </w:rPr>
            </w:pPr>
            <w:r>
              <w:rPr>
                <w:rFonts w:ascii="Arial" w:cs="Arial" w:eastAsia="Arial" w:hAnsi="Arial"/>
                <w:sz w:val="16"/>
                <w:szCs w:val="16"/>
                <w:color w:val="auto"/>
              </w:rPr>
              <w:t>Current portion of long-term debt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9,907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9,907</w:t>
            </w: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Short-term lease liability</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1,523</w:t>
            </w:r>
          </w:p>
        </w:tc>
        <w:tc>
          <w:tcPr>
            <w:tcW w:w="0" w:type="dxa"/>
            <w:vAlign w:val="bottom"/>
          </w:tcPr>
          <w:p>
            <w:pPr>
              <w:spacing w:after="0"/>
              <w:rPr>
                <w:sz w:val="1"/>
                <w:szCs w:val="1"/>
                <w:color w:val="auto"/>
              </w:rPr>
            </w:pPr>
          </w:p>
        </w:tc>
      </w:tr>
      <w:tr>
        <w:trPr>
          <w:trHeight w:val="216"/>
        </w:trPr>
        <w:tc>
          <w:tcPr>
            <w:tcW w:w="8200" w:type="dxa"/>
            <w:vAlign w:val="bottom"/>
          </w:tcPr>
          <w:p>
            <w:pPr>
              <w:ind w:left="340"/>
              <w:spacing w:after="0"/>
              <w:rPr>
                <w:sz w:val="20"/>
                <w:szCs w:val="20"/>
                <w:color w:val="auto"/>
              </w:rPr>
            </w:pPr>
            <w:r>
              <w:rPr>
                <w:rFonts w:ascii="Arial" w:cs="Arial" w:eastAsia="Arial" w:hAnsi="Arial"/>
                <w:sz w:val="16"/>
                <w:szCs w:val="16"/>
                <w:color w:val="auto"/>
              </w:rPr>
              <w:t>Container deposits</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1,426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1,376</w:t>
            </w: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current liabilities</w:t>
            </w: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1,693</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1,747</w:t>
            </w:r>
          </w:p>
        </w:tc>
        <w:tc>
          <w:tcPr>
            <w:tcW w:w="0" w:type="dxa"/>
            <w:vAlign w:val="bottom"/>
          </w:tcPr>
          <w:p>
            <w:pPr>
              <w:spacing w:after="0"/>
              <w:rPr>
                <w:sz w:val="1"/>
                <w:szCs w:val="1"/>
                <w:color w:val="auto"/>
              </w:rPr>
            </w:pPr>
          </w:p>
        </w:tc>
      </w:tr>
      <w:tr>
        <w:trPr>
          <w:trHeight w:val="210"/>
        </w:trPr>
        <w:tc>
          <w:tcPr>
            <w:tcW w:w="8200" w:type="dxa"/>
            <w:vAlign w:val="bottom"/>
          </w:tcPr>
          <w:p>
            <w:pPr>
              <w:ind w:left="780"/>
              <w:spacing w:after="0"/>
              <w:rPr>
                <w:sz w:val="20"/>
                <w:szCs w:val="20"/>
                <w:color w:val="auto"/>
              </w:rPr>
            </w:pPr>
            <w:r>
              <w:rPr>
                <w:rFonts w:ascii="Arial" w:cs="Arial" w:eastAsia="Arial" w:hAnsi="Arial"/>
                <w:sz w:val="16"/>
                <w:szCs w:val="16"/>
                <w:color w:val="auto"/>
              </w:rPr>
              <w:t>Total current liabilities</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59,032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62,220</w:t>
            </w: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DEBT, LESS CURRENT PORTION</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85,821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49,751</w:t>
            </w:r>
          </w:p>
        </w:tc>
        <w:tc>
          <w:tcPr>
            <w:tcW w:w="0" w:type="dxa"/>
            <w:vAlign w:val="bottom"/>
          </w:tcPr>
          <w:p>
            <w:pPr>
              <w:spacing w:after="0"/>
              <w:rPr>
                <w:sz w:val="1"/>
                <w:szCs w:val="1"/>
                <w:color w:val="auto"/>
              </w:rPr>
            </w:pPr>
          </w:p>
        </w:tc>
      </w:tr>
      <w:tr>
        <w:trPr>
          <w:trHeight w:val="216"/>
        </w:trPr>
        <w:tc>
          <w:tcPr>
            <w:tcW w:w="8200" w:type="dxa"/>
            <w:vAlign w:val="bottom"/>
          </w:tcPr>
          <w:p>
            <w:pPr>
              <w:ind w:left="20"/>
              <w:spacing w:after="0"/>
              <w:rPr>
                <w:sz w:val="20"/>
                <w:szCs w:val="20"/>
                <w:color w:val="auto"/>
              </w:rPr>
            </w:pPr>
            <w:r>
              <w:rPr>
                <w:rFonts w:ascii="Arial" w:cs="Arial" w:eastAsia="Arial" w:hAnsi="Arial"/>
                <w:sz w:val="16"/>
                <w:szCs w:val="16"/>
                <w:color w:val="auto"/>
              </w:rPr>
              <w:t>LONG-TERM LEASE LIABILITY</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6,854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7,649</w:t>
            </w: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PENSION WITHDRAWAL LIABILITY</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4,719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4,978</w:t>
            </w:r>
          </w:p>
        </w:tc>
        <w:tc>
          <w:tcPr>
            <w:tcW w:w="0" w:type="dxa"/>
            <w:vAlign w:val="bottom"/>
          </w:tcPr>
          <w:p>
            <w:pPr>
              <w:spacing w:after="0"/>
              <w:rPr>
                <w:sz w:val="1"/>
                <w:szCs w:val="1"/>
                <w:color w:val="auto"/>
              </w:rPr>
            </w:pPr>
          </w:p>
        </w:tc>
      </w:tr>
      <w:tr>
        <w:trPr>
          <w:trHeight w:val="216"/>
        </w:trPr>
        <w:tc>
          <w:tcPr>
            <w:tcW w:w="8200" w:type="dxa"/>
            <w:vAlign w:val="bottom"/>
          </w:tcPr>
          <w:p>
            <w:pPr>
              <w:ind w:left="20"/>
              <w:spacing w:after="0"/>
              <w:rPr>
                <w:sz w:val="20"/>
                <w:szCs w:val="20"/>
                <w:color w:val="auto"/>
              </w:rPr>
            </w:pPr>
            <w:r>
              <w:rPr>
                <w:rFonts w:ascii="Arial" w:cs="Arial" w:eastAsia="Arial" w:hAnsi="Arial"/>
                <w:sz w:val="16"/>
                <w:szCs w:val="16"/>
                <w:color w:val="auto"/>
              </w:rPr>
              <w:t>DEFERRED INCOME TAXES</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25,097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25,106</w:t>
            </w: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COMPENSATION LIABILITY</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7,054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5,026</w:t>
            </w:r>
          </w:p>
        </w:tc>
        <w:tc>
          <w:tcPr>
            <w:tcW w:w="0" w:type="dxa"/>
            <w:vAlign w:val="bottom"/>
          </w:tcPr>
          <w:p>
            <w:pPr>
              <w:spacing w:after="0"/>
              <w:rPr>
                <w:sz w:val="1"/>
                <w:szCs w:val="1"/>
                <w:color w:val="auto"/>
              </w:rPr>
            </w:pPr>
          </w:p>
        </w:tc>
      </w:tr>
      <w:tr>
        <w:trPr>
          <w:trHeight w:val="216"/>
        </w:trPr>
        <w:tc>
          <w:tcPr>
            <w:tcW w:w="82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LONG-TERM LIABILITIES</w:t>
            </w: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1,114</w:t>
            </w:r>
          </w:p>
        </w:tc>
        <w:tc>
          <w:tcPr>
            <w:tcW w:w="0" w:type="dxa"/>
            <w:vAlign w:val="bottom"/>
          </w:tcPr>
          <w:p>
            <w:pPr>
              <w:spacing w:after="0"/>
              <w:rPr>
                <w:sz w:val="1"/>
                <w:szCs w:val="1"/>
                <w:color w:val="auto"/>
              </w:rPr>
            </w:pPr>
          </w:p>
        </w:tc>
      </w:tr>
      <w:tr>
        <w:trPr>
          <w:trHeight w:val="210"/>
        </w:trPr>
        <w:tc>
          <w:tcPr>
            <w:tcW w:w="8200" w:type="dxa"/>
            <w:vAlign w:val="bottom"/>
            <w:shd w:val="clear" w:color="auto" w:fill="CCEEFF"/>
          </w:tcPr>
          <w:p>
            <w:pPr>
              <w:ind w:left="780"/>
              <w:spacing w:after="0"/>
              <w:rPr>
                <w:sz w:val="20"/>
                <w:szCs w:val="20"/>
                <w:color w:val="auto"/>
              </w:rPr>
            </w:pPr>
            <w:r>
              <w:rPr>
                <w:rFonts w:ascii="Arial" w:cs="Arial" w:eastAsia="Arial" w:hAnsi="Arial"/>
                <w:sz w:val="16"/>
                <w:szCs w:val="16"/>
                <w:color w:val="auto"/>
              </w:rPr>
              <w:t>Total liabilities</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189,091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155,844</w:t>
            </w:r>
          </w:p>
        </w:tc>
        <w:tc>
          <w:tcPr>
            <w:tcW w:w="0" w:type="dxa"/>
            <w:vAlign w:val="bottom"/>
          </w:tcPr>
          <w:p>
            <w:pPr>
              <w:spacing w:after="0"/>
              <w:rPr>
                <w:sz w:val="1"/>
                <w:szCs w:val="1"/>
                <w:color w:val="auto"/>
              </w:rPr>
            </w:pPr>
          </w:p>
        </w:tc>
      </w:tr>
      <w:tr>
        <w:trPr>
          <w:trHeight w:val="216"/>
        </w:trPr>
        <w:tc>
          <w:tcPr>
            <w:tcW w:w="8200" w:type="dxa"/>
            <w:vAlign w:val="bottom"/>
          </w:tcPr>
          <w:p>
            <w:pPr>
              <w:ind w:left="20"/>
              <w:spacing w:after="0"/>
              <w:rPr>
                <w:sz w:val="20"/>
                <w:szCs w:val="20"/>
                <w:color w:val="auto"/>
              </w:rPr>
            </w:pPr>
            <w:r>
              <w:rPr>
                <w:rFonts w:ascii="Arial" w:cs="Arial" w:eastAsia="Arial" w:hAnsi="Arial"/>
                <w:sz w:val="16"/>
                <w:szCs w:val="16"/>
                <w:color w:val="auto"/>
              </w:rPr>
              <w:t>COMMITMENTS AND CONTINGENCIES</w:t>
            </w:r>
          </w:p>
        </w:tc>
        <w:tc>
          <w:tcPr>
            <w:tcW w:w="16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SHAREHOLDERS’ EQUITY:</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200" w:type="dxa"/>
            <w:vAlign w:val="bottom"/>
          </w:tcPr>
          <w:p>
            <w:pPr>
              <w:ind w:left="340"/>
              <w:spacing w:after="0" w:line="162" w:lineRule="exact"/>
              <w:rPr>
                <w:sz w:val="20"/>
                <w:szCs w:val="20"/>
                <w:color w:val="auto"/>
              </w:rPr>
            </w:pPr>
            <w:r>
              <w:rPr>
                <w:rFonts w:ascii="Arial" w:cs="Arial" w:eastAsia="Arial" w:hAnsi="Arial"/>
                <w:sz w:val="16"/>
                <w:szCs w:val="16"/>
                <w:color w:val="auto"/>
              </w:rPr>
              <w:t>Common stock; authorized: 30,000,000 shares of $0.05 par value; 10,462,159 and 10,512,229 shares</w:t>
            </w:r>
          </w:p>
        </w:tc>
        <w:tc>
          <w:tcPr>
            <w:tcW w:w="16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523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526</w:t>
            </w:r>
          </w:p>
        </w:tc>
        <w:tc>
          <w:tcPr>
            <w:tcW w:w="0" w:type="dxa"/>
            <w:vAlign w:val="bottom"/>
          </w:tcPr>
          <w:p>
            <w:pPr>
              <w:spacing w:after="0"/>
              <w:rPr>
                <w:sz w:val="1"/>
                <w:szCs w:val="1"/>
                <w:color w:val="auto"/>
              </w:rPr>
            </w:pPr>
          </w:p>
        </w:tc>
      </w:tr>
      <w:tr>
        <w:trPr>
          <w:trHeight w:val="216"/>
        </w:trPr>
        <w:tc>
          <w:tcPr>
            <w:tcW w:w="8200" w:type="dxa"/>
            <w:vAlign w:val="bottom"/>
          </w:tcPr>
          <w:p>
            <w:pPr>
              <w:ind w:left="340"/>
              <w:spacing w:after="0"/>
              <w:rPr>
                <w:sz w:val="20"/>
                <w:szCs w:val="20"/>
                <w:color w:val="auto"/>
              </w:rPr>
            </w:pPr>
            <w:r>
              <w:rPr>
                <w:rFonts w:ascii="Arial" w:cs="Arial" w:eastAsia="Arial" w:hAnsi="Arial"/>
                <w:sz w:val="16"/>
                <w:szCs w:val="16"/>
                <w:color w:val="auto"/>
              </w:rPr>
              <w:t>issued and outstanding as of December 27, 2020 and March 29, 2020, respectively</w:t>
            </w:r>
          </w:p>
        </w:tc>
        <w:tc>
          <w:tcPr>
            <w:tcW w:w="16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Additional paid-in capital</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48,975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50,090</w:t>
            </w:r>
          </w:p>
        </w:tc>
        <w:tc>
          <w:tcPr>
            <w:tcW w:w="0" w:type="dxa"/>
            <w:vAlign w:val="bottom"/>
          </w:tcPr>
          <w:p>
            <w:pPr>
              <w:spacing w:after="0"/>
              <w:rPr>
                <w:sz w:val="1"/>
                <w:szCs w:val="1"/>
                <w:color w:val="auto"/>
              </w:rPr>
            </w:pPr>
          </w:p>
        </w:tc>
      </w:tr>
      <w:tr>
        <w:trPr>
          <w:trHeight w:val="216"/>
        </w:trPr>
        <w:tc>
          <w:tcPr>
            <w:tcW w:w="8200" w:type="dxa"/>
            <w:vAlign w:val="bottom"/>
          </w:tcPr>
          <w:p>
            <w:pPr>
              <w:ind w:left="340"/>
              <w:spacing w:after="0"/>
              <w:rPr>
                <w:sz w:val="20"/>
                <w:szCs w:val="20"/>
                <w:color w:val="auto"/>
              </w:rPr>
            </w:pPr>
            <w:r>
              <w:rPr>
                <w:rFonts w:ascii="Arial" w:cs="Arial" w:eastAsia="Arial" w:hAnsi="Arial"/>
                <w:sz w:val="16"/>
                <w:szCs w:val="16"/>
                <w:color w:val="auto"/>
              </w:rPr>
              <w:t>Retained earnings</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207,416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182,947</w:t>
            </w: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Accumulated other comprehensive loss</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09"/>
        </w:trPr>
        <w:tc>
          <w:tcPr>
            <w:tcW w:w="8200" w:type="dxa"/>
            <w:vAlign w:val="bottom"/>
            <w:tcBorders>
              <w:bottom w:val="single" w:sz="8" w:color="CCEEFF"/>
            </w:tcBorders>
          </w:tcPr>
          <w:p>
            <w:pPr>
              <w:ind w:left="780"/>
              <w:spacing w:after="0"/>
              <w:rPr>
                <w:sz w:val="20"/>
                <w:szCs w:val="20"/>
                <w:color w:val="auto"/>
              </w:rPr>
            </w:pPr>
            <w:r>
              <w:rPr>
                <w:rFonts w:ascii="Arial" w:cs="Arial" w:eastAsia="Arial" w:hAnsi="Arial"/>
                <w:sz w:val="16"/>
                <w:szCs w:val="16"/>
                <w:color w:val="auto"/>
              </w:rPr>
              <w:t>Total shareholders’ equity</w:t>
            </w:r>
          </w:p>
        </w:tc>
        <w:tc>
          <w:tcPr>
            <w:tcW w:w="1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256,914</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233,484</w:t>
            </w:r>
          </w:p>
        </w:tc>
        <w:tc>
          <w:tcPr>
            <w:tcW w:w="0" w:type="dxa"/>
            <w:vAlign w:val="bottom"/>
          </w:tcPr>
          <w:p>
            <w:pPr>
              <w:spacing w:after="0"/>
              <w:rPr>
                <w:sz w:val="1"/>
                <w:szCs w:val="1"/>
                <w:color w:val="auto"/>
              </w:rPr>
            </w:pPr>
          </w:p>
        </w:tc>
      </w:tr>
      <w:tr>
        <w:trPr>
          <w:trHeight w:val="235"/>
        </w:trPr>
        <w:tc>
          <w:tcPr>
            <w:tcW w:w="820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6"/>
                <w:szCs w:val="16"/>
                <w:color w:val="auto"/>
              </w:rPr>
              <w:t>Total liabilities and shareholders’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446,005</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389,328</w:t>
            </w:r>
          </w:p>
        </w:tc>
        <w:tc>
          <w:tcPr>
            <w:tcW w:w="0" w:type="dxa"/>
            <w:vAlign w:val="bottom"/>
          </w:tcPr>
          <w:p>
            <w:pPr>
              <w:spacing w:after="0"/>
              <w:rPr>
                <w:sz w:val="1"/>
                <w:szCs w:val="1"/>
                <w:color w:val="auto"/>
              </w:rPr>
            </w:pP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00"/>
          </w:cols>
          <w:pgMar w:left="340" w:top="1046" w:right="35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HAWKINS,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0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000" w:type="dxa"/>
            <w:vAlign w:val="bottom"/>
            <w:tcBorders>
              <w:bottom w:val="single" w:sz="8" w:color="auto"/>
            </w:tcBorders>
            <w:gridSpan w:val="4"/>
          </w:tcPr>
          <w:p>
            <w:pPr>
              <w:jc w:val="right"/>
              <w:ind w:right="759"/>
              <w:spacing w:after="0"/>
              <w:rPr>
                <w:sz w:val="20"/>
                <w:szCs w:val="20"/>
                <w:color w:val="auto"/>
              </w:rPr>
            </w:pPr>
            <w:r>
              <w:rPr>
                <w:rFonts w:ascii="Arial" w:cs="Arial" w:eastAsia="Arial" w:hAnsi="Arial"/>
                <w:sz w:val="16"/>
                <w:szCs w:val="16"/>
                <w:b w:val="1"/>
                <w:bCs w:val="1"/>
                <w:color w:val="auto"/>
              </w:rPr>
              <w:t>Nine Months Ended</w:t>
            </w:r>
          </w:p>
        </w:tc>
      </w:tr>
      <w:tr>
        <w:trPr>
          <w:trHeight w:val="156"/>
        </w:trPr>
        <w:tc>
          <w:tcPr>
            <w:tcW w:w="8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gridSpan w:val="2"/>
          </w:tcPr>
          <w:p>
            <w:pPr>
              <w:ind w:left="80"/>
              <w:spacing w:after="0" w:line="155" w:lineRule="exact"/>
              <w:rPr>
                <w:sz w:val="20"/>
                <w:szCs w:val="20"/>
                <w:color w:val="auto"/>
              </w:rPr>
            </w:pPr>
            <w:r>
              <w:rPr>
                <w:rFonts w:ascii="Arial" w:cs="Arial" w:eastAsia="Arial" w:hAnsi="Arial"/>
                <w:sz w:val="16"/>
                <w:szCs w:val="16"/>
                <w:b w:val="1"/>
                <w:bCs w:val="1"/>
                <w:color w:val="auto"/>
              </w:rPr>
              <w:t>December 27,</w:t>
            </w:r>
          </w:p>
        </w:tc>
        <w:tc>
          <w:tcPr>
            <w:tcW w:w="160" w:type="dxa"/>
            <w:vAlign w:val="bottom"/>
          </w:tcPr>
          <w:p>
            <w:pPr>
              <w:spacing w:after="0"/>
              <w:rPr>
                <w:sz w:val="13"/>
                <w:szCs w:val="13"/>
                <w:color w:val="auto"/>
              </w:rPr>
            </w:pPr>
          </w:p>
        </w:tc>
        <w:tc>
          <w:tcPr>
            <w:tcW w:w="1320" w:type="dxa"/>
            <w:vAlign w:val="bottom"/>
          </w:tcPr>
          <w:p>
            <w:pPr>
              <w:jc w:val="right"/>
              <w:ind w:right="139"/>
              <w:spacing w:after="0" w:line="155" w:lineRule="exact"/>
              <w:rPr>
                <w:sz w:val="20"/>
                <w:szCs w:val="20"/>
                <w:color w:val="auto"/>
              </w:rPr>
            </w:pPr>
            <w:r>
              <w:rPr>
                <w:rFonts w:ascii="Arial" w:cs="Arial" w:eastAsia="Arial" w:hAnsi="Arial"/>
                <w:sz w:val="16"/>
                <w:szCs w:val="16"/>
                <w:b w:val="1"/>
                <w:bCs w:val="1"/>
                <w:color w:val="auto"/>
              </w:rPr>
              <w:t>December 29,</w:t>
            </w:r>
          </w:p>
        </w:tc>
      </w:tr>
      <w:tr>
        <w:trPr>
          <w:trHeight w:val="216"/>
        </w:trPr>
        <w:tc>
          <w:tcPr>
            <w:tcW w:w="80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2019</w:t>
            </w:r>
          </w:p>
        </w:tc>
      </w:tr>
      <w:tr>
        <w:trPr>
          <w:trHeight w:val="196"/>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16"/>
        </w:trPr>
        <w:tc>
          <w:tcPr>
            <w:tcW w:w="8060" w:type="dxa"/>
            <w:vAlign w:val="bottom"/>
          </w:tcPr>
          <w:p>
            <w:pPr>
              <w:ind w:left="360"/>
              <w:spacing w:after="0"/>
              <w:rPr>
                <w:sz w:val="20"/>
                <w:szCs w:val="20"/>
                <w:color w:val="auto"/>
              </w:rPr>
            </w:pPr>
            <w:r>
              <w:rPr>
                <w:rFonts w:ascii="Arial" w:cs="Arial" w:eastAsia="Arial" w:hAnsi="Arial"/>
                <w:sz w:val="16"/>
                <w:szCs w:val="16"/>
                <w:color w:val="auto"/>
              </w:rPr>
              <w:t>Net income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31,899</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23,604</w:t>
            </w:r>
          </w:p>
        </w:tc>
      </w:tr>
      <w:tr>
        <w:trPr>
          <w:trHeight w:val="216"/>
        </w:trPr>
        <w:tc>
          <w:tcPr>
            <w:tcW w:w="8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Reconciliation to cash flows: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6"/>
        </w:trPr>
        <w:tc>
          <w:tcPr>
            <w:tcW w:w="8060" w:type="dxa"/>
            <w:vAlign w:val="bottom"/>
          </w:tcPr>
          <w:p>
            <w:pPr>
              <w:ind w:left="680"/>
              <w:spacing w:after="0"/>
              <w:rPr>
                <w:sz w:val="20"/>
                <w:szCs w:val="20"/>
                <w:color w:val="auto"/>
              </w:rPr>
            </w:pPr>
            <w:r>
              <w:rPr>
                <w:rFonts w:ascii="Arial" w:cs="Arial" w:eastAsia="Arial" w:hAnsi="Arial"/>
                <w:sz w:val="16"/>
                <w:szCs w:val="16"/>
                <w:color w:val="auto"/>
              </w:rPr>
              <w:t>Depreciation and amortization</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16,735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16,181</w:t>
            </w:r>
          </w:p>
        </w:tc>
      </w:tr>
      <w:tr>
        <w:trPr>
          <w:trHeight w:val="216"/>
        </w:trPr>
        <w:tc>
          <w:tcPr>
            <w:tcW w:w="80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Operating leases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1,538</w:t>
            </w:r>
          </w:p>
        </w:tc>
      </w:tr>
      <w:tr>
        <w:trPr>
          <w:trHeight w:val="216"/>
        </w:trPr>
        <w:tc>
          <w:tcPr>
            <w:tcW w:w="8060" w:type="dxa"/>
            <w:vAlign w:val="bottom"/>
          </w:tcPr>
          <w:p>
            <w:pPr>
              <w:ind w:left="680"/>
              <w:spacing w:after="0"/>
              <w:rPr>
                <w:sz w:val="20"/>
                <w:szCs w:val="20"/>
                <w:color w:val="auto"/>
              </w:rPr>
            </w:pPr>
            <w:r>
              <w:rPr>
                <w:rFonts w:ascii="Arial" w:cs="Arial" w:eastAsia="Arial" w:hAnsi="Arial"/>
                <w:sz w:val="16"/>
                <w:szCs w:val="16"/>
                <w:color w:val="auto"/>
              </w:rPr>
              <w:t>Gain on deferred compensation assets</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(1,282)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(274)</w:t>
            </w:r>
          </w:p>
        </w:tc>
      </w:tr>
      <w:tr>
        <w:trPr>
          <w:trHeight w:val="216"/>
        </w:trPr>
        <w:tc>
          <w:tcPr>
            <w:tcW w:w="80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Stock compensation expense</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1,830</w:t>
            </w:r>
          </w:p>
        </w:tc>
      </w:tr>
      <w:tr>
        <w:trPr>
          <w:trHeight w:val="216"/>
        </w:trPr>
        <w:tc>
          <w:tcPr>
            <w:tcW w:w="8060" w:type="dxa"/>
            <w:vAlign w:val="bottom"/>
          </w:tcPr>
          <w:p>
            <w:pPr>
              <w:ind w:left="680"/>
              <w:spacing w:after="0"/>
              <w:rPr>
                <w:sz w:val="20"/>
                <w:szCs w:val="20"/>
                <w:color w:val="auto"/>
              </w:rPr>
            </w:pPr>
            <w:r>
              <w:rPr>
                <w:rFonts w:ascii="Arial" w:cs="Arial" w:eastAsia="Arial" w:hAnsi="Arial"/>
                <w:sz w:val="16"/>
                <w:szCs w:val="16"/>
                <w:color w:val="auto"/>
              </w:rPr>
              <w:t>Other</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170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(42)</w:t>
            </w:r>
          </w:p>
        </w:tc>
      </w:tr>
      <w:tr>
        <w:trPr>
          <w:trHeight w:val="216"/>
        </w:trPr>
        <w:tc>
          <w:tcPr>
            <w:tcW w:w="80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Changes in operating accounts providing (using) cash:</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6"/>
        </w:trPr>
        <w:tc>
          <w:tcPr>
            <w:tcW w:w="8060" w:type="dxa"/>
            <w:vAlign w:val="bottom"/>
          </w:tcPr>
          <w:p>
            <w:pPr>
              <w:ind w:left="1120"/>
              <w:spacing w:after="0"/>
              <w:rPr>
                <w:sz w:val="20"/>
                <w:szCs w:val="20"/>
                <w:color w:val="auto"/>
              </w:rPr>
            </w:pPr>
            <w:r>
              <w:rPr>
                <w:rFonts w:ascii="Arial" w:cs="Arial" w:eastAsia="Arial" w:hAnsi="Arial"/>
                <w:sz w:val="16"/>
                <w:szCs w:val="16"/>
                <w:color w:val="auto"/>
              </w:rPr>
              <w:t>Trade receivables</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(8,121)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8,035</w:t>
            </w:r>
          </w:p>
        </w:tc>
      </w:tr>
      <w:tr>
        <w:trPr>
          <w:trHeight w:val="216"/>
        </w:trPr>
        <w:tc>
          <w:tcPr>
            <w:tcW w:w="806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Inventories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(9,431)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2,940</w:t>
            </w:r>
          </w:p>
        </w:tc>
      </w:tr>
      <w:tr>
        <w:trPr>
          <w:trHeight w:val="216"/>
        </w:trPr>
        <w:tc>
          <w:tcPr>
            <w:tcW w:w="8060" w:type="dxa"/>
            <w:vAlign w:val="bottom"/>
          </w:tcPr>
          <w:p>
            <w:pPr>
              <w:ind w:left="1120"/>
              <w:spacing w:after="0"/>
              <w:rPr>
                <w:sz w:val="20"/>
                <w:szCs w:val="20"/>
                <w:color w:val="auto"/>
              </w:rPr>
            </w:pPr>
            <w:r>
              <w:rPr>
                <w:rFonts w:ascii="Arial" w:cs="Arial" w:eastAsia="Arial" w:hAnsi="Arial"/>
                <w:sz w:val="16"/>
                <w:szCs w:val="16"/>
                <w:color w:val="auto"/>
              </w:rPr>
              <w:t>Accounts payable</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(3,569)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(2,469)</w:t>
            </w:r>
          </w:p>
        </w:tc>
      </w:tr>
      <w:tr>
        <w:trPr>
          <w:trHeight w:val="216"/>
        </w:trPr>
        <w:tc>
          <w:tcPr>
            <w:tcW w:w="806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Accrued liabilities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(3,148)</w:t>
            </w:r>
          </w:p>
        </w:tc>
      </w:tr>
      <w:tr>
        <w:trPr>
          <w:trHeight w:val="216"/>
        </w:trPr>
        <w:tc>
          <w:tcPr>
            <w:tcW w:w="8060" w:type="dxa"/>
            <w:vAlign w:val="bottom"/>
          </w:tcPr>
          <w:p>
            <w:pPr>
              <w:ind w:left="1120"/>
              <w:spacing w:after="0"/>
              <w:rPr>
                <w:sz w:val="20"/>
                <w:szCs w:val="20"/>
                <w:color w:val="auto"/>
              </w:rPr>
            </w:pPr>
            <w:r>
              <w:rPr>
                <w:rFonts w:ascii="Arial" w:cs="Arial" w:eastAsia="Arial" w:hAnsi="Arial"/>
                <w:sz w:val="16"/>
                <w:szCs w:val="16"/>
                <w:color w:val="auto"/>
              </w:rPr>
              <w:t>Lease liabilities</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(1,363)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(1,565)</w:t>
            </w:r>
          </w:p>
        </w:tc>
      </w:tr>
      <w:tr>
        <w:trPr>
          <w:trHeight w:val="216"/>
        </w:trPr>
        <w:tc>
          <w:tcPr>
            <w:tcW w:w="806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Income taxes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r>
      <w:tr>
        <w:trPr>
          <w:trHeight w:val="216"/>
        </w:trPr>
        <w:tc>
          <w:tcPr>
            <w:tcW w:w="8060" w:type="dxa"/>
            <w:vAlign w:val="bottom"/>
            <w:tcBorders>
              <w:bottom w:val="single" w:sz="8" w:color="CCEEFF"/>
            </w:tcBorders>
          </w:tcPr>
          <w:p>
            <w:pPr>
              <w:ind w:left="112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(2,308)</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(1,557)</w:t>
            </w:r>
          </w:p>
        </w:tc>
      </w:tr>
      <w:tr>
        <w:trPr>
          <w:trHeight w:val="209"/>
        </w:trPr>
        <w:tc>
          <w:tcPr>
            <w:tcW w:w="8060" w:type="dxa"/>
            <w:vAlign w:val="bottom"/>
            <w:shd w:val="clear" w:color="auto" w:fill="CCEEFF"/>
          </w:tcPr>
          <w:p>
            <w:pPr>
              <w:ind w:left="1440"/>
              <w:spacing w:after="0"/>
              <w:rPr>
                <w:sz w:val="20"/>
                <w:szCs w:val="20"/>
                <w:color w:val="auto"/>
              </w:rPr>
            </w:pPr>
            <w:r>
              <w:rPr>
                <w:rFonts w:ascii="Arial" w:cs="Arial" w:eastAsia="Arial" w:hAnsi="Arial"/>
                <w:sz w:val="16"/>
                <w:szCs w:val="16"/>
                <w:color w:val="auto"/>
              </w:rPr>
              <w:t>Net cash provided by operating activities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26,606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44,991</w:t>
            </w:r>
          </w:p>
        </w:tc>
      </w:tr>
      <w:tr>
        <w:trPr>
          <w:trHeight w:val="216"/>
        </w:trPr>
        <w:tc>
          <w:tcPr>
            <w:tcW w:w="8060" w:type="dxa"/>
            <w:vAlign w:val="bottom"/>
          </w:tcPr>
          <w:p>
            <w:pPr>
              <w:ind w:left="20"/>
              <w:spacing w:after="0"/>
              <w:rPr>
                <w:sz w:val="20"/>
                <w:szCs w:val="20"/>
                <w:color w:val="auto"/>
              </w:rPr>
            </w:pPr>
            <w:r>
              <w:rPr>
                <w:rFonts w:ascii="Arial" w:cs="Arial" w:eastAsia="Arial" w:hAnsi="Arial"/>
                <w:sz w:val="16"/>
                <w:szCs w:val="16"/>
                <w:color w:val="auto"/>
              </w:rPr>
              <w:t>CASH FLOWS FROM INVESTING ACTIVITIES:</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8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Purchases of property, plant, and equipment</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(19,426)</w:t>
            </w:r>
          </w:p>
        </w:tc>
      </w:tr>
      <w:tr>
        <w:trPr>
          <w:trHeight w:val="216"/>
        </w:trPr>
        <w:tc>
          <w:tcPr>
            <w:tcW w:w="8060" w:type="dxa"/>
            <w:vAlign w:val="bottom"/>
          </w:tcPr>
          <w:p>
            <w:pPr>
              <w:ind w:left="360"/>
              <w:spacing w:after="0"/>
              <w:rPr>
                <w:sz w:val="20"/>
                <w:szCs w:val="20"/>
                <w:color w:val="auto"/>
              </w:rPr>
            </w:pPr>
            <w:r>
              <w:rPr>
                <w:rFonts w:ascii="Arial" w:cs="Arial" w:eastAsia="Arial" w:hAnsi="Arial"/>
                <w:sz w:val="16"/>
                <w:szCs w:val="16"/>
                <w:color w:val="auto"/>
              </w:rPr>
              <w:t>Acquisitions, net of cash acquired</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(35,017)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8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326</w:t>
            </w:r>
          </w:p>
        </w:tc>
      </w:tr>
      <w:tr>
        <w:trPr>
          <w:trHeight w:val="210"/>
        </w:trPr>
        <w:tc>
          <w:tcPr>
            <w:tcW w:w="8060" w:type="dxa"/>
            <w:vAlign w:val="bottom"/>
          </w:tcPr>
          <w:p>
            <w:pPr>
              <w:ind w:left="1440"/>
              <w:spacing w:after="0"/>
              <w:rPr>
                <w:sz w:val="20"/>
                <w:szCs w:val="20"/>
                <w:color w:val="auto"/>
              </w:rPr>
            </w:pPr>
            <w:r>
              <w:rPr>
                <w:rFonts w:ascii="Arial" w:cs="Arial" w:eastAsia="Arial" w:hAnsi="Arial"/>
                <w:sz w:val="16"/>
                <w:szCs w:val="16"/>
                <w:color w:val="auto"/>
              </w:rPr>
              <w:t>Net cash used in investing activities</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(48,063)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(19,100)</w:t>
            </w:r>
          </w:p>
        </w:tc>
      </w:tr>
      <w:tr>
        <w:trPr>
          <w:trHeight w:val="216"/>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FINANCING ACTIVITIES: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6"/>
        </w:trPr>
        <w:tc>
          <w:tcPr>
            <w:tcW w:w="8060" w:type="dxa"/>
            <w:vAlign w:val="bottom"/>
          </w:tcPr>
          <w:p>
            <w:pPr>
              <w:ind w:left="360"/>
              <w:spacing w:after="0"/>
              <w:rPr>
                <w:sz w:val="20"/>
                <w:szCs w:val="20"/>
                <w:color w:val="auto"/>
              </w:rPr>
            </w:pPr>
            <w:r>
              <w:rPr>
                <w:rFonts w:ascii="Arial" w:cs="Arial" w:eastAsia="Arial" w:hAnsi="Arial"/>
                <w:sz w:val="16"/>
                <w:szCs w:val="16"/>
                <w:color w:val="auto"/>
              </w:rPr>
              <w:t>Cash dividends declared and paid</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(7,430)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(7,350)</w:t>
            </w:r>
          </w:p>
        </w:tc>
      </w:tr>
      <w:tr>
        <w:trPr>
          <w:trHeight w:val="216"/>
        </w:trPr>
        <w:tc>
          <w:tcPr>
            <w:tcW w:w="8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New shares issued</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661</w:t>
            </w:r>
          </w:p>
        </w:tc>
      </w:tr>
      <w:tr>
        <w:trPr>
          <w:trHeight w:val="216"/>
        </w:trPr>
        <w:tc>
          <w:tcPr>
            <w:tcW w:w="8060" w:type="dxa"/>
            <w:vAlign w:val="bottom"/>
          </w:tcPr>
          <w:p>
            <w:pPr>
              <w:ind w:left="360"/>
              <w:spacing w:after="0"/>
              <w:rPr>
                <w:sz w:val="20"/>
                <w:szCs w:val="20"/>
                <w:color w:val="auto"/>
              </w:rPr>
            </w:pPr>
            <w:r>
              <w:rPr>
                <w:rFonts w:ascii="Arial" w:cs="Arial" w:eastAsia="Arial" w:hAnsi="Arial"/>
                <w:sz w:val="16"/>
                <w:szCs w:val="16"/>
                <w:color w:val="auto"/>
              </w:rPr>
              <w:t>Shares surrendered for payroll taxes</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(343)</w:t>
            </w:r>
          </w:p>
        </w:tc>
      </w:tr>
      <w:tr>
        <w:trPr>
          <w:trHeight w:val="216"/>
        </w:trPr>
        <w:tc>
          <w:tcPr>
            <w:tcW w:w="8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Shares repurchased</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(3,793)</w:t>
            </w:r>
          </w:p>
        </w:tc>
      </w:tr>
      <w:tr>
        <w:trPr>
          <w:trHeight w:val="216"/>
        </w:trPr>
        <w:tc>
          <w:tcPr>
            <w:tcW w:w="80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Net proceeds from (payments on) revolving loan</w:t>
            </w: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36,000</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(17,000)</w:t>
            </w:r>
          </w:p>
        </w:tc>
      </w:tr>
      <w:tr>
        <w:trPr>
          <w:trHeight w:val="210"/>
        </w:trPr>
        <w:tc>
          <w:tcPr>
            <w:tcW w:w="8060" w:type="dxa"/>
            <w:vAlign w:val="bottom"/>
            <w:shd w:val="clear" w:color="auto" w:fill="CCEEFF"/>
          </w:tcPr>
          <w:p>
            <w:pPr>
              <w:ind w:left="1440"/>
              <w:spacing w:after="0"/>
              <w:rPr>
                <w:sz w:val="20"/>
                <w:szCs w:val="20"/>
                <w:color w:val="auto"/>
              </w:rPr>
            </w:pPr>
            <w:r>
              <w:rPr>
                <w:rFonts w:ascii="Arial" w:cs="Arial" w:eastAsia="Arial" w:hAnsi="Arial"/>
                <w:sz w:val="16"/>
                <w:szCs w:val="16"/>
                <w:color w:val="auto"/>
              </w:rPr>
              <w:t>Net cash provided by (used in) financing activities</w:t>
            </w: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25,149</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(27,825)</w:t>
            </w:r>
          </w:p>
        </w:tc>
      </w:tr>
      <w:tr>
        <w:trPr>
          <w:trHeight w:val="210"/>
        </w:trPr>
        <w:tc>
          <w:tcPr>
            <w:tcW w:w="8060" w:type="dxa"/>
            <w:vAlign w:val="bottom"/>
          </w:tcPr>
          <w:p>
            <w:pPr>
              <w:ind w:left="20"/>
              <w:spacing w:after="0"/>
              <w:rPr>
                <w:sz w:val="20"/>
                <w:szCs w:val="20"/>
                <w:color w:val="auto"/>
              </w:rPr>
            </w:pPr>
            <w:r>
              <w:rPr>
                <w:rFonts w:ascii="Arial" w:cs="Arial" w:eastAsia="Arial" w:hAnsi="Arial"/>
                <w:sz w:val="16"/>
                <w:szCs w:val="16"/>
                <w:color w:val="auto"/>
              </w:rPr>
              <w:t>NET INCREASE (DECREASE) IN CASH AND CASH EQUIVALENTS</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3,692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(1,934)</w:t>
            </w:r>
          </w:p>
        </w:tc>
      </w:tr>
      <w:tr>
        <w:trPr>
          <w:trHeight w:val="216"/>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BEGINNING OF PERIOD</w:t>
            </w: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4,277</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9,199</w:t>
            </w:r>
          </w:p>
        </w:tc>
      </w:tr>
      <w:tr>
        <w:trPr>
          <w:trHeight w:val="210"/>
        </w:trPr>
        <w:tc>
          <w:tcPr>
            <w:tcW w:w="8060" w:type="dxa"/>
            <w:vAlign w:val="bottom"/>
          </w:tcPr>
          <w:p>
            <w:pPr>
              <w:ind w:left="20"/>
              <w:spacing w:after="0"/>
              <w:rPr>
                <w:sz w:val="20"/>
                <w:szCs w:val="20"/>
                <w:color w:val="auto"/>
              </w:rPr>
            </w:pPr>
            <w:r>
              <w:rPr>
                <w:rFonts w:ascii="Arial" w:cs="Arial" w:eastAsia="Arial" w:hAnsi="Arial"/>
                <w:sz w:val="16"/>
                <w:szCs w:val="16"/>
                <w:color w:val="auto"/>
              </w:rPr>
              <w:t>CASH AND CASH EQUIVALENTS, END OF PERIOD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7,969</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7,265</w:t>
            </w: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83"/>
        </w:trPr>
        <w:tc>
          <w:tcPr>
            <w:tcW w:w="80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216"/>
        </w:trPr>
        <w:tc>
          <w:tcPr>
            <w:tcW w:w="8060" w:type="dxa"/>
            <w:vAlign w:val="bottom"/>
          </w:tcPr>
          <w:p>
            <w:pPr>
              <w:ind w:left="20"/>
              <w:spacing w:after="0"/>
              <w:rPr>
                <w:sz w:val="20"/>
                <w:szCs w:val="20"/>
                <w:color w:val="auto"/>
              </w:rPr>
            </w:pPr>
            <w:r>
              <w:rPr>
                <w:rFonts w:ascii="Arial" w:cs="Arial" w:eastAsia="Arial" w:hAnsi="Arial"/>
                <w:sz w:val="16"/>
                <w:szCs w:val="16"/>
                <w:color w:val="auto"/>
              </w:rPr>
              <w:t>SUPPLEMENTAL DISCLOSURES OF CASH FLOW INFORMATION</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8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paid for income taxes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12,345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8,653</w:t>
            </w:r>
          </w:p>
        </w:tc>
      </w:tr>
      <w:tr>
        <w:trPr>
          <w:trHeight w:val="216"/>
        </w:trPr>
        <w:tc>
          <w:tcPr>
            <w:tcW w:w="8060" w:type="dxa"/>
            <w:vAlign w:val="bottom"/>
          </w:tcPr>
          <w:p>
            <w:pPr>
              <w:ind w:left="360"/>
              <w:spacing w:after="0"/>
              <w:rPr>
                <w:sz w:val="20"/>
                <w:szCs w:val="20"/>
                <w:color w:val="auto"/>
              </w:rPr>
            </w:pPr>
            <w:r>
              <w:rPr>
                <w:rFonts w:ascii="Arial" w:cs="Arial" w:eastAsia="Arial" w:hAnsi="Arial"/>
                <w:sz w:val="16"/>
                <w:szCs w:val="16"/>
                <w:color w:val="auto"/>
              </w:rPr>
              <w:t>Cash paid for interest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893</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1,960</w:t>
            </w:r>
          </w:p>
        </w:tc>
      </w:tr>
      <w:tr>
        <w:trPr>
          <w:trHeight w:val="216"/>
        </w:trPr>
        <w:tc>
          <w:tcPr>
            <w:tcW w:w="8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Noncash investing activities - capital expenditures in accounts payable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w:t>
            </w:r>
          </w:p>
        </w:tc>
      </w:tr>
    </w:tbl>
    <w:p>
      <w:pPr>
        <w:sectPr>
          <w:pgSz w:w="11900" w:h="16838" w:orient="portrait"/>
          <w:cols w:equalWidth="0" w:num="1">
            <w:col w:w="11240"/>
          </w:cols>
          <w:pgMar w:left="320" w:top="884" w:right="339" w:bottom="1440" w:gutter="0" w:footer="0" w:header="0"/>
        </w:sectPr>
      </w:pPr>
    </w:p>
    <w:bookmarkStart w:id="9" w:name="page10"/>
    <w:bookmarkEnd w:id="9"/>
    <w:p>
      <w:pPr>
        <w:spacing w:after="0" w:line="252" w:lineRule="auto"/>
        <w:rPr>
          <w:sz w:val="20"/>
          <w:szCs w:val="20"/>
          <w:color w:val="auto"/>
        </w:rPr>
      </w:pPr>
      <w:r>
        <w:rPr>
          <w:rFonts w:ascii="Arial" w:cs="Arial" w:eastAsia="Arial" w:hAnsi="Arial"/>
          <w:sz w:val="18"/>
          <w:szCs w:val="18"/>
          <w:u w:val="single" w:color="auto"/>
          <w:color w:val="auto"/>
        </w:rPr>
        <w:t>Forward-Looking Statements</w:t>
      </w:r>
      <w:r>
        <w:rPr>
          <w:rFonts w:ascii="Arial" w:cs="Arial" w:eastAsia="Arial" w:hAnsi="Arial"/>
          <w:sz w:val="18"/>
          <w:szCs w:val="18"/>
          <w:color w:val="auto"/>
        </w:rPr>
        <w:t>. Various remarks in this press release constitute forward-looking statements within the meaning of Section 27A of the Securities Act of 1933, as amended, and Section 21E of the Securities Exchange Act of 1934, as amended. These statements include those relating to impact and duration of wage pressures, the levels of investment and the impact of investments on our business operations and financial condition, the timing of new Water Treatment branch investments, and the duration and impact of product shortages. These statements are not historical facts, but rather are based on our current expectations, estimates and projections, and our beliefs and assumptions. Forward-looking statements may be identified by terms, including “anticipate,” “believe,” “can,” “could,” “expect,” “intend,” “may,” “predict,” “should,” or “will” or the negative of these terms or other comparable terms. These statements are not guarantees of future performance and are subject to certain risks, uncertainties and other factors, some of which are beyond our control and are difficult to predict. Actual results may vary materially from those contained in forward looking statements based on a number of factors, including, but not limited to, the impact and severity of the COVID-19 outbreak, changes in the labor markets, our available cash for investments, our business capital needs, changes in competition and price pressure, changes in demand and customer requirements or processes for our products, interruptions in production resulting from hazards, transportation limitations or other extraordinary events outside our control that may negatively impact our business or the supply chains in which we participate, our ability to locate suitable real estate for new branch additions, changes in imported products and tariff levels, the availability of products and the prices at which they are available, the acceptance of new products by our customers and the timing of any such acceptance, and changes in product supplies. Additional information concerning potential factors that could affect future financial results is included in our Annual Report on Form 10-K for the fiscal year ended March 29, 2020, as updated from time to time in amendments and subsequent reports filed with the SEC. Investors should take such risks into account when making investment decisions. Shareholders and other readers are cautioned not to place undue reliance on forward-looking statements, which reflect our management’s view only as of the date hereof. We do not undertake any obligation to update any forward-looking statements.</w:t>
      </w:r>
    </w:p>
    <w:p>
      <w:pPr>
        <w:spacing w:after="0" w:line="216"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Contacts:</w:t>
        <w:tab/>
        <w:t>Jeffrey P. Oldenkamp</w:t>
      </w:r>
    </w:p>
    <w:p>
      <w:pPr>
        <w:spacing w:after="0" w:line="1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Executive Vice President and Chief Financial Officer</w:t>
      </w:r>
    </w:p>
    <w:p>
      <w:pPr>
        <w:ind w:left="1300"/>
        <w:spacing w:after="0" w:line="234" w:lineRule="auto"/>
        <w:rPr>
          <w:sz w:val="20"/>
          <w:szCs w:val="20"/>
          <w:color w:val="auto"/>
        </w:rPr>
      </w:pPr>
      <w:r>
        <w:rPr>
          <w:rFonts w:ascii="Arial" w:cs="Arial" w:eastAsia="Arial" w:hAnsi="Arial"/>
          <w:sz w:val="18"/>
          <w:szCs w:val="18"/>
          <w:color w:val="auto"/>
        </w:rPr>
        <w:t>612/617-8571</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auto"/>
        </w:rPr>
        <w:t>Jeff.Oldenkamp@HawkinsInc.com</w:t>
      </w:r>
    </w:p>
    <w:sectPr>
      <w:pgSz w:w="11900" w:h="16838" w:orient="portrait"/>
      <w:cols w:equalWidth="0" w:num="1">
        <w:col w:w="11240"/>
      </w:cols>
      <w:pgMar w:left="320" w:top="88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2021-01-28T15:11:28Z</dcterms:created>
  <dcterms:modified xsi:type="dcterms:W3CDTF">2021-01-28T15:11:28Z</dcterms:modified>
</cp:coreProperties>
</file>