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0"/>
              </w:rPr>
              <w:t>Minnesota</w:t>
            </w:r>
          </w:p>
        </w:tc>
        <w:tc>
          <w:tcPr>
            <w:tcW w:w="3340" w:type="dxa"/>
            <w:vAlign w:val="bottom"/>
          </w:tcPr>
          <w:p>
            <w:pPr>
              <w:jc w:val="right"/>
              <w:ind w:right="1301"/>
              <w:spacing w:after="0"/>
              <w:rPr>
                <w:sz w:val="20"/>
                <w:szCs w:val="20"/>
                <w:color w:val="auto"/>
              </w:rPr>
            </w:pPr>
            <w:r>
              <w:rPr>
                <w:rFonts w:ascii="Arial" w:cs="Arial" w:eastAsia="Arial" w:hAnsi="Arial"/>
                <w:sz w:val="22"/>
                <w:szCs w:val="22"/>
                <w:b w:val="1"/>
                <w:bCs w:val="1"/>
                <w:color w:val="auto"/>
              </w:rPr>
              <w:t>0-7647</w:t>
            </w:r>
          </w:p>
        </w:tc>
        <w:tc>
          <w:tcPr>
            <w:tcW w:w="2800" w:type="dxa"/>
            <w:vAlign w:val="bottom"/>
          </w:tcPr>
          <w:p>
            <w:pPr>
              <w:jc w:val="right"/>
              <w:ind w:right="61"/>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(State of Incorporation)</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00" w:type="dxa"/>
            <w:vAlign w:val="bottom"/>
          </w:tcPr>
          <w:p>
            <w:pPr>
              <w:jc w:val="center"/>
              <w:ind w:left="1341"/>
              <w:spacing w:after="0"/>
              <w:rPr>
                <w:sz w:val="20"/>
                <w:szCs w:val="20"/>
                <w:color w:val="auto"/>
              </w:rPr>
            </w:pPr>
            <w:r>
              <w:rPr>
                <w:rFonts w:ascii="Arial" w:cs="Arial" w:eastAsia="Arial" w:hAnsi="Arial"/>
                <w:sz w:val="18"/>
                <w:szCs w:val="18"/>
                <w:color w:val="auto"/>
                <w:w w:val="92"/>
              </w:rPr>
              <w:t>(IRS Employer</w:t>
            </w:r>
          </w:p>
        </w:tc>
      </w:tr>
      <w:tr>
        <w:trPr>
          <w:trHeight w:val="230"/>
        </w:trPr>
        <w:tc>
          <w:tcPr>
            <w:tcW w:w="3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0" w:type="dxa"/>
            <w:vAlign w:val="bottom"/>
          </w:tcPr>
          <w:p>
            <w:pPr>
              <w:jc w:val="center"/>
              <w:ind w:left="1361"/>
              <w:spacing w:after="0"/>
              <w:rPr>
                <w:sz w:val="20"/>
                <w:szCs w:val="20"/>
                <w:color w:val="auto"/>
              </w:rPr>
            </w:pPr>
            <w:r>
              <w:rPr>
                <w:rFonts w:ascii="Arial" w:cs="Arial" w:eastAsia="Arial" w:hAnsi="Arial"/>
                <w:sz w:val="18"/>
                <w:szCs w:val="18"/>
                <w:color w:val="auto"/>
                <w:w w:val="95"/>
              </w:rPr>
              <w:t>Identification No.)</w:t>
            </w:r>
          </w:p>
        </w:tc>
      </w:tr>
      <w:tr>
        <w:trPr>
          <w:trHeight w:val="459"/>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87"/>
              </w:rPr>
              <w:t>3100 East Hennepin Avenue</w:t>
            </w:r>
          </w:p>
        </w:tc>
        <w:tc>
          <w:tcPr>
            <w:tcW w:w="3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3"/>
              </w:rPr>
              <w:t>Minneapolis, MN</w:t>
            </w:r>
          </w:p>
        </w:tc>
        <w:tc>
          <w:tcPr>
            <w:tcW w:w="3340" w:type="dxa"/>
            <w:vAlign w:val="bottom"/>
          </w:tcPr>
          <w:p>
            <w:pPr>
              <w:spacing w:after="0"/>
              <w:rPr>
                <w:sz w:val="22"/>
                <w:szCs w:val="22"/>
                <w:color w:val="auto"/>
              </w:rPr>
            </w:pPr>
          </w:p>
        </w:tc>
        <w:tc>
          <w:tcPr>
            <w:tcW w:w="2800" w:type="dxa"/>
            <w:vAlign w:val="bottom"/>
          </w:tcPr>
          <w:p>
            <w:pPr>
              <w:jc w:val="right"/>
              <w:ind w:right="301"/>
              <w:spacing w:after="0"/>
              <w:rPr>
                <w:sz w:val="20"/>
                <w:szCs w:val="20"/>
                <w:color w:val="auto"/>
              </w:rPr>
            </w:pPr>
            <w:r>
              <w:rPr>
                <w:rFonts w:ascii="Arial" w:cs="Arial" w:eastAsia="Arial" w:hAnsi="Arial"/>
                <w:sz w:val="22"/>
                <w:szCs w:val="22"/>
                <w:b w:val="1"/>
                <w:bCs w:val="1"/>
                <w:color w:val="auto"/>
              </w:rPr>
              <w:t>55413</w:t>
            </w:r>
          </w:p>
        </w:tc>
      </w:tr>
      <w:tr>
        <w:trPr>
          <w:trHeight w:val="230"/>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2800" w:type="dxa"/>
            <w:vAlign w:val="bottom"/>
          </w:tcPr>
          <w:p>
            <w:pPr>
              <w:jc w:val="center"/>
              <w:ind w:left="1341"/>
              <w:spacing w:after="0"/>
              <w:rPr>
                <w:sz w:val="20"/>
                <w:szCs w:val="20"/>
                <w:color w:val="auto"/>
              </w:rPr>
            </w:pPr>
            <w:r>
              <w:rPr>
                <w:rFonts w:ascii="Arial" w:cs="Arial" w:eastAsia="Arial" w:hAnsi="Arial"/>
                <w:sz w:val="18"/>
                <w:szCs w:val="18"/>
                <w:color w:val="auto"/>
                <w:w w:val="94"/>
              </w:rPr>
              <w:t>(Zip Code)</w:t>
            </w:r>
          </w:p>
        </w:tc>
      </w:tr>
      <w:tr>
        <w:trPr>
          <w:trHeight w:val="523"/>
        </w:trPr>
        <w:tc>
          <w:tcPr>
            <w:tcW w:w="6940" w:type="dxa"/>
            <w:vAlign w:val="bottom"/>
            <w:gridSpan w:val="2"/>
          </w:tcPr>
          <w:p>
            <w:pPr>
              <w:ind w:left="220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61"/>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firstLine="91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1200" w:hanging="576"/>
        <w:spacing w:after="0"/>
        <w:tabs>
          <w:tab w:leader="none" w:pos="12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200" w:hanging="576"/>
        <w:spacing w:after="0"/>
        <w:tabs>
          <w:tab w:leader="none" w:pos="12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200" w:hanging="576"/>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68" w:lineRule="exact"/>
        <w:rPr>
          <w:sz w:val="24"/>
          <w:szCs w:val="24"/>
          <w:color w:val="auto"/>
        </w:rPr>
      </w:pPr>
    </w:p>
    <w:p>
      <w:pPr>
        <w:ind w:left="1240" w:hanging="584"/>
        <w:spacing w:after="0"/>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258445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361950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 2010, Hawkins, Inc. issued a press release announcing financial results for its fiscal year ended March 28, 2010. A copy of the press release issued by the Registrant is furnished herewith as Exhibit 99 hereto and is incorporated herein by reference.</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6" w:lineRule="exact"/>
        <w:rPr>
          <w:sz w:val="20"/>
          <w:szCs w:val="20"/>
          <w:color w:val="auto"/>
        </w:rPr>
      </w:pPr>
    </w:p>
    <w:p>
      <w:pPr>
        <w:ind w:left="1040" w:hanging="617"/>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Exhibit 99 - Press Release, dated June 1, 2010, announcing financial results of Hawkins, Inc. for its fiscal year ended March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1717040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40"/>
          </w:cols>
          <w:pgMar w:left="240" w:top="355" w:right="7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firstLine="85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7660" w:val="left"/>
          <w:tab w:leader="none" w:pos="8620" w:val="left"/>
        </w:tabs>
        <w:rPr>
          <w:sz w:val="20"/>
          <w:szCs w:val="20"/>
          <w:color w:val="auto"/>
        </w:rPr>
      </w:pPr>
      <w:r>
        <w:rPr>
          <w:rFonts w:ascii="Arial" w:cs="Arial" w:eastAsia="Arial" w:hAnsi="Arial"/>
          <w:sz w:val="18"/>
          <w:szCs w:val="18"/>
          <w:color w:val="auto"/>
        </w:rPr>
        <w:t>Date: June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14605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Kathleen P. Pepski</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Vice President, Chief Financial Officer,</w:t>
      </w:r>
    </w:p>
    <w:p>
      <w:pPr>
        <w:spacing w:after="0" w:line="2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2233295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Index to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3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320" w:type="dxa"/>
            <w:vAlign w:val="bottom"/>
          </w:tcPr>
          <w:p>
            <w:pPr>
              <w:spacing w:after="0"/>
              <w:rPr>
                <w:sz w:val="20"/>
                <w:szCs w:val="20"/>
                <w:color w:val="auto"/>
              </w:rPr>
            </w:pPr>
          </w:p>
        </w:tc>
        <w:tc>
          <w:tcPr>
            <w:tcW w:w="8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Description</w:t>
            </w:r>
          </w:p>
        </w:tc>
        <w:tc>
          <w:tcPr>
            <w:tcW w:w="2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5"/>
              </w:rPr>
              <w:t>Method of Filing</w:t>
            </w:r>
          </w:p>
        </w:tc>
        <w:tc>
          <w:tcPr>
            <w:tcW w:w="20" w:type="dxa"/>
            <w:vAlign w:val="bottom"/>
          </w:tcPr>
          <w:p>
            <w:pPr>
              <w:spacing w:after="0"/>
              <w:rPr>
                <w:sz w:val="20"/>
                <w:szCs w:val="20"/>
                <w:color w:val="auto"/>
              </w:rPr>
            </w:pPr>
          </w:p>
        </w:tc>
      </w:tr>
      <w:tr>
        <w:trPr>
          <w:trHeight w:val="445"/>
        </w:trPr>
        <w:tc>
          <w:tcPr>
            <w:tcW w:w="80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320" w:type="dxa"/>
            <w:vAlign w:val="bottom"/>
          </w:tcPr>
          <w:p>
            <w:pPr>
              <w:spacing w:after="0"/>
              <w:rPr>
                <w:sz w:val="24"/>
                <w:szCs w:val="24"/>
                <w:color w:val="auto"/>
              </w:rPr>
            </w:pPr>
          </w:p>
        </w:tc>
        <w:tc>
          <w:tcPr>
            <w:tcW w:w="8040" w:type="dxa"/>
            <w:vAlign w:val="bottom"/>
          </w:tcPr>
          <w:p>
            <w:pPr>
              <w:ind w:left="100"/>
              <w:spacing w:after="0"/>
              <w:rPr>
                <w:sz w:val="20"/>
                <w:szCs w:val="20"/>
                <w:color w:val="auto"/>
              </w:rPr>
            </w:pPr>
            <w:r>
              <w:rPr>
                <w:rFonts w:ascii="Arial" w:cs="Arial" w:eastAsia="Arial" w:hAnsi="Arial"/>
                <w:sz w:val="18"/>
                <w:szCs w:val="18"/>
                <w:color w:val="auto"/>
                <w:w w:val="94"/>
              </w:rPr>
              <w:t>Press Release, dated June 1, 2010, announcing financial results of Hawkins, Inc. for its fiscal year ended</w:t>
            </w:r>
          </w:p>
        </w:tc>
        <w:tc>
          <w:tcPr>
            <w:tcW w:w="2260" w:type="dxa"/>
            <w:vAlign w:val="bottom"/>
          </w:tcPr>
          <w:p>
            <w:pPr>
              <w:jc w:val="center"/>
              <w:ind w:left="230"/>
              <w:spacing w:after="0"/>
              <w:rPr>
                <w:sz w:val="20"/>
                <w:szCs w:val="20"/>
                <w:color w:val="auto"/>
              </w:rPr>
            </w:pPr>
            <w:r>
              <w:rPr>
                <w:rFonts w:ascii="Arial" w:cs="Arial" w:eastAsia="Arial" w:hAnsi="Arial"/>
                <w:sz w:val="18"/>
                <w:szCs w:val="18"/>
                <w:color w:val="auto"/>
                <w:w w:val="91"/>
              </w:rPr>
              <w:t>Electronic Transmission</w:t>
            </w:r>
          </w:p>
        </w:tc>
        <w:tc>
          <w:tcPr>
            <w:tcW w:w="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40" w:type="dxa"/>
            <w:vAlign w:val="bottom"/>
          </w:tcPr>
          <w:p>
            <w:pPr>
              <w:ind w:left="100"/>
              <w:spacing w:after="0"/>
              <w:rPr>
                <w:sz w:val="20"/>
                <w:szCs w:val="20"/>
                <w:color w:val="auto"/>
              </w:rPr>
            </w:pPr>
            <w:r>
              <w:rPr>
                <w:rFonts w:ascii="Arial" w:cs="Arial" w:eastAsia="Arial" w:hAnsi="Arial"/>
                <w:sz w:val="18"/>
                <w:szCs w:val="18"/>
                <w:color w:val="auto"/>
              </w:rPr>
              <w:t>March 28, 2010.</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06"/>
        </w:trPr>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Arial" w:cs="Arial" w:eastAsia="Arial" w:hAnsi="Arial"/>
                <w:sz w:val="22"/>
                <w:szCs w:val="22"/>
                <w:b w:val="1"/>
                <w:bCs w:val="1"/>
                <w:color w:val="auto"/>
              </w:rPr>
              <w:t>FOR IMMEDIATE RELEASE</w:t>
            </w:r>
          </w:p>
        </w:tc>
        <w:tc>
          <w:tcPr>
            <w:tcW w:w="7980" w:type="dxa"/>
            <w:vAlign w:val="bottom"/>
            <w:gridSpan w:val="3"/>
          </w:tcPr>
          <w:p>
            <w:pPr>
              <w:ind w:left="4380"/>
              <w:spacing w:after="0"/>
              <w:rPr>
                <w:sz w:val="20"/>
                <w:szCs w:val="20"/>
                <w:color w:val="auto"/>
              </w:rPr>
            </w:pPr>
            <w:r>
              <w:rPr>
                <w:rFonts w:ascii="Arial" w:cs="Arial" w:eastAsia="Arial" w:hAnsi="Arial"/>
                <w:sz w:val="18"/>
                <w:szCs w:val="18"/>
                <w:color w:val="auto"/>
                <w:w w:val="90"/>
              </w:rPr>
              <w:t>Contacts:John R. Hawkins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7820" w:type="dxa"/>
            <w:vAlign w:val="bottom"/>
            <w:gridSpan w:val="2"/>
          </w:tcPr>
          <w:p>
            <w:pPr>
              <w:ind w:left="5420"/>
              <w:spacing w:after="0"/>
              <w:rPr>
                <w:sz w:val="20"/>
                <w:szCs w:val="20"/>
                <w:color w:val="auto"/>
              </w:rPr>
            </w:pPr>
            <w:r>
              <w:rPr>
                <w:rFonts w:ascii="Arial" w:cs="Arial" w:eastAsia="Arial" w:hAnsi="Arial"/>
                <w:sz w:val="18"/>
                <w:szCs w:val="18"/>
                <w:color w:val="auto"/>
              </w:rPr>
              <w:t>612/617-8532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Arial" w:cs="Arial" w:eastAsia="Arial" w:hAnsi="Arial"/>
                <w:sz w:val="18"/>
                <w:szCs w:val="18"/>
                <w:color w:val="auto"/>
              </w:rPr>
              <w:t>June 1, 2010</w:t>
            </w:r>
          </w:p>
        </w:tc>
        <w:tc>
          <w:tcPr>
            <w:tcW w:w="5420" w:type="dxa"/>
            <w:vAlign w:val="bottom"/>
          </w:tcPr>
          <w:p>
            <w:pPr>
              <w:spacing w:after="0"/>
              <w:rPr>
                <w:sz w:val="16"/>
                <w:szCs w:val="16"/>
                <w:color w:val="auto"/>
              </w:rPr>
            </w:pP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w w:val="97"/>
              </w:rPr>
              <w:t>John.Hawkins@HawkinsInc.com</w:t>
            </w:r>
          </w:p>
        </w:tc>
        <w:tc>
          <w:tcPr>
            <w:tcW w:w="0" w:type="dxa"/>
            <w:vAlign w:val="bottom"/>
          </w:tcPr>
          <w:p>
            <w:pPr>
              <w:spacing w:after="0"/>
              <w:rPr>
                <w:sz w:val="1"/>
                <w:szCs w:val="1"/>
                <w:color w:val="auto"/>
              </w:rPr>
            </w:pPr>
          </w:p>
        </w:tc>
      </w:tr>
      <w:tr>
        <w:trPr>
          <w:trHeight w:val="101"/>
        </w:trPr>
        <w:tc>
          <w:tcPr>
            <w:tcW w:w="3160" w:type="dxa"/>
            <w:vAlign w:val="bottom"/>
            <w:vMerge w:val="continue"/>
          </w:tcPr>
          <w:p>
            <w:pPr>
              <w:spacing w:after="0"/>
              <w:rPr>
                <w:sz w:val="8"/>
                <w:szCs w:val="8"/>
                <w:color w:val="auto"/>
              </w:rPr>
            </w:pPr>
          </w:p>
        </w:tc>
        <w:tc>
          <w:tcPr>
            <w:tcW w:w="5420" w:type="dxa"/>
            <w:vAlign w:val="bottom"/>
          </w:tcPr>
          <w:p>
            <w:pPr>
              <w:spacing w:after="0"/>
              <w:rPr>
                <w:sz w:val="8"/>
                <w:szCs w:val="8"/>
                <w:color w:val="auto"/>
              </w:rPr>
            </w:pPr>
          </w:p>
        </w:tc>
        <w:tc>
          <w:tcPr>
            <w:tcW w:w="2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Hawkins, Inc.</w:t>
            </w:r>
          </w:p>
        </w:tc>
        <w:tc>
          <w:tcPr>
            <w:tcW w:w="5420" w:type="dxa"/>
            <w:vAlign w:val="bottom"/>
          </w:tcPr>
          <w:p>
            <w:pPr>
              <w:spacing w:after="0"/>
              <w:rPr>
                <w:sz w:val="18"/>
                <w:szCs w:val="1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Arial" w:cs="Arial" w:eastAsia="Arial" w:hAnsi="Arial"/>
                <w:sz w:val="18"/>
                <w:szCs w:val="18"/>
                <w:color w:val="auto"/>
              </w:rPr>
              <w:t>3100 East Hennepin Avenue</w:t>
            </w:r>
          </w:p>
        </w:tc>
        <w:tc>
          <w:tcPr>
            <w:tcW w:w="542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60" w:type="dxa"/>
            <w:vAlign w:val="bottom"/>
            <w:vMerge w:val="continue"/>
          </w:tcPr>
          <w:p>
            <w:pPr>
              <w:spacing w:after="0"/>
              <w:rPr>
                <w:sz w:val="5"/>
                <w:szCs w:val="5"/>
                <w:color w:val="auto"/>
              </w:rPr>
            </w:pPr>
          </w:p>
        </w:tc>
        <w:tc>
          <w:tcPr>
            <w:tcW w:w="5420" w:type="dxa"/>
            <w:vAlign w:val="bottom"/>
          </w:tcPr>
          <w:p>
            <w:pPr>
              <w:spacing w:after="0"/>
              <w:rPr>
                <w:sz w:val="5"/>
                <w:szCs w:val="5"/>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Arial" w:cs="Arial" w:eastAsia="Arial" w:hAnsi="Arial"/>
                <w:sz w:val="18"/>
                <w:szCs w:val="18"/>
                <w:color w:val="auto"/>
              </w:rPr>
              <w:t>Minneapolis, MN 55413</w:t>
            </w:r>
          </w:p>
        </w:tc>
        <w:tc>
          <w:tcPr>
            <w:tcW w:w="542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60" w:type="dxa"/>
            <w:vAlign w:val="bottom"/>
            <w:vMerge w:val="continue"/>
          </w:tcPr>
          <w:p>
            <w:pPr>
              <w:spacing w:after="0"/>
              <w:rPr>
                <w:sz w:val="7"/>
                <w:szCs w:val="7"/>
                <w:color w:val="auto"/>
              </w:rPr>
            </w:pPr>
          </w:p>
        </w:tc>
        <w:tc>
          <w:tcPr>
            <w:tcW w:w="7820" w:type="dxa"/>
            <w:vAlign w:val="bottom"/>
            <w:gridSpan w:val="2"/>
            <w:vMerge w:val="restart"/>
          </w:tcPr>
          <w:p>
            <w:pPr>
              <w:ind w:left="5420"/>
              <w:spacing w:after="0"/>
              <w:rPr>
                <w:sz w:val="20"/>
                <w:szCs w:val="20"/>
                <w:color w:val="auto"/>
              </w:rPr>
            </w:pPr>
            <w:r>
              <w:rPr>
                <w:rFonts w:ascii="Arial" w:cs="Arial" w:eastAsia="Arial" w:hAnsi="Arial"/>
                <w:sz w:val="18"/>
                <w:szCs w:val="18"/>
                <w:color w:val="auto"/>
              </w:rPr>
              <w:t>612/617-8571</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7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0" w:type="dxa"/>
            <w:vAlign w:val="bottom"/>
          </w:tcPr>
          <w:p>
            <w:pPr>
              <w:spacing w:after="0"/>
              <w:rPr>
                <w:sz w:val="1"/>
                <w:szCs w:val="1"/>
                <w:color w:val="auto"/>
              </w:rPr>
            </w:pPr>
          </w:p>
        </w:tc>
      </w:tr>
      <w:tr>
        <w:trPr>
          <w:trHeight w:val="479"/>
        </w:trPr>
        <w:tc>
          <w:tcPr>
            <w:tcW w:w="3160" w:type="dxa"/>
            <w:vAlign w:val="bottom"/>
          </w:tcPr>
          <w:p>
            <w:pPr>
              <w:spacing w:after="0"/>
              <w:rPr>
                <w:sz w:val="24"/>
                <w:szCs w:val="24"/>
                <w:color w:val="auto"/>
              </w:rPr>
            </w:pPr>
          </w:p>
        </w:tc>
        <w:tc>
          <w:tcPr>
            <w:tcW w:w="7980" w:type="dxa"/>
            <w:vAlign w:val="bottom"/>
            <w:gridSpan w:val="3"/>
          </w:tcPr>
          <w:p>
            <w:pPr>
              <w:jc w:val="center"/>
              <w:ind w:right="2960"/>
              <w:spacing w:after="0"/>
              <w:rPr>
                <w:sz w:val="20"/>
                <w:szCs w:val="20"/>
                <w:color w:val="auto"/>
              </w:rPr>
            </w:pPr>
            <w:r>
              <w:rPr>
                <w:rFonts w:ascii="Arial" w:cs="Arial" w:eastAsia="Arial" w:hAnsi="Arial"/>
                <w:sz w:val="22"/>
                <w:szCs w:val="22"/>
                <w:b w:val="1"/>
                <w:bCs w:val="1"/>
                <w:color w:val="auto"/>
                <w:w w:val="97"/>
              </w:rPr>
              <w:t>HAWKINS, INC. REPORTS</w:t>
            </w:r>
          </w:p>
        </w:tc>
        <w:tc>
          <w:tcPr>
            <w:tcW w:w="0" w:type="dxa"/>
            <w:vAlign w:val="bottom"/>
          </w:tcPr>
          <w:p>
            <w:pPr>
              <w:spacing w:after="0"/>
              <w:rPr>
                <w:sz w:val="1"/>
                <w:szCs w:val="1"/>
                <w:color w:val="auto"/>
              </w:rPr>
            </w:pPr>
          </w:p>
        </w:tc>
      </w:tr>
      <w:tr>
        <w:trPr>
          <w:trHeight w:val="281"/>
        </w:trPr>
        <w:tc>
          <w:tcPr>
            <w:tcW w:w="3160" w:type="dxa"/>
            <w:vAlign w:val="bottom"/>
          </w:tcPr>
          <w:p>
            <w:pPr>
              <w:spacing w:after="0"/>
              <w:rPr>
                <w:sz w:val="24"/>
                <w:szCs w:val="24"/>
                <w:color w:val="auto"/>
              </w:rPr>
            </w:pPr>
          </w:p>
        </w:tc>
        <w:tc>
          <w:tcPr>
            <w:tcW w:w="7980" w:type="dxa"/>
            <w:vAlign w:val="bottom"/>
            <w:gridSpan w:val="3"/>
          </w:tcPr>
          <w:p>
            <w:pPr>
              <w:jc w:val="center"/>
              <w:ind w:right="2960"/>
              <w:spacing w:after="0"/>
              <w:rPr>
                <w:sz w:val="20"/>
                <w:szCs w:val="20"/>
                <w:color w:val="auto"/>
              </w:rPr>
            </w:pPr>
            <w:r>
              <w:rPr>
                <w:rFonts w:ascii="Arial" w:cs="Arial" w:eastAsia="Arial" w:hAnsi="Arial"/>
                <w:sz w:val="22"/>
                <w:szCs w:val="22"/>
                <w:b w:val="1"/>
                <w:bCs w:val="1"/>
                <w:color w:val="auto"/>
                <w:w w:val="96"/>
              </w:rPr>
              <w:t>FOURTH QUARTER, FISCAL 2010 RESULTS</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Minneapolis, MN, June 1, 2010 – Hawkins, Inc. (Nasdaq: HWKN) today announced fourth quarter and full-year results for its fiscal year 2010 ended March 28, 2010. Sales of $257.1 million for fiscal 2010 represented a decrease of 9.6% from $284.4 million in sales for the prior fiscal year. Net income for fiscal 2010 was $23.8 million, or $2.32 per share, the same as fiscal 2009 levels. LIFO inventory adjustments positively impacted income from operations for fiscal 2010 by $12.6 million (approximately $7.6 million, or $0.74 per share, after tax), whereas LIFO inventory adjustments negatively impacted income from operations for fiscal 2009, by $10.0 million (approximately $6.2 million, or $0.61 per share, after tax).</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fourth quarter ended March 28, 2010, the Company reported sales of $57.9 million and net income of $5.5 million, or $0.54 per share, fully diluted, as compared to sales of $67.8 million and net income of $5.1 million, or $0.50 per share, fully diluted, for the same period in the prior year. LIFO inventory adjustments positively impacted income from operations for the quarter by $3.5 million (approximately $2.1 million, or $0.20 per share, after tax), whereas LIFO inventory adjustments negatively impacted results for the same period in the prior year by $3.0 million (approximately $2.0 million, or $0.19 per share, after tax).</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Chief Executive Officer, John R. Hawkins, commented, “We were able to match fiscal 2009 profitability levels due to continued growth in our Water Treatment business. The Water Treatment Group’s unique route sales business model, which provides a high level of service to our customers, has continued to serve as a growth engine for us. We intend to continue to invest to grow our market share in current and new territories for this group. The volatile market conditions of fiscal 2009 and fiscal 2010 negatively impacted our Industrial Group’s profitability comparison, but this group did an outstanding job of retaining business gained in fiscal 2009 and growing volumes in higher-margin specialty and manufactured products.”</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fiscal 2010, Industrial segment sales were $174.9 million, a decrease of 13.2% from fiscal 2009 sales of $201.6 million. The sales decrease was primarily attributable to lower selling prices for commodity bulk chemicals due to lower commodity chemical costs in fiscal 2010 compared to the prior year. This was partially offset by higher sales of manufactured and specialty chemical products. Water Treatment segment sales for fiscal 2010 were $82.2 million, a decrease of 0.7% from fiscal 2009 sales of $82.8 million. Increased sales of manufactured and specialty chemical products were offset by decreases in selling prices for commodity chemicals due to lower commodity chemical costs in fiscal 2010 compared to the prior year.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HAWKINS, INC. REPORTS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FOR FISCAL 2010</w:t>
      </w:r>
    </w:p>
    <w:p>
      <w:pPr>
        <w:spacing w:after="0"/>
        <w:rPr>
          <w:sz w:val="20"/>
          <w:szCs w:val="20"/>
          <w:color w:val="auto"/>
        </w:rPr>
      </w:pPr>
      <w:r>
        <w:rPr>
          <w:rFonts w:ascii="Arial" w:cs="Arial" w:eastAsia="Arial" w:hAnsi="Arial"/>
          <w:sz w:val="18"/>
          <w:szCs w:val="18"/>
          <w:color w:val="auto"/>
        </w:rPr>
        <w:t>June 1, 2010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Company-wide gross profit for fiscal 2010 was $64.4 million, or 25.1% of sales, compared to $62.4 million, or 22.0% of sales, for fiscal 2009. The increase in gross profit as a percentage of sales was primarily driven by our ability to maintain relatively stable margin dollars on lower selling prices compared to the prior year in addition to an increase in sales of higher margin manufactured and specialty chemical products and the LIFO reserve adjustments. Gross profit for the Industrial segment was $37.3 million, or 21.3% of sales, for fiscal 2010, as compared to $41.5 million, or 20.6% of sales, for fiscal 2009. Gross profit for the Water Treatment segment was $27.2 million, or 33.0% of sales, for fiscal 2010, as compared to $21.0 millio n, or 25.3% of sales, for fiscal 2009.</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SG&amp;A expenses increased by $0.5 million in fiscal 2010 as compared to fiscal 2009. The increase in SG&amp;A expenses was primarily the result of higher equity incentive plan, variable pay plan and medical insurance costs partially offset by lower bad debt expense.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41"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HAWKINS, INC. REPORTS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FOR FISCAL 2010</w:t>
      </w:r>
    </w:p>
    <w:p>
      <w:pPr>
        <w:spacing w:after="0"/>
        <w:rPr>
          <w:sz w:val="20"/>
          <w:szCs w:val="20"/>
          <w:color w:val="auto"/>
        </w:rPr>
      </w:pPr>
      <w:r>
        <w:rPr>
          <w:rFonts w:ascii="Arial" w:cs="Arial" w:eastAsia="Arial" w:hAnsi="Arial"/>
          <w:sz w:val="18"/>
          <w:szCs w:val="18"/>
          <w:color w:val="auto"/>
        </w:rPr>
        <w:t>June 1, 2010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March 28,</w:t>
            </w: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w w:val="99"/>
              </w:rPr>
              <w:t>March 29,</w:t>
            </w:r>
          </w:p>
        </w:tc>
        <w:tc>
          <w:tcPr>
            <w:tcW w:w="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28,</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March 29,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760" w:type="dxa"/>
            <w:vAlign w:val="bottom"/>
            <w:gridSpan w:val="2"/>
            <w:shd w:val="clear" w:color="auto" w:fill="D6F3E8"/>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57,910</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67,784</w:t>
            </w:r>
          </w:p>
        </w:tc>
        <w:tc>
          <w:tcPr>
            <w:tcW w:w="20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257,099</w:t>
            </w:r>
          </w:p>
        </w:tc>
        <w:tc>
          <w:tcPr>
            <w:tcW w:w="200" w:type="dxa"/>
            <w:vAlign w:val="bottom"/>
            <w:shd w:val="clear" w:color="auto" w:fill="D6F3E8"/>
          </w:tcPr>
          <w:p>
            <w:pPr>
              <w:spacing w:after="0"/>
              <w:rPr>
                <w:sz w:val="21"/>
                <w:szCs w:val="21"/>
                <w:color w:val="auto"/>
              </w:rPr>
            </w:pPr>
          </w:p>
        </w:tc>
        <w:tc>
          <w:tcPr>
            <w:tcW w:w="32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284,356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(42,592)</w:t>
            </w:r>
          </w:p>
        </w:tc>
        <w:tc>
          <w:tcPr>
            <w:tcW w:w="3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(54,227)</w:t>
            </w:r>
          </w:p>
        </w:tc>
        <w:tc>
          <w:tcPr>
            <w:tcW w:w="2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(192,654)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(221,936)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15,318</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13,557</w:t>
            </w:r>
          </w:p>
        </w:tc>
        <w:tc>
          <w:tcPr>
            <w:tcW w:w="20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64,445</w:t>
            </w:r>
          </w:p>
        </w:tc>
        <w:tc>
          <w:tcPr>
            <w:tcW w:w="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(6,235)</w:t>
            </w:r>
          </w:p>
        </w:tc>
        <w:tc>
          <w:tcPr>
            <w:tcW w:w="3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(6,078)</w:t>
            </w:r>
          </w:p>
        </w:tc>
        <w:tc>
          <w:tcPr>
            <w:tcW w:w="2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(25,605)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(25,083)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9,083</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7,479</w:t>
            </w:r>
          </w:p>
        </w:tc>
        <w:tc>
          <w:tcPr>
            <w:tcW w:w="20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38,840</w:t>
            </w:r>
          </w:p>
        </w:tc>
        <w:tc>
          <w:tcPr>
            <w:tcW w:w="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37,337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9,181</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7,479</w:t>
            </w:r>
          </w:p>
        </w:tc>
        <w:tc>
          <w:tcPr>
            <w:tcW w:w="20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39,126</w:t>
            </w:r>
          </w:p>
        </w:tc>
        <w:tc>
          <w:tcPr>
            <w:tcW w:w="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37,675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(3,647)</w:t>
            </w:r>
          </w:p>
        </w:tc>
        <w:tc>
          <w:tcPr>
            <w:tcW w:w="3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(2,594)</w:t>
            </w:r>
          </w:p>
        </w:tc>
        <w:tc>
          <w:tcPr>
            <w:tcW w:w="2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(15,388)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(14,251)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5,534</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4,885</w:t>
            </w:r>
          </w:p>
        </w:tc>
        <w:tc>
          <w:tcPr>
            <w:tcW w:w="20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23,738</w:t>
            </w:r>
          </w:p>
        </w:tc>
        <w:tc>
          <w:tcPr>
            <w:tcW w:w="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D6F3E8"/>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5,534</w:t>
            </w:r>
          </w:p>
        </w:tc>
        <w:tc>
          <w:tcPr>
            <w:tcW w:w="360" w:type="dxa"/>
            <w:vAlign w:val="bottom"/>
            <w:shd w:val="clear" w:color="auto" w:fill="D6F3E8"/>
          </w:tcPr>
          <w:p>
            <w:pPr>
              <w:spacing w:after="0"/>
              <w:rPr>
                <w:sz w:val="22"/>
                <w:szCs w:val="22"/>
                <w:color w:val="auto"/>
              </w:rPr>
            </w:pPr>
          </w:p>
        </w:tc>
        <w:tc>
          <w:tcPr>
            <w:tcW w:w="320" w:type="dxa"/>
            <w:vAlign w:val="bottom"/>
            <w:shd w:val="clear" w:color="auto" w:fill="D6F3E8"/>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5,092</w:t>
            </w:r>
          </w:p>
        </w:tc>
        <w:tc>
          <w:tcPr>
            <w:tcW w:w="20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23,847</w:t>
            </w:r>
          </w:p>
        </w:tc>
        <w:tc>
          <w:tcPr>
            <w:tcW w:w="32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23,764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72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560" w:type="dxa"/>
            <w:vAlign w:val="bottom"/>
            <w:tcBorders>
              <w:top w:val="single" w:sz="8" w:color="D6F3E8"/>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10,253,458</w:t>
            </w:r>
          </w:p>
        </w:tc>
        <w:tc>
          <w:tcPr>
            <w:tcW w:w="360" w:type="dxa"/>
            <w:vAlign w:val="bottom"/>
            <w:tcBorders>
              <w:top w:val="single" w:sz="8" w:color="D6F3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10,246,458</w:t>
            </w:r>
          </w:p>
        </w:tc>
        <w:tc>
          <w:tcPr>
            <w:tcW w:w="320" w:type="dxa"/>
            <w:vAlign w:val="bottom"/>
            <w:tcBorders>
              <w:top w:val="single" w:sz="8" w:color="D6F3E8"/>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10,250,978</w:t>
            </w: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10,243,970</w:t>
            </w:r>
          </w:p>
        </w:tc>
        <w:tc>
          <w:tcPr>
            <w:tcW w:w="100" w:type="dxa"/>
            <w:vAlign w:val="bottom"/>
            <w:tcBorders>
              <w:top w:val="single" w:sz="8" w:color="D6F3E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560" w:type="dxa"/>
            <w:vAlign w:val="bottom"/>
            <w:shd w:val="clear" w:color="auto" w:fill="D6F3E8"/>
          </w:tcPr>
          <w:p>
            <w:pPr>
              <w:spacing w:after="0"/>
              <w:rPr>
                <w:sz w:val="24"/>
                <w:szCs w:val="24"/>
                <w:color w:val="auto"/>
              </w:rPr>
            </w:pPr>
          </w:p>
        </w:tc>
        <w:tc>
          <w:tcPr>
            <w:tcW w:w="200" w:type="dxa"/>
            <w:vAlign w:val="bottom"/>
            <w:shd w:val="clear" w:color="auto" w:fill="D6F3E8"/>
          </w:tcPr>
          <w:p>
            <w:pPr>
              <w:spacing w:after="0"/>
              <w:rPr>
                <w:sz w:val="24"/>
                <w:szCs w:val="24"/>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10,288,857</w:t>
            </w:r>
          </w:p>
        </w:tc>
        <w:tc>
          <w:tcPr>
            <w:tcW w:w="360" w:type="dxa"/>
            <w:vAlign w:val="bottom"/>
            <w:shd w:val="clear" w:color="auto" w:fill="D6F3E8"/>
          </w:tcPr>
          <w:p>
            <w:pPr>
              <w:spacing w:after="0"/>
              <w:rPr>
                <w:sz w:val="24"/>
                <w:szCs w:val="24"/>
                <w:color w:val="auto"/>
              </w:rPr>
            </w:pPr>
          </w:p>
        </w:tc>
        <w:tc>
          <w:tcPr>
            <w:tcW w:w="320" w:type="dxa"/>
            <w:vAlign w:val="bottom"/>
            <w:shd w:val="clear" w:color="auto" w:fill="D6F3E8"/>
          </w:tcPr>
          <w:p>
            <w:pPr>
              <w:spacing w:after="0"/>
              <w:rPr>
                <w:sz w:val="24"/>
                <w:szCs w:val="24"/>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10,256,350</w:t>
            </w:r>
          </w:p>
        </w:tc>
        <w:tc>
          <w:tcPr>
            <w:tcW w:w="200" w:type="dxa"/>
            <w:vAlign w:val="bottom"/>
            <w:shd w:val="clear" w:color="auto" w:fill="D6F3E8"/>
          </w:tcPr>
          <w:p>
            <w:pPr>
              <w:spacing w:after="0"/>
              <w:rPr>
                <w:sz w:val="24"/>
                <w:szCs w:val="24"/>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10,282,993</w:t>
            </w:r>
          </w:p>
        </w:tc>
        <w:tc>
          <w:tcPr>
            <w:tcW w:w="120" w:type="dxa"/>
            <w:vAlign w:val="bottom"/>
            <w:shd w:val="clear" w:color="auto" w:fill="D6F3E8"/>
          </w:tcPr>
          <w:p>
            <w:pPr>
              <w:spacing w:after="0"/>
              <w:rPr>
                <w:sz w:val="24"/>
                <w:szCs w:val="24"/>
                <w:color w:val="auto"/>
              </w:rPr>
            </w:pPr>
          </w:p>
        </w:tc>
        <w:tc>
          <w:tcPr>
            <w:tcW w:w="200" w:type="dxa"/>
            <w:vAlign w:val="bottom"/>
            <w:shd w:val="clear" w:color="auto" w:fill="D6F3E8"/>
          </w:tcPr>
          <w:p>
            <w:pPr>
              <w:spacing w:after="0"/>
              <w:rPr>
                <w:sz w:val="24"/>
                <w:szCs w:val="24"/>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10,249,027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72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Basic net income per share</w:t>
            </w:r>
          </w:p>
        </w:tc>
        <w:tc>
          <w:tcPr>
            <w:tcW w:w="56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60" w:type="dxa"/>
            <w:vAlign w:val="bottom"/>
            <w:tcBorders>
              <w:top w:val="single" w:sz="8" w:color="D6F3E8"/>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Net income from continuing operations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36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ind w:left="180"/>
              <w:spacing w:after="0"/>
              <w:rPr>
                <w:sz w:val="20"/>
                <w:szCs w:val="20"/>
                <w:color w:val="auto"/>
              </w:rPr>
            </w:pPr>
            <w:r>
              <w:rPr>
                <w:rFonts w:ascii="Arial" w:cs="Arial" w:eastAsia="Arial" w:hAnsi="Arial"/>
                <w:sz w:val="18"/>
                <w:szCs w:val="18"/>
                <w:color w:val="auto"/>
              </w:rPr>
              <w:t>Net income from discontinued operations per share</w:t>
            </w:r>
          </w:p>
        </w:tc>
        <w:tc>
          <w:tcPr>
            <w:tcW w:w="5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4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D6F3E8"/>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36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D6F3E8"/>
          </w:tcPr>
          <w:p>
            <w:pPr>
              <w:ind w:left="180"/>
              <w:spacing w:after="0"/>
              <w:rPr>
                <w:sz w:val="20"/>
                <w:szCs w:val="20"/>
                <w:color w:val="auto"/>
              </w:rPr>
            </w:pPr>
            <w:r>
              <w:rPr>
                <w:rFonts w:ascii="Arial" w:cs="Arial" w:eastAsia="Arial" w:hAnsi="Arial"/>
                <w:sz w:val="18"/>
                <w:szCs w:val="18"/>
                <w:color w:val="auto"/>
              </w:rPr>
              <w:t>Net income from continuing operations per share</w:t>
            </w:r>
          </w:p>
        </w:tc>
        <w:tc>
          <w:tcPr>
            <w:tcW w:w="760" w:type="dxa"/>
            <w:vAlign w:val="bottom"/>
            <w:gridSpan w:val="2"/>
            <w:shd w:val="clear" w:color="auto" w:fill="D6F3E8"/>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360" w:type="dxa"/>
            <w:vAlign w:val="bottom"/>
            <w:shd w:val="clear" w:color="auto" w:fill="D6F3E8"/>
          </w:tcPr>
          <w:p>
            <w:pPr>
              <w:spacing w:after="0"/>
              <w:rPr>
                <w:sz w:val="21"/>
                <w:szCs w:val="21"/>
                <w:color w:val="auto"/>
              </w:rPr>
            </w:pPr>
          </w:p>
        </w:tc>
        <w:tc>
          <w:tcPr>
            <w:tcW w:w="320" w:type="dxa"/>
            <w:vAlign w:val="bottom"/>
            <w:shd w:val="clear" w:color="auto" w:fill="D6F3E8"/>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2.31</w:t>
            </w:r>
          </w:p>
        </w:tc>
        <w:tc>
          <w:tcPr>
            <w:tcW w:w="32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 per share</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D6F3E8"/>
            </w:tcBorders>
            <w:shd w:val="clear" w:color="auto" w:fill="D6F3E8"/>
          </w:tcPr>
          <w:p>
            <w:pPr>
              <w:ind w:left="180"/>
              <w:spacing w:after="0"/>
              <w:rPr>
                <w:sz w:val="20"/>
                <w:szCs w:val="20"/>
                <w:color w:val="auto"/>
              </w:rPr>
            </w:pPr>
            <w:r>
              <w:rPr>
                <w:rFonts w:ascii="Arial" w:cs="Arial" w:eastAsia="Arial" w:hAnsi="Arial"/>
                <w:sz w:val="18"/>
                <w:szCs w:val="18"/>
                <w:color w:val="auto"/>
              </w:rPr>
              <w:t>Net income per share</w:t>
            </w:r>
          </w:p>
        </w:tc>
        <w:tc>
          <w:tcPr>
            <w:tcW w:w="56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36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top w:val="single" w:sz="8" w:color="auto"/>
              <w:bottom w:val="single" w:sz="8" w:color="auto"/>
            </w:tcBorders>
            <w:shd w:val="clear" w:color="auto" w:fill="D6F3E8"/>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D6F3E8"/>
            </w:tcBorders>
            <w:shd w:val="clear" w:color="auto" w:fill="D6F3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472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2019-12-09T23:59:54Z</dcterms:created>
  <dcterms:modified xsi:type="dcterms:W3CDTF">2019-12-09T23:59:54Z</dcterms:modified>
</cp:coreProperties>
</file>