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 2022</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spacing w:after="0" w:line="7" w:lineRule="exact"/>
        <w:rPr>
          <w:sz w:val="24"/>
          <w:szCs w:val="24"/>
          <w:color w:val="auto"/>
        </w:r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8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70"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2"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On November 2, 2022, Hawkins, Inc. issued a press release announcing financial results for its fiscal 2023 second quarter ended October 2, 2022. A copy of the press release issued by the Registrant is furnished herewith as Exhibit 99.1 hereto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5"/>
                <w:szCs w:val="15"/>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5"/>
                <w:szCs w:val="15"/>
                <w:color w:val="auto"/>
              </w:rPr>
            </w:pPr>
          </w:p>
        </w:tc>
      </w:tr>
      <w:tr>
        <w:trPr>
          <w:trHeight w:val="228"/>
        </w:trPr>
        <w:tc>
          <w:tcPr>
            <w:tcW w:w="1640" w:type="dxa"/>
            <w:vAlign w:val="bottom"/>
            <w:gridSpan w:val="2"/>
          </w:tcPr>
          <w:p>
            <w:pPr>
              <w:ind w:left="1280"/>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November 2, 2022, announcing financial results of Hawkins,</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2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Inc. for its fiscal 2023 second quarter ended October 2, 2022.</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22"/>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220" w:type="dxa"/>
            <w:vAlign w:val="bottom"/>
          </w:tcPr>
          <w:p>
            <w:pPr>
              <w:spacing w:after="0"/>
              <w:rPr>
                <w:sz w:val="18"/>
                <w:szCs w:val="18"/>
                <w:color w:val="auto"/>
              </w:rPr>
            </w:pP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18"/>
                <w:szCs w:val="18"/>
                <w:color w:val="auto"/>
              </w:rPr>
            </w:pPr>
          </w:p>
        </w:tc>
      </w:tr>
      <w:tr>
        <w:trPr>
          <w:trHeight w:val="283"/>
        </w:trPr>
        <w:tc>
          <w:tcPr>
            <w:tcW w:w="3220" w:type="dxa"/>
            <w:vAlign w:val="bottom"/>
          </w:tcPr>
          <w:p>
            <w:pPr>
              <w:spacing w:after="0"/>
              <w:rPr>
                <w:sz w:val="20"/>
                <w:szCs w:val="20"/>
                <w:color w:val="auto"/>
              </w:rPr>
            </w:pPr>
            <w:r>
              <w:rPr>
                <w:rFonts w:ascii="Arial" w:cs="Arial" w:eastAsia="Arial" w:hAnsi="Arial"/>
                <w:sz w:val="18"/>
                <w:szCs w:val="18"/>
                <w:color w:val="auto"/>
              </w:rPr>
              <w:t>Date: November 2, 2022</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23"/>
        </w:trPr>
        <w:tc>
          <w:tcPr>
            <w:tcW w:w="3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0"/>
        </w:trPr>
        <w:tc>
          <w:tcPr>
            <w:tcW w:w="3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86"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 2022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Fiscal 2023 Results</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Minneapolis, Minn, November 2, 2022 – Hawkins, Inc. (Nasdaq: HWKN) today announced results for the three and six months ended October 2, 2022, its second quarter of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Year 2023 Highlights:</w:t>
      </w:r>
    </w:p>
    <w:p>
      <w:pPr>
        <w:spacing w:after="0" w:line="315" w:lineRule="exact"/>
        <w:rPr>
          <w:sz w:val="20"/>
          <w:szCs w:val="20"/>
          <w:color w:val="auto"/>
        </w:rPr>
      </w:pPr>
    </w:p>
    <w:p>
      <w:pPr>
        <w:ind w:left="660" w:hanging="328"/>
        <w:spacing w:after="0" w:line="22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Record second quarter performance for the following metrics – sales, gross profit, operating income, net income, diluted earnings per share (EPS), adjusted EBITDA (earnings before interest, taxes, depreciation and amortization), and operating cash flow.</w:t>
      </w:r>
    </w:p>
    <w:p>
      <w:pPr>
        <w:ind w:left="660" w:right="16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$241.2 million, a 32% year-over-year increase, with all three reporting segments growing over the same quarter in the prior year.</w:t>
      </w:r>
    </w:p>
    <w:p>
      <w:pPr>
        <w:ind w:left="660" w:right="18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of $46.4 million, a 24% increase over the prior year, contributing to operating income of $26.5 million, a 35% year-over-year increase.</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of $0.86, 28% higher than the same period last year.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a non-GAAP measure, of $34.0 million, a 28% increase over the same period of the prior year.</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$28.2 million, allowing us to pay down $18.5 million on our revolving line of credit bringing our leverage ratio to 1.26x EBITDA.</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Year-to-date EPS of $1.79, a 23% year-over-year increase.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Supported future Water Treatment growth by opening a new greenfield site in Delaware in October.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second-quarter results produced another quarter of records. We generated 32% sales growth, which is our fourth quarter in a row of more than 30% sales growth and brings Hawkins trailing twelve-month revenue to nearly $900 million. Our performance was spread across the majority of our end markets with food, pharmaceutical, and water treatment leading the way. Although our top line was strong, gross profits were again negatively impacted by continued rising material costs as we recorded a charge of $ 5.3 million for LIFO expense in the quarter, and a year-to-date LIFO charge of $9 million. Even with the incremental LIFO expense we still recorded record gross profit of $93 million for the first half of the year.”</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Hawkins continued, “Hawkins has now experienced 18 consecutive quarters of year-over-year operating income growth. This is no small feat when considering all the challenges we have faced over that time. Our success is always attributed to the hard work by our employees, suppliers, and our customers – Thank You. Looking to the third quarter, one of our large suppliers recently had an unplanned shut down which has put additional cost pressures on us, as we secure product from other sources to allocate to our customers. In addition, we are starting to see softness in the Health and Nutrition segment, and we expect significant LIFO expenses to continue in the third quarter. These items will impact the third quarter negatively and we expect it to cause EPS to be relatively flat when compared to the prior year. We expect supply to return to normal by the fourth quarter. At Hawkins, we focus on the long-term and expect top-line growth to continue in all segments as we grow both organically and through acquisitions in future years.”</w:t>
      </w:r>
    </w:p>
    <w:p>
      <w:pPr>
        <w:sectPr>
          <w:pgSz w:w="11900" w:h="16838" w:orient="portrait"/>
          <w:cols w:equalWidth="0" w:num="1">
            <w:col w:w="11240"/>
          </w:cols>
          <w:pgMar w:left="320" w:top="6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Financial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For the second quarter of fiscal 2023, the Company reported net income of $18.0 million, or $0.86 per diluted share, compared to net income for the second quarter of fiscal 2022 of $14.1 million, or $0.67 per diluted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Sales were $241.2 million for the second quarter of fiscal 2023, an increase of $57.9 million, or 32%, from sales of $183.3 million in the same period a year ago, driven primarily by price increases. Industrial segment sales increased $ 30.7 million, or 37%, to $113.9 million for the current quarter, from $ 83.2 million in the same period a year ago. The increase in Industrial segment sales was driven by increased selling prices on many of our products driven by higher costs on many of our raw materials as well as a product mix shift. Water Treatment segment sales increased $24.4 million, or 39%, to $86.5 million for the current quarter, from $62.1 million in the same period a year ago. Water Treatment sales increased as a result of increased selling prices on many of our products driven by higher costs on many of our raw materials, the added sales from acquisitions and increased demand for our products. Health and Nutrition segment sales increased $ 2.8 million, or 7%, to $40.8 million for the current quarter, from $38.0 million in the same period a year ago. Health and Nutrition segment sales increased due to increased sales of our manufactured products.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Gross profit increased $9.1 million, or 24%, to $46.4 million, or 19% of sales, for the current quarter, from $37.3 million, or 20% of sales, in the same period a year ago. During the current quarter, the LIFO reserve increased, and gross profit decreased, by $5.3 million due primarily to rising raw material prices. In the same quarter a year ago, the LIFO reserve increased, and gross profit decreased, by $3.0 million. Gross profit for the Industrial segment increased $5.1 million, or 40%, to $17.7 million, or 16% of sales, for the current quarter, from $12.6 million, or 15% of sales, in the same period a year ago. Industrial segment gross profit increased as a result of increased sales and a product mix shift, partially offset by the unfavorable year-over-year impact of the increased LIFO reserve. Gross profit for the Water Treatment segment increased $3.0 million, or 17%, to $20.5 million, or 24% of sales, for the current quarter, from $17.5 million, or 28% of sales, in the same period a year ago. Water Treatment segment gross profit increased as a result of increased sales, partially offset by the unfavorable year-over-year impact of the increased LIFO reserve. Gross profit for our Health and Nutrition segment increased $1.0 million, or 14%, to $8.2 million, or 20% of sales, for the current quarter, from $7.2 million, or 19% of sales, in the same period a year ago. Health and Nutrition segment gross profit increased as a result of increased sales as well as decreased inventory adjustments in the current quarter as compared to the same quarter a year ago.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$2.1 million to $19.8 million, or 8% of sales, for the current quarter, compared to</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$17.7 million, or 10% of sales, in the same period a year ago. Expenses increased due to the added costs from the the acquired businesses in our Water Treatment segment, as well as increased variable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Adjusted earnings before interest, taxes, depreciation and amortization ("adjusted EBITDA"), a non -GAAP financial measure, is an important performance indicator and a key compliance measure under the terms of our credit agreement. An explanation of the computation of adjusted EBITDA is presented below. Adjusted EBITDA for the three months ended October 2, 2022 was $34.0 million, an increase of $7.4 million, or 28%, from $26.6 million in the same period a year ago. The increase was primarily due to improved gross profit.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effective income tax rate was 27% for the current quarter, compared to 27% in the same period a year ago. The effective tax rate is impacted by projected levels of annual taxable income, permanent items, and state taxes. Our effective tax rate for the full year is currently expected to be approximately 26-27%.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second quarter we had a modest reduction in our working capital. Working capital is still up from year end largely as a result of our usual build up of raw material inventory and raw material prices increases in the first half of fiscal 2023. Accounts receivable also came down slightly in the second quarter, but is up from year end due to our revenue growth in the first two quarters. During the second quarter we reduced our debt by $18.5M. We now have total debt of $141 million, which is 1.26x of our trailing twelve month adjusted EBITDA, consistent with the prior year-end.</w:t>
      </w:r>
    </w:p>
    <w:p>
      <w:pPr>
        <w:sectPr>
          <w:pgSz w:w="11900" w:h="16838" w:orient="portrait"/>
          <w:cols w:equalWidth="0" w:num="1">
            <w:col w:w="11240"/>
          </w:cols>
          <w:pgMar w:left="320" w:top="56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Hawkins, Inc. was founded in 1938 and is a leading specialty chemical and ingredients company that formulates, distributes, blends, and manufactures products for its Industrial, Water Treatment, and Health &amp; Nutrition customers. Headquartered in Roseville, Minnesota, the Company has 51 facilities in 25 states and creates value for its customers through superb customer service and support, quality products and personalized applications. Hawkins, Inc. generated $775 million of revenue in fiscal 2022 and has approximately 800 employees. For more information, including registering to receive email alerts, please visit www.hawkinsinc.com/investors.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344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3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October 2, 2022</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September 26,</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October 2, 2022</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26,</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37,695</w:t>
            </w: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68,242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October 02,</w:t>
            </w:r>
          </w:p>
        </w:tc>
        <w:tc>
          <w:tcPr>
            <w:tcW w:w="1420" w:type="dxa"/>
            <w:vAlign w:val="bottom"/>
            <w:tcBorders>
              <w:top w:val="single" w:sz="8" w:color="auto"/>
            </w:tcBorders>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September 26,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October 02,</w:t>
            </w:r>
          </w:p>
        </w:tc>
        <w:tc>
          <w:tcPr>
            <w:tcW w:w="13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26,</w:t>
            </w:r>
          </w:p>
        </w:tc>
      </w:tr>
      <w:tr>
        <w:trPr>
          <w:trHeight w:val="241"/>
        </w:trPr>
        <w:tc>
          <w:tcPr>
            <w:tcW w:w="5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5"/>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364,518</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(288,257)</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76,261</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(34,535)</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41,464</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30,761</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20,814,686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20,986,542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20,861,754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21,010,422</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21,168,809</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0.1400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0.2800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0.2525</w:t>
            </w:r>
          </w:p>
        </w:tc>
      </w:tr>
    </w:tbl>
    <w:p>
      <w:pPr>
        <w:sectPr>
          <w:pgSz w:w="11900" w:h="16838" w:orient="portrait"/>
          <w:cols w:equalWidth="0" w:num="1">
            <w:col w:w="11240"/>
          </w:cols>
          <w:pgMar w:left="320" w:top="10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2,</w:t>
            </w:r>
          </w:p>
        </w:tc>
        <w:tc>
          <w:tcPr>
            <w:tcW w:w="28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April 3,</w:t>
            </w:r>
          </w:p>
        </w:tc>
      </w:tr>
      <w:tr>
        <w:trPr>
          <w:trHeight w:val="215"/>
        </w:trPr>
        <w:tc>
          <w:tcPr>
            <w:tcW w:w="8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9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Trade accounts receivables,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122,826</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94,985</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227,738</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321,453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304,055</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142,209</w:t>
            </w:r>
          </w:p>
        </w:tc>
      </w:tr>
      <w:tr>
        <w:trPr>
          <w:trHeight w:val="207"/>
        </w:trPr>
        <w:tc>
          <w:tcPr>
            <w:tcW w:w="8200" w:type="dxa"/>
            <w:vAlign w:val="bottom"/>
          </w:tcPr>
          <w:p>
            <w:pPr>
              <w:ind w:left="78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171,011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161,846</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Right-of-use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10,606</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80,193</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compensation plan asset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r>
      <w:tr>
        <w:trPr>
          <w:trHeight w:val="209"/>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177,744</w:t>
            </w:r>
          </w:p>
        </w:tc>
      </w:tr>
      <w:tr>
        <w:trPr>
          <w:trHeight w:val="209"/>
        </w:trPr>
        <w:tc>
          <w:tcPr>
            <w:tcW w:w="820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Accrued payroll and employee benefits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19,034</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payable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w:t>
            </w:r>
          </w:p>
        </w:tc>
      </w:tr>
      <w:tr>
        <w:trPr>
          <w:trHeight w:val="213"/>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101,466</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115,644</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4,276</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DEFERRED COMPENSATION LIABILITY</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8,402</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r>
      <w:tr>
        <w:trPr>
          <w:trHeight w:val="206"/>
        </w:trPr>
        <w:tc>
          <w:tcPr>
            <w:tcW w:w="820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267,869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264,727</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0"/>
        </w:trPr>
        <w:tc>
          <w:tcPr>
            <w:tcW w:w="820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Common stock; authorized: 60,000,000 shares of $0.01 par value; 20,817,625 and 20,889,777 shares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1"/>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issued and outstanding as of October 2, 2022 and April 3, 2022, respectively</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82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46,717</w:t>
            </w:r>
          </w:p>
        </w:tc>
      </w:tr>
      <w:tr>
        <w:trPr>
          <w:trHeight w:val="219"/>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254,384</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r>
      <w:tr>
        <w:trPr>
          <w:trHeight w:val="209"/>
        </w:trPr>
        <w:tc>
          <w:tcPr>
            <w:tcW w:w="8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302,601</w:t>
            </w:r>
          </w:p>
        </w:tc>
      </w:tr>
      <w:tr>
        <w:trPr>
          <w:trHeight w:val="210"/>
        </w:trPr>
        <w:tc>
          <w:tcPr>
            <w:tcW w:w="8200" w:type="dxa"/>
            <w:vAlign w:val="bottom"/>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3"/>
        </w:trPr>
        <w:tc>
          <w:tcPr>
            <w:tcW w:w="8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40" w:top="104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October 2,</w:t>
            </w:r>
          </w:p>
        </w:tc>
        <w:tc>
          <w:tcPr>
            <w:tcW w:w="140" w:type="dxa"/>
            <w:vAlign w:val="bottom"/>
          </w:tcPr>
          <w:p>
            <w:pPr>
              <w:spacing w:after="0"/>
              <w:rPr>
                <w:sz w:val="13"/>
                <w:szCs w:val="13"/>
                <w:color w:val="auto"/>
              </w:rPr>
            </w:pPr>
          </w:p>
        </w:tc>
        <w:tc>
          <w:tcPr>
            <w:tcW w:w="134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September 26,</w:t>
            </w:r>
          </w:p>
        </w:tc>
      </w:tr>
      <w:tr>
        <w:trPr>
          <w:trHeight w:val="215"/>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37,695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30,761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11,889</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Loss (Gain) on deferred compensation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5,116</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r>
      <w:tr>
        <w:trPr>
          <w:trHeight w:val="212"/>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40,082</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7"/>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(7,923)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(5,356)</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Payments on revolving loan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(28,355)</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11,148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9,650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1,076</w:t>
            </w:r>
          </w:p>
        </w:tc>
      </w:tr>
    </w:tbl>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October 2, 2022:</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113,939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86,488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40,765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241,192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46,374</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Three months ended September 26,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37,287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October 2, 2022: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238,649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164,978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84,108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487,735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Six months ended September 26,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364,518</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76,261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34,535</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6" w:right="359" w:bottom="1440" w:gutter="0" w:footer="0" w:header="0"/>
        </w:sectPr>
      </w:pPr>
    </w:p>
    <w:bookmarkStart w:id="10" w:name="page11"/>
    <w:bookmarkEnd w:id="10"/>
    <w:p>
      <w:pPr>
        <w:spacing w:after="0" w:line="251" w:lineRule="auto"/>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regulations, availability of technological improvements, the impact and severity of the COVID-19 outbreak, changes in the labor markets, our available cash for investments,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11">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rPr>
          <w:sz w:val="20"/>
          <w:szCs w:val="20"/>
          <w:color w:val="auto"/>
        </w:rPr>
      </w:pPr>
      <w:r>
        <w:rPr>
          <w:rFonts w:ascii="Arial" w:cs="Arial" w:eastAsia="Arial" w:hAnsi="Arial"/>
          <w:sz w:val="18"/>
          <w:szCs w:val="18"/>
          <w:color w:val="auto"/>
        </w:rPr>
        <w:t>Executive Vice President and Chief Financial Officer</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612/331-6910</w:t>
      </w: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ix?doc=/Archives/edgar/data/46250/000004625022000016/hwkn-2022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2022-11-02T15:55:52Z</dcterms:created>
  <dcterms:modified xsi:type="dcterms:W3CDTF">2022-11-02T15:55:52Z</dcterms:modified>
</cp:coreProperties>
</file>