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441960</wp:posOffset>
            </wp:positionV>
            <wp:extent cx="2426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439"/>
        <w:spacing w:after="0"/>
        <w:rPr>
          <w:sz w:val="20"/>
          <w:szCs w:val="20"/>
          <w:color w:val="auto"/>
        </w:rPr>
      </w:pPr>
      <w:r>
        <w:rPr>
          <w:rFonts w:ascii="Arial" w:cs="Arial" w:eastAsia="Arial" w:hAnsi="Arial"/>
          <w:sz w:val="43"/>
          <w:szCs w:val="43"/>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40640</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October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361315</wp:posOffset>
            </wp:positionV>
            <wp:extent cx="4699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18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40640</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612-331-6910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34290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October 30, 2013, Hawkins, Inc. issued a press release announcing financial results for its fiscal 2014 second quarter ended September 29, 2013.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40" w:firstLine="878"/>
        <w:spacing w:after="0" w:line="277" w:lineRule="auto"/>
        <w:rPr>
          <w:sz w:val="20"/>
          <w:szCs w:val="20"/>
          <w:color w:val="auto"/>
        </w:rPr>
      </w:pPr>
      <w:r>
        <w:rPr>
          <w:rFonts w:ascii="Arial" w:cs="Arial" w:eastAsia="Arial" w:hAnsi="Arial"/>
          <w:sz w:val="18"/>
          <w:szCs w:val="18"/>
          <w:color w:val="auto"/>
        </w:rPr>
        <w:t>Exhibit 99.1—Press Release, dated October 30, 2013, announcing financial results of Hawkins, Inc. for its fiscal 2014 second quarter ended September 29, 2013.</w:t>
      </w:r>
    </w:p>
    <w:p>
      <w:pPr>
        <w:sectPr>
          <w:pgSz w:w="11900" w:h="16838" w:orient="portrait"/>
          <w:cols w:equalWidth="0" w:num="1">
            <w:col w:w="11300"/>
          </w:cols>
          <w:pgMar w:left="240" w:top="580" w:right="3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640" w:val="left"/>
          <w:tab w:leader="none" w:pos="3700" w:val="left"/>
          <w:tab w:leader="none" w:pos="6560" w:val="left"/>
        </w:tabs>
        <w:rPr>
          <w:sz w:val="20"/>
          <w:szCs w:val="20"/>
          <w:color w:val="auto"/>
        </w:rPr>
      </w:pPr>
      <w:r>
        <w:rPr>
          <w:rFonts w:ascii="Arial" w:cs="Arial" w:eastAsia="Arial" w:hAnsi="Arial"/>
          <w:sz w:val="18"/>
          <w:szCs w:val="18"/>
          <w:color w:val="auto"/>
        </w:rPr>
        <w:t>Date:</w:t>
        <w:tab/>
        <w:t>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3996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57"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6"/>
              </w:rPr>
              <w:t>Press Release, dated October 30, 2013, announcing financial results of Hawkins, Inc. for its</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fiscal 2014 second quarter ended September 29, 2013.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Contacts: Patrick H. Hawkins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612/617-8524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Patrick.Hawkins@HawkinsInc.com</w:t>
      </w:r>
    </w:p>
    <w:p>
      <w:pPr>
        <w:spacing w:after="0" w:line="85" w:lineRule="exact"/>
        <w:rPr>
          <w:sz w:val="20"/>
          <w:szCs w:val="20"/>
          <w:color w:val="auto"/>
        </w:rPr>
      </w:pPr>
    </w:p>
    <w:p>
      <w:pPr>
        <w:sectPr>
          <w:pgSz w:w="11900" w:h="16838" w:orient="portrait"/>
          <w:cols w:equalWidth="0" w:num="2">
            <w:col w:w="6240" w:space="720"/>
            <w:col w:w="444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SECOND QUARTER, FIRST HALF FISCAL 2014 RESULTS</w:t>
      </w:r>
    </w:p>
    <w:p>
      <w:pPr>
        <w:sectPr>
          <w:pgSz w:w="11900" w:h="16838" w:orient="portrait"/>
          <w:cols w:equalWidth="0" w:num="1">
            <w:col w:w="11400"/>
          </w:cols>
          <w:pgMar w:left="240" w:top="746" w:right="259" w:bottom="1440" w:gutter="0" w:footer="0" w:header="0"/>
          <w:type w:val="continuous"/>
        </w:sectPr>
      </w:pP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Minneapolis, MN, October 30, 2013 – Hawkins, Inc. (Nasdaq: HWKN) today announced second quarter and first half results for fiscal 2014. Sales of $86.6 million for the three months ended September 29, 2013 represented a decrease of 0.6% from $87.2 million in sales for the same period of the prior year. Net income from continuing operations for the second quarter of fiscal 2014 was $5.2 million, or $0.49 per share, fully diluted, compared to net income from continuing operations of $7.2 million, or $0.69 per share, fully diluted, for the second quarter of fiscal 2013.</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six months ended September 29, 2013, Hawkins, Inc. reported sales of $181.3 million as compared to sales of $177.3 million for the same period a year ago. Net income from continuing operations for the first half of fiscal 2014 was $10.3 million, or $0.98 per share, fully diluted, compared to adjusted net income from continuing operations of $13.6 million, or $1.29 per share, fully diluted, for the first half of fiscal 2013. Adjusted net income from continuing operations for the first six months of fiscal 2013 excludes a pretax charge of $3.2 million (approximately $2.0 million, or $0.19 per share, fully diluted, after tax), resulting from a litigation settlement recorded in the first quarter of fiscal year 2013. Including the settlement charge, net income from continuing operations for the first half of fiscal 2013 was $11.6 million, or $1.10 per share, fully diluted (see reconciliation table).</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Water Treatment segment performance continues to be strong. We are particularly pleased with the strong performance of our newer branches as we continue to expand our geographic coverage for this segment,” said Patrick Hawkins, Chief Executive Officer and President. “This group overcame unfavorable weather conditions for the majority of this fiscal year to report gross profits above last year when weather conditions were much more favorable. We also acquired the assets of Advance Chemical Solutions, Inc. (ACS) in Tulsa, OK. With annual sales of approximately $4 million, this acquisition provides our Water Treatment Group with a strong base of business to build on in that part of the country. ACS, like Hawkins, focuses on providing its customers with superb service and support in addition to quality products and personalized applications. We are also delighted with the technical sales resources ACS brings to our Water Treatment business.”</w:t>
      </w:r>
    </w:p>
    <w:p>
      <w:pPr>
        <w:spacing w:after="0" w:line="13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Mr. Hawkins continued, "Clearly we are seeing the impact of competitive pricing pressures in our Industrial segment with per-unit margins down across most of our products. Despite these pressures, we see underlying strength in this segment as we have been able to maintain market share and increase our volumes, primarily in our bulk product lines that carry lower per-unit selling prices and margins. Our strategy of providing excellent customer service, quality products and investing to meet the demands of our customers has allowed us to grow during this difficult cycle and best position us for the long-term health of this business. While the large infrastructure investments we have made recently, including our new Industrial facility in Rosemount, are proving important to our growth, they have increased our depreciation and amortization expense by $1.0 million in the quarter as compared to the same period last year.”</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second quarter of fiscal 2014, Industrial segment sales were $56.7 million, a decrease of $0.5 million, or 0.9%, from the same period of the prior year. Although sales volumes of bulk and commodity products increased, these products carry lower per unit selling prices. This, combined with our inability to pass along cost increases in certain cases due to heightened competitive pressures, resulted in the decrease in sales dollars. Water Treatment segment sales were $29.9 million for the current quarter, unchanged from the same period of the prior year. Favorable weather conditions late in the quarter and sales growth in its newer branches offset the negative impact of less favorable weather conditions for the majority of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746"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FIRST HALF 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5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Company-wide gross profit for the second quarter of fiscal 2014 was $16.6 million, or 19.1% of sales, compared to $19.2 million, or 22.0% of sales, for the same period of the prior year. The LIFO method of valuing inventory increased gross profit by $0.4 million during the second quarter of fiscal 2014 and decreased gross profit by $0.1 million during the second quarter of fiscal 2013, primarily impacting our Industrial segment's profits for both periods.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profit for the Industrial segment was $7.3 million, or 12.8% of sales, for the quarter, as compared to $10.1 million, or 17.6% of sales, for the same period of the prior year. Gross profit for this segment was negatively impacted by the incremental costs to operate our new manufacturing facility ($0.4 million) as well as the costs incurred to exit the leased facility used to serve our bulk pharmaceutical customers ($0.4 million). Industrial segment gross profit was also negatively impacted by a shift in product mix to lower-margin bulk and commodity products and, in certain cases, our inability to pass along cost increases due to heightened competitive pressures.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for the Water Treatment segment was $9.3 million, or 31.0% of sales, for the quarter, as compared to $9.1 million, or 30.4% of sales, for the same period of the prior year. Favorable weather conditions late in the quarter, along with growth from its newer branches, more than offset the negative impact of less favorable weather conditions for the majority of the quarter.</w:t>
      </w:r>
    </w:p>
    <w:p>
      <w:pPr>
        <w:spacing w:after="0" w:line="12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Company-wide SG&amp;A expenses of $8.3 million for the quarter increased $0.8 million from $7.5 million for the same period of the prior year. The increase was driven by $0.3 million of incremental costs related to our new headquarters facility, as well as additional sales staffing costs in both segments.</w:t>
      </w:r>
    </w:p>
    <w:p>
      <w:pPr>
        <w:spacing w:after="0" w:line="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29 facilities in 14 states, the Company creates value for its customers through superb customer service and support, quality products and personalized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3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 reconciliation of each non-GAAP financial measure used in this release to its most directly comparable financial measure calculated in accordance with GAAP is presented below. For the three month periods ended September 29, 2013 and September 30, 2012, there were no adjustments to income from continuing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Six months ended September 29, 2013</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Six months ended September 30, 2012</w:t>
            </w:r>
          </w:p>
        </w:tc>
        <w:tc>
          <w:tcPr>
            <w:tcW w:w="420" w:type="dxa"/>
            <w:vAlign w:val="bottom"/>
            <w:tcBorders>
              <w:bottom w:val="single" w:sz="8" w:color="auto"/>
            </w:tcBorders>
          </w:tcPr>
          <w:p>
            <w:pPr>
              <w:spacing w:after="0"/>
              <w:rPr>
                <w:sz w:val="16"/>
                <w:szCs w:val="16"/>
                <w:color w:val="auto"/>
              </w:rPr>
            </w:pPr>
          </w:p>
        </w:tc>
      </w:tr>
      <w:tr>
        <w:trPr>
          <w:trHeight w:val="156"/>
        </w:trPr>
        <w:tc>
          <w:tcPr>
            <w:tcW w:w="2880" w:type="dxa"/>
            <w:vAlign w:val="bottom"/>
          </w:tcPr>
          <w:p>
            <w:pPr>
              <w:spacing w:after="0"/>
              <w:rPr>
                <w:sz w:val="13"/>
                <w:szCs w:val="13"/>
                <w:color w:val="auto"/>
              </w:rPr>
            </w:pPr>
          </w:p>
        </w:tc>
        <w:tc>
          <w:tcPr>
            <w:tcW w:w="15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4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Diluted earnings per</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3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26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5"/>
              </w:rPr>
              <w:t>Diluted earnings per</w:t>
            </w:r>
          </w:p>
        </w:tc>
      </w:tr>
      <w:tr>
        <w:trPr>
          <w:trHeight w:val="149"/>
        </w:trPr>
        <w:tc>
          <w:tcPr>
            <w:tcW w:w="288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97"/>
              </w:rPr>
              <w:t>continuing</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auto"/>
                <w:w w:val="93"/>
              </w:rPr>
              <w:t>continuing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share from</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auto"/>
                <w:w w:val="93"/>
              </w:rPr>
              <w:t>continuing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auto"/>
                <w:w w:val="93"/>
              </w:rPr>
              <w:t>continuing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share from</w:t>
            </w:r>
          </w:p>
        </w:tc>
        <w:tc>
          <w:tcPr>
            <w:tcW w:w="420" w:type="dxa"/>
            <w:vAlign w:val="bottom"/>
          </w:tcPr>
          <w:p>
            <w:pPr>
              <w:spacing w:after="0"/>
              <w:rPr>
                <w:sz w:val="12"/>
                <w:szCs w:val="12"/>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i w:val="1"/>
                <w:iCs w:val="1"/>
                <w:color w:val="auto"/>
              </w:rPr>
              <w:t>(In thousands, except share and per share</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before</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net of</w:t>
            </w: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continuing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before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net of</w:t>
            </w: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continuing</w:t>
            </w:r>
          </w:p>
        </w:tc>
        <w:tc>
          <w:tcPr>
            <w:tcW w:w="420" w:type="dxa"/>
            <w:vAlign w:val="bottom"/>
          </w:tcPr>
          <w:p>
            <w:pPr>
              <w:spacing w:after="0"/>
              <w:rPr>
                <w:sz w:val="12"/>
                <w:szCs w:val="12"/>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4"/>
                <w:szCs w:val="14"/>
                <w:i w:val="1"/>
                <w:iCs w:val="1"/>
                <w:color w:val="auto"/>
              </w:rPr>
              <w:t>data)</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income taxes</w:t>
            </w:r>
          </w:p>
        </w:tc>
        <w:tc>
          <w:tcPr>
            <w:tcW w:w="660" w:type="dxa"/>
            <w:vAlign w:val="bottom"/>
          </w:tcPr>
          <w:p>
            <w:pPr>
              <w:ind w:left="40"/>
              <w:spacing w:after="0"/>
              <w:rPr>
                <w:sz w:val="20"/>
                <w:szCs w:val="20"/>
                <w:color w:val="auto"/>
              </w:rPr>
            </w:pPr>
            <w:r>
              <w:rPr>
                <w:rFonts w:ascii="Arial" w:cs="Arial" w:eastAsia="Arial" w:hAnsi="Arial"/>
                <w:sz w:val="14"/>
                <w:szCs w:val="14"/>
                <w:color w:val="auto"/>
              </w:rPr>
              <w:t>tax</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0"/>
              </w:rPr>
              <w:t>operations (3)</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income taxes</w:t>
            </w:r>
          </w:p>
        </w:tc>
        <w:tc>
          <w:tcPr>
            <w:tcW w:w="640" w:type="dxa"/>
            <w:vAlign w:val="bottom"/>
          </w:tcPr>
          <w:p>
            <w:pPr>
              <w:ind w:left="20"/>
              <w:spacing w:after="0"/>
              <w:rPr>
                <w:sz w:val="20"/>
                <w:szCs w:val="20"/>
                <w:color w:val="auto"/>
              </w:rPr>
            </w:pPr>
            <w:r>
              <w:rPr>
                <w:rFonts w:ascii="Arial" w:cs="Arial" w:eastAsia="Arial" w:hAnsi="Arial"/>
                <w:sz w:val="14"/>
                <w:szCs w:val="14"/>
                <w:color w:val="auto"/>
              </w:rPr>
              <w:t>tax</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color w:val="auto"/>
                <w:w w:val="90"/>
              </w:rPr>
              <w:t>operations (4)</w:t>
            </w:r>
          </w:p>
        </w:tc>
        <w:tc>
          <w:tcPr>
            <w:tcW w:w="420" w:type="dxa"/>
            <w:vAlign w:val="bottom"/>
          </w:tcPr>
          <w:p>
            <w:pPr>
              <w:spacing w:after="0"/>
              <w:rPr>
                <w:sz w:val="16"/>
                <w:szCs w:val="16"/>
                <w:color w:val="auto"/>
              </w:rPr>
            </w:pP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Reported</w:t>
            </w:r>
          </w:p>
        </w:tc>
        <w:tc>
          <w:tcPr>
            <w:tcW w:w="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16,511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10,319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0.98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18,885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11,595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1.10</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Add Impact of Litigation</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6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0.19</w:t>
            </w:r>
          </w:p>
        </w:tc>
      </w:tr>
      <w:tr>
        <w:trPr>
          <w:trHeight w:val="27"/>
        </w:trPr>
        <w:tc>
          <w:tcPr>
            <w:tcW w:w="28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Adjusted</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16,511</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10,319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0.98</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22,085</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13,585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1.29</w:t>
            </w:r>
          </w:p>
        </w:tc>
      </w:tr>
      <w:tr>
        <w:trPr>
          <w:trHeight w:val="20"/>
        </w:trPr>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10,582,318 shares used in calculating earnings per share.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10,513,213 shares used in calculating earnings per share.</w:t>
      </w:r>
    </w:p>
    <w:p>
      <w:pPr>
        <w:sectPr>
          <w:pgSz w:w="11900" w:h="16838" w:orient="portrait"/>
          <w:cols w:equalWidth="0" w:num="1">
            <w:col w:w="11420"/>
          </w:cols>
          <w:pgMar w:left="240" w:top="74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FIRST HALF 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(142,756)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10,545,719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10,458,922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10,533,951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10,444,898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10,588,747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10,519,400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10,582,318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10,513,213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r"/>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2019-12-05T11:23:47Z</dcterms:created>
  <dcterms:modified xsi:type="dcterms:W3CDTF">2019-12-05T11:23:47Z</dcterms:modified>
</cp:coreProperties>
</file>