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Moran Theresa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VP - Quality &amp; Support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20" w:type="dxa"/>
            <w:vAlign w:val="bottom"/>
          </w:tcPr>
          <w:p>
            <w:pPr>
              <w:jc w:val="center"/>
              <w:ind w:left="1552"/>
              <w:spacing w:after="0"/>
              <w:rPr>
                <w:sz w:val="20"/>
                <w:szCs w:val="20"/>
                <w:color w:val="auto"/>
              </w:rPr>
            </w:pPr>
            <w:r>
              <w:rPr>
                <w:rFonts w:ascii="Arial" w:cs="Arial" w:eastAsia="Arial" w:hAnsi="Arial"/>
                <w:sz w:val="18"/>
                <w:szCs w:val="18"/>
                <w:color w:val="0000FF"/>
                <w:w w:val="88"/>
              </w:rPr>
              <w:t>2,681</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20" w:type="dxa"/>
            <w:vAlign w:val="bottom"/>
          </w:tcPr>
          <w:p>
            <w:pPr>
              <w:jc w:val="center"/>
              <w:ind w:left="1552"/>
              <w:spacing w:after="0"/>
              <w:rPr>
                <w:sz w:val="20"/>
                <w:szCs w:val="20"/>
                <w:color w:val="auto"/>
              </w:rPr>
            </w:pPr>
            <w:r>
              <w:rPr>
                <w:rFonts w:ascii="Arial" w:cs="Arial" w:eastAsia="Arial" w:hAnsi="Arial"/>
                <w:sz w:val="18"/>
                <w:szCs w:val="18"/>
                <w:color w:val="0000FF"/>
                <w:w w:val="87"/>
              </w:rPr>
              <w:t>33,264</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ESOP Trustee</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20" w:type="dxa"/>
            <w:vAlign w:val="bottom"/>
          </w:tcPr>
          <w:p>
            <w:pPr>
              <w:jc w:val="center"/>
              <w:ind w:left="1552"/>
              <w:spacing w:after="0"/>
              <w:rPr>
                <w:sz w:val="20"/>
                <w:szCs w:val="20"/>
                <w:color w:val="auto"/>
              </w:rPr>
            </w:pPr>
            <w:r>
              <w:rPr>
                <w:rFonts w:ascii="Arial" w:cs="Arial" w:eastAsia="Arial" w:hAnsi="Arial"/>
                <w:sz w:val="18"/>
                <w:szCs w:val="18"/>
                <w:color w:val="0000FF"/>
                <w:w w:val="88"/>
              </w:rPr>
              <w:t>1,875</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Son's Trust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20" w:type="dxa"/>
            <w:vAlign w:val="bottom"/>
          </w:tcPr>
          <w:p>
            <w:pPr>
              <w:jc w:val="center"/>
              <w:ind w:left="1552"/>
              <w:spacing w:after="0"/>
              <w:rPr>
                <w:sz w:val="20"/>
                <w:szCs w:val="20"/>
                <w:color w:val="auto"/>
              </w:rPr>
            </w:pPr>
            <w:r>
              <w:rPr>
                <w:rFonts w:ascii="Arial" w:cs="Arial" w:eastAsia="Arial" w:hAnsi="Arial"/>
                <w:sz w:val="18"/>
                <w:szCs w:val="18"/>
                <w:color w:val="0000FF"/>
                <w:w w:val="93"/>
              </w:rPr>
              <w:t>731</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Daughter's Trust</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20" w:type="dxa"/>
            <w:vAlign w:val="bottom"/>
            <w:tcBorders>
              <w:bottom w:val="single" w:sz="8" w:color="2C2C2C"/>
            </w:tcBorders>
          </w:tcPr>
          <w:p>
            <w:pPr>
              <w:spacing w:after="0"/>
              <w:rPr>
                <w:sz w:val="7"/>
                <w:szCs w:val="7"/>
                <w:color w:val="auto"/>
              </w:rPr>
            </w:pPr>
          </w:p>
        </w:tc>
        <w:tc>
          <w:tcPr>
            <w:tcW w:w="35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W. Morgan Burns, as</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02/09/2010</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3"/>
              </w:rPr>
              <w:t>attorney-in-fact</w:t>
            </w:r>
          </w:p>
        </w:tc>
        <w:tc>
          <w:tcPr>
            <w:tcW w:w="5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4199"/>
        <w:spacing w:after="0" w:line="237" w:lineRule="auto"/>
        <w:rPr>
          <w:sz w:val="20"/>
          <w:szCs w:val="20"/>
          <w:color w:val="auto"/>
        </w:rPr>
      </w:pPr>
      <w:r>
        <w:rPr>
          <w:rFonts w:ascii="Courier New" w:cs="Courier New" w:eastAsia="Courier New" w:hAnsi="Courier New"/>
          <w:sz w:val="18"/>
          <w:szCs w:val="18"/>
          <w:color w:val="auto"/>
        </w:rPr>
        <w:t>I, Theresa R. Moran, hereby authorize and designate each of Richard G. Erstad, Steven C. Kennedy, W. Morgan Burns, Erik J. Romslo and Joshua L. Colburn, signing singly, as my true and lawful attorney-in-fact to:</w:t>
      </w:r>
    </w:p>
    <w:p>
      <w:pPr>
        <w:spacing w:after="0" w:line="207" w:lineRule="exact"/>
        <w:rPr>
          <w:sz w:val="20"/>
          <w:szCs w:val="20"/>
          <w:color w:val="auto"/>
        </w:rPr>
      </w:pPr>
    </w:p>
    <w:p>
      <w:pPr>
        <w:ind w:right="40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w:t>
      </w:r>
    </w:p>
    <w:p>
      <w:pPr>
        <w:spacing w:after="0" w:line="209" w:lineRule="exact"/>
        <w:rPr>
          <w:rFonts w:ascii="Courier New" w:cs="Courier New" w:eastAsia="Courier New" w:hAnsi="Courier New"/>
          <w:sz w:val="18"/>
          <w:szCs w:val="18"/>
          <w:color w:val="auto"/>
        </w:rPr>
      </w:pPr>
    </w:p>
    <w:p>
      <w:pPr>
        <w:ind w:right="3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43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w:t>
      </w:r>
    </w:p>
    <w:p>
      <w:pPr>
        <w:spacing w:after="0" w:line="1"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w:t>
      </w:r>
    </w:p>
    <w:p>
      <w:pPr>
        <w:spacing w:after="0" w:line="5"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by me in a signed writing delivered to the foregoing attorneys-in-fact. Notwithstanding the foregoing, if any such attorney-in-fact hereafter ceases to be either an employee of the Company, or a partner or employee of Faegre</w:t>
      </w:r>
    </w:p>
    <w:p>
      <w:pPr>
        <w:spacing w:after="0" w:line="1" w:lineRule="exact"/>
        <w:rPr>
          <w:sz w:val="20"/>
          <w:szCs w:val="20"/>
          <w:color w:val="auto"/>
        </w:rPr>
      </w:pPr>
    </w:p>
    <w:p>
      <w:pPr>
        <w:jc w:val="both"/>
        <w:ind w:right="3999" w:firstLine="8"/>
        <w:spacing w:after="0" w:line="279" w:lineRule="auto"/>
        <w:tabs>
          <w:tab w:leader="none" w:pos="21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Benson LLP, this Power of Attorney shall be automatically revoked solely as to such individual, immediately upon such cessation,without any further action on my part.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revoke all previous Powers of Attorney that have</w:t>
      </w:r>
    </w:p>
    <w:p>
      <w:pPr>
        <w:spacing w:after="0" w:line="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right="4199"/>
        <w:spacing w:after="0" w:line="290" w:lineRule="auto"/>
        <w:rPr>
          <w:sz w:val="20"/>
          <w:szCs w:val="20"/>
          <w:color w:val="auto"/>
        </w:rPr>
      </w:pPr>
      <w:r>
        <w:rPr>
          <w:rFonts w:ascii="Courier New" w:cs="Courier New" w:eastAsia="Courier New" w:hAnsi="Courier New"/>
          <w:sz w:val="16"/>
          <w:szCs w:val="16"/>
          <w:color w:val="auto"/>
        </w:rPr>
        <w:t>IN WITNESS WHEREOF, I have caused this Power of Attorney to be duly executed as of this 1st day of February, 2010.</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 Theresa R. Moran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3043"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2019-12-17T09:14:44Z</dcterms:created>
  <dcterms:modified xsi:type="dcterms:W3CDTF">2019-12-17T09:14:44Z</dcterms:modified>
</cp:coreProperties>
</file>