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November 2, 2016</w:t>
      </w:r>
    </w:p>
    <w:p>
      <w:pPr>
        <w:spacing w:after="0" w:line="200" w:lineRule="exact"/>
        <w:rPr>
          <w:sz w:val="24"/>
          <w:szCs w:val="24"/>
          <w:color w:val="auto"/>
        </w:rPr>
      </w:pPr>
    </w:p>
    <w:p>
      <w:pPr>
        <w:spacing w:after="0" w:line="366"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November 2, 2016, Hawkins, Inc. issued a press release announcing financial results for its fiscal 2017 second quarter ended October 2, 2016.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60" w:firstLine="878"/>
        <w:spacing w:after="0" w:line="277" w:lineRule="auto"/>
        <w:rPr>
          <w:sz w:val="20"/>
          <w:szCs w:val="20"/>
          <w:color w:val="auto"/>
        </w:rPr>
      </w:pPr>
      <w:r>
        <w:rPr>
          <w:rFonts w:ascii="Arial" w:cs="Arial" w:eastAsia="Arial" w:hAnsi="Arial"/>
          <w:sz w:val="18"/>
          <w:szCs w:val="18"/>
          <w:color w:val="auto"/>
        </w:rPr>
        <w:t>Exhibit 99.1—Press Release, dated November 2, 2016, announcing financial results of Hawkins, Inc. for its fiscal 2017 second quarter ended October 2, 2016.</w:t>
      </w:r>
    </w:p>
    <w:p>
      <w:pPr>
        <w:sectPr>
          <w:pgSz w:w="11900" w:h="16838" w:orient="portrait"/>
          <w:cols w:equalWidth="0" w:num="1">
            <w:col w:w="11120"/>
          </w:cols>
          <w:pgMar w:left="240" w:top="580" w:right="5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Press Release, dated November 2, 2016, announcing financial results of Hawkins, Inc. for its</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fiscal 2017 second quarter ended October 2, 2016.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6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November 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QUARTER FISCAL 2017 RESULTS</w:t>
      </w:r>
    </w:p>
    <w:p>
      <w:pPr>
        <w:sectPr>
          <w:pgSz w:w="11900" w:h="16838" w:orient="portrait"/>
          <w:cols w:equalWidth="0" w:num="1">
            <w:col w:w="11400"/>
          </w:cols>
          <w:pgMar w:left="240" w:top="746" w:right="259" w:bottom="1440" w:gutter="0" w:footer="0" w:header="0"/>
          <w:type w:val="continuous"/>
        </w:sectPr>
      </w:pP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Minneapolis, MN, November 2, 2016 – Hawkins, Inc. (Nasdaq: HWKN) today announced second quarter results for fiscal 2017. Sales of $121.3 million for the three months ended October 2, 2016 represented an increase of 28.2% from $94.6 million for the same period of the prior year. Net income was $7.2 million, or $0.68 per diluted share, compared to net income of $5.7 million, or $0.54 per diluted share, for the same period in fiscal 2016.</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six months ended October 2, 2016, Hawkins reported sales of $252.6 million as compared to $196.1 million for the same period of the prior year. Net income for the first half of fiscal 2017 was $14.8 million, or $1.40 per fully diluted share, compared to $12.5 million, or $1.17 per fully diluted share, for the first half of fiscal 2016.</w:t>
      </w:r>
    </w:p>
    <w:p>
      <w:pPr>
        <w:spacing w:after="0" w:line="18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“Our operating income for the quarter was up 28% over last year, with about half of that increase coming from our Health and Nutrition segment acquired at the end of the third quarter last year,” said Patrick Hawkins, Chief Executive Officer and President. “While sales from this segment were behind the previous quarter primarily due to the timing of customer orders, we continue to see opportunities for significant growth in this segment and have recently added sales, marketing and operations talent as we build bench strength within this segment. We believe these investments will allow us to drive incremental growth in the future, particularly for our value-added products and services, including product formulation, processing and blending capabilities.”</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Mr. Hawkins continued, “Our Industrial segment reported a significant increase in operating profit. We realized increased profits on products carrying higher per-unit margins, which was partially offset by reduced sales of our agricultural products, where we believe demand from this market was weakened due to low crop prices. This segment also benefitted from reduced operations spending this quarter. In our Water Treatment segment, we saw increased sales of specialized products in many of our geographies and benefited from an acquisition we completed later last year, partially offset by less favorable weather conditions in certain regions. Higher staffing costs from resources we added over the last several months also offset a portion of the product margin gains.”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second quarter of fiscal 2017, Industrial segment sales were $55.8 million, a decrease of $2.5 million, or 4.3%, from the same period of the prior year. Lower raw material costs on certain products drove lower selling prices and the decrease in sales dollars. Water Treatment segment sales were $36.8 million for the most recent quarter, an increase of $0.6 million, or 1.7%, from the same period of the prior year. The increase in sales dollars was largely due to the business we acquired late in the second quarter of fiscal 2016 and increased volumes of specialized products, partially offset by lower per-unit selling prices due to reduced raw material costs on certain products. Sales for our Health and Nutrition segment established in the third quarter of fiscal 2016 were $28.5 million for the current quarter. This compares to pro forma sales of $29.4 million for the same period last year and sales of $31.9 million in the first quarter of fiscal 2017. The lower sales this quarter were primarily due to fluctuations in the timing of customer orders and certain customers working down inventory on hand.</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Company-wide gross profit for the second quarter of fiscal 2017 was $27.0 million, or 22.3% of sales, an increase of $7.2 million from $19.8 million, or 20.9% of sales, for the same period of the prior year.</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Gross profit for the Industrial segment was $10.2 million, or 18.2% of sales, for the quarter, an increase of $1.0 million from $9.2 million, or 15.7% of sales, for the same period of the prior year. While sales volumes were relatively flat in the quarter, our gross profit was improved due to a favorable product mix shift, lower raw material costs for certain products, and operational efficiencies as we increased our on-hand inventories during the quarter. The improvement in gross profit as a percentage of sales was largely due to decreased selling prices resulting from lower raw material costs. The LIFO method of</w:t>
      </w:r>
    </w:p>
    <w:p>
      <w:pPr>
        <w:sectPr>
          <w:pgSz w:w="11900" w:h="16838" w:orient="portrait"/>
          <w:cols w:equalWidth="0" w:num="1">
            <w:col w:w="11400"/>
          </w:cols>
          <w:pgMar w:left="240" w:top="746"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valuing inventory increased gross profit by $0.3 million in the current year and had a nominal impact on gross profit for the same period of the prior year.</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for the Water Treatment segment was $11.1 million, or 30.0% of sales, for the quarter, an increase of $0.4 million from $10.6 million, or 29.3% of sales, for the same period of the prior year. The increase in gross profit dollars was primarily driven by increased sales volumes of specialized products that have higher per-unit margins, as well as profits from the business we acquired late in the second quarter of fiscal 2016. The LIFO method of valuing inventory increased gross profit by $0.1 million for the three months ended October 2, 2016 and had a nominal impact during the same quarter of the prior year.</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Gross profit for our Health and Nutrition segment was $5.8 million, or 20.2% of sales, for the second quarter of fiscal 2017. This is a decrease of $1.4 million from the gross profit reported in the first quarter primarily resulting from lower sales with fixed production overhead costs. Inventories in this segment are valued using the FIFO method.</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Company-wide selling, general and administrative expenses ("SG&amp;A") were $14.9 million, or 12.3% of sales, for the quarter, compared to $10.3 million, or 10.9% of sales, for the same period of the prior year. SG&amp;A expenses in our Health and Nutrition Segment were $4.5 million, accounting for the majority of the increase in the current quarter, and included $1.2 million of amortization expense on acquired intangible assets.</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borrowed $131.0 million to partially fund the acquisition of Stauber in the third quarter of fiscal 2016. As a result, adjusted EBITDA, a non-GAAP financial measure, has become an important performance indicator and a key compliance measure under the terms of our new credit agreement. An explanation of the computation of adjusted EBITDA is presented below. Adjusted EBITDA for the three months ended October 2, 2016 was $17.9 million, an increase of $4.6 million, or 35%, from adjusted EBITDA of $13.3 million for the same period in the prior year. The increase was due primarily to the addition of our Health and Nutrition segment and higher gross profits, partially offset by the increase in SG&amp;A expenses in our other segments described earlier.</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effective income tax rate was 37.7% for the three months ended October 2, 2016 compared to 40.2% for the three months ended September 27, 2015. Our tax rate for the quarter ended September 27, 2015 was impacted by $0.3 million of state income expense related to an audit assessment which covered multiple years. The effective tax rate is impacted by projected levels of annual taxable income, permanent items, and 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adjusted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ectPr>
          <w:pgSz w:w="11900" w:h="16838" w:orient="portrait"/>
          <w:cols w:equalWidth="0" w:num="1">
            <w:col w:w="11420"/>
          </w:cols>
          <w:pgMar w:left="240" w:top="584" w:right="239" w:bottom="1440" w:gutter="0" w:footer="0" w:header="0"/>
        </w:sectPr>
      </w:pPr>
    </w:p>
    <w:bookmarkStart w:id="6" w:name="page7"/>
    <w:bookmarkEnd w:id="6"/>
    <w:p>
      <w:pPr>
        <w:ind w:left="480"/>
        <w:spacing w:after="0"/>
        <w:rPr>
          <w:sz w:val="20"/>
          <w:szCs w:val="20"/>
          <w:color w:val="auto"/>
        </w:rPr>
      </w:pPr>
      <w:r>
        <w:rPr>
          <w:rFonts w:ascii="Arial" w:cs="Arial" w:eastAsia="Arial" w:hAnsi="Arial"/>
          <w:sz w:val="18"/>
          <w:szCs w:val="18"/>
          <w:b w:val="1"/>
          <w:bCs w:val="1"/>
          <w:color w:val="auto"/>
        </w:rPr>
        <w:t>Adjusted EBITDA</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thousands)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Income (GAAP)</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Interest expense (income), net</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Income tax expense</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Non-cash compensation expense</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Stauber acquisition expenses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Adjusted EBITDA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b w:val="1"/>
                <w:bCs w:val="1"/>
                <w:color w:val="auto"/>
                <w:w w:val="92"/>
              </w:rPr>
              <w:t>Three months ended</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ind w:left="760"/>
              <w:spacing w:after="0"/>
              <w:rPr>
                <w:sz w:val="20"/>
                <w:szCs w:val="20"/>
                <w:color w:val="auto"/>
              </w:rPr>
            </w:pPr>
            <w:r>
              <w:rPr>
                <w:rFonts w:ascii="Arial" w:cs="Arial" w:eastAsia="Arial" w:hAnsi="Arial"/>
                <w:sz w:val="18"/>
                <w:szCs w:val="18"/>
                <w:b w:val="1"/>
                <w:bCs w:val="1"/>
                <w:color w:val="auto"/>
                <w:w w:val="95"/>
              </w:rPr>
              <w:t>Six months ended</w:t>
            </w:r>
          </w:p>
        </w:tc>
        <w:tc>
          <w:tcPr>
            <w:tcW w:w="740" w:type="dxa"/>
            <w:vAlign w:val="bottom"/>
          </w:tcPr>
          <w:p>
            <w:pPr>
              <w:spacing w:after="0"/>
              <w:rPr>
                <w:sz w:val="20"/>
                <w:szCs w:val="20"/>
                <w:color w:val="auto"/>
              </w:rPr>
            </w:pPr>
          </w:p>
        </w:tc>
      </w:tr>
      <w:tr>
        <w:trPr>
          <w:trHeight w:val="270"/>
        </w:trPr>
        <w:tc>
          <w:tcPr>
            <w:tcW w:w="140" w:type="dxa"/>
            <w:vAlign w:val="bottom"/>
          </w:tcPr>
          <w:p>
            <w:pPr>
              <w:spacing w:after="0"/>
              <w:rPr>
                <w:sz w:val="23"/>
                <w:szCs w:val="23"/>
                <w:color w:val="auto"/>
              </w:rPr>
            </w:pPr>
          </w:p>
        </w:tc>
        <w:tc>
          <w:tcPr>
            <w:tcW w:w="3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October 2, 2016   September 27, 2015</w:t>
            </w:r>
          </w:p>
        </w:tc>
        <w:tc>
          <w:tcPr>
            <w:tcW w:w="220" w:type="dxa"/>
            <w:vAlign w:val="bottom"/>
          </w:tcPr>
          <w:p>
            <w:pPr>
              <w:spacing w:after="0"/>
              <w:rPr>
                <w:sz w:val="23"/>
                <w:szCs w:val="23"/>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October 2, 2016   September 27, 2015</w:t>
            </w:r>
          </w:p>
        </w:tc>
      </w:tr>
      <w:tr>
        <w:trPr>
          <w:trHeight w:val="27"/>
        </w:trPr>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7,190</w:t>
            </w:r>
          </w:p>
        </w:tc>
        <w:tc>
          <w:tcPr>
            <w:tcW w:w="920" w:type="dxa"/>
            <w:vAlign w:val="bottom"/>
          </w:tcPr>
          <w:p>
            <w:pPr>
              <w:jc w:val="center"/>
              <w:ind w:right="6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5,678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14,794</w:t>
            </w:r>
          </w:p>
        </w:tc>
        <w:tc>
          <w:tcPr>
            <w:tcW w:w="880" w:type="dxa"/>
            <w:vAlign w:val="bottom"/>
          </w:tcPr>
          <w:p>
            <w:pPr>
              <w:jc w:val="center"/>
              <w:ind w:right="5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12,469</w:t>
            </w:r>
          </w:p>
        </w:tc>
      </w:tr>
      <w:tr>
        <w:trPr>
          <w:trHeight w:val="270"/>
        </w:trPr>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619</w:t>
            </w:r>
          </w:p>
        </w:tc>
        <w:tc>
          <w:tcPr>
            <w:tcW w:w="9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1,343</w:t>
            </w:r>
          </w:p>
        </w:tc>
        <w:tc>
          <w:tcPr>
            <w:tcW w:w="8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4,352</w:t>
            </w:r>
          </w:p>
        </w:tc>
        <w:tc>
          <w:tcPr>
            <w:tcW w:w="9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3,815</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9,114</w:t>
            </w:r>
          </w:p>
        </w:tc>
        <w:tc>
          <w:tcPr>
            <w:tcW w:w="8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7,889</w:t>
            </w:r>
          </w:p>
        </w:tc>
      </w:tr>
      <w:tr>
        <w:trPr>
          <w:trHeight w:val="270"/>
        </w:trPr>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1,521</w:t>
            </w:r>
          </w:p>
        </w:tc>
        <w:tc>
          <w:tcPr>
            <w:tcW w:w="9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3,043</w:t>
            </w:r>
          </w:p>
        </w:tc>
        <w:tc>
          <w:tcPr>
            <w:tcW w:w="8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3,688</w:t>
            </w:r>
          </w:p>
        </w:tc>
        <w:tc>
          <w:tcPr>
            <w:tcW w:w="9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3,095</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7,241</w:t>
            </w:r>
          </w:p>
        </w:tc>
        <w:tc>
          <w:tcPr>
            <w:tcW w:w="8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6,350</w:t>
            </w:r>
          </w:p>
        </w:tc>
      </w:tr>
      <w:tr>
        <w:trPr>
          <w:trHeight w:val="270"/>
        </w:trPr>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539</w:t>
            </w:r>
          </w:p>
        </w:tc>
        <w:tc>
          <w:tcPr>
            <w:tcW w:w="9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1,074</w:t>
            </w:r>
          </w:p>
        </w:tc>
        <w:tc>
          <w:tcPr>
            <w:tcW w:w="8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0"/>
        </w:trPr>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8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17,909</w:t>
            </w:r>
          </w:p>
        </w:tc>
        <w:tc>
          <w:tcPr>
            <w:tcW w:w="920" w:type="dxa"/>
            <w:vAlign w:val="bottom"/>
          </w:tcPr>
          <w:p>
            <w:pPr>
              <w:jc w:val="center"/>
              <w:ind w:right="6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13,326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36,670</w:t>
            </w:r>
          </w:p>
        </w:tc>
        <w:tc>
          <w:tcPr>
            <w:tcW w:w="880" w:type="dxa"/>
            <w:vAlign w:val="bottom"/>
          </w:tcPr>
          <w:p>
            <w:pPr>
              <w:jc w:val="center"/>
              <w:ind w:right="5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28,191</w:t>
            </w:r>
          </w:p>
        </w:tc>
      </w:tr>
      <w:tr>
        <w:trPr>
          <w:trHeight w:val="27"/>
        </w:trPr>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-1757680</wp:posOffset>
            </wp:positionV>
            <wp:extent cx="668909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9090" cy="17145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-1414145</wp:posOffset>
            </wp:positionV>
            <wp:extent cx="668909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9090" cy="18034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-1062990</wp:posOffset>
            </wp:positionV>
            <wp:extent cx="668909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9090" cy="17145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-719455</wp:posOffset>
            </wp:positionV>
            <wp:extent cx="668909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9090" cy="17145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-376555</wp:posOffset>
            </wp:positionV>
            <wp:extent cx="668909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9090" cy="171450"/>
                    </a:xfrm>
                    <a:prstGeom prst="rect">
                      <a:avLst/>
                    </a:prstGeom>
                    <a:noFill/>
                  </pic:spPr>
                </pic:pic>
              </a:graphicData>
            </a:graphic>
          </wp:anchor>
        </w:drawing>
      </w:r>
    </w:p>
    <w:p>
      <w:pPr>
        <w:spacing w:after="0" w:line="757" w:lineRule="exact"/>
        <w:rPr>
          <w:sz w:val="20"/>
          <w:szCs w:val="20"/>
          <w:color w:val="auto"/>
        </w:rPr>
      </w:pPr>
    </w:p>
    <w:p>
      <w:pPr>
        <w:sectPr>
          <w:pgSz w:w="11900" w:h="16838" w:orient="portrait"/>
          <w:cols w:equalWidth="0" w:num="2">
            <w:col w:w="3840" w:space="720"/>
            <w:col w:w="6860"/>
          </w:cols>
          <w:pgMar w:left="240" w:top="742" w:right="239" w:bottom="1440" w:gutter="0" w:footer="0" w:header="0"/>
        </w:sectPr>
      </w:pPr>
    </w:p>
    <w:p>
      <w:pPr>
        <w:spacing w:after="0" w:line="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April 3, 2016,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420"/>
          </w:cols>
          <w:pgMar w:left="240" w:top="742"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2017 RESULTS</w:t>
      </w:r>
    </w:p>
    <w:p>
      <w:pPr>
        <w:spacing w:after="0" w:line="200" w:lineRule="exact"/>
        <w:rPr>
          <w:sz w:val="20"/>
          <w:szCs w:val="20"/>
          <w:color w:val="auto"/>
        </w:rPr>
      </w:pPr>
    </w:p>
    <w:p>
      <w:pPr>
        <w:spacing w:after="0" w:line="38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20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3"/>
              </w:rPr>
              <w:t>September 27,</w:t>
            </w:r>
          </w:p>
        </w:tc>
        <w:tc>
          <w:tcPr>
            <w:tcW w:w="280" w:type="dxa"/>
            <w:vAlign w:val="bottom"/>
          </w:tcPr>
          <w:p>
            <w:pPr>
              <w:spacing w:after="0"/>
              <w:rPr>
                <w:sz w:val="13"/>
                <w:szCs w:val="13"/>
                <w:color w:val="auto"/>
              </w:rPr>
            </w:pPr>
          </w:p>
        </w:tc>
        <w:tc>
          <w:tcPr>
            <w:tcW w:w="12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1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3"/>
              </w:rPr>
              <w:t>September 27,</w:t>
            </w:r>
          </w:p>
        </w:tc>
      </w:tr>
      <w:tr>
        <w:trPr>
          <w:trHeight w:val="192"/>
        </w:trPr>
        <w:tc>
          <w:tcPr>
            <w:tcW w:w="5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94,592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252,624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196,088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(74,781)</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(155,542)</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19,811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40,546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(10,303)</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(20,194)</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9,508</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20,352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9,493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20,358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(3,815)</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(7,889)</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5,678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10,536,309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10,545,992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10,524,724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10,563,267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10,586,939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10,589,824</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10,581,253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10,614,484</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0.54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324"/>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5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0900"/>
      </w:cols>
      <w:pgMar w:left="240" w:top="58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2019-12-05T07:15:09Z</dcterms:created>
  <dcterms:modified xsi:type="dcterms:W3CDTF">2019-12-05T07:15:09Z</dcterms:modified>
</cp:coreProperties>
</file>