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15"/>
        <w:spacing w:after="0"/>
        <w:rPr>
          <w:sz w:val="20"/>
          <w:szCs w:val="20"/>
          <w:color w:val="auto"/>
        </w:rPr>
      </w:pPr>
      <w:r>
        <w:rPr>
          <w:rFonts w:ascii="Courier New" w:cs="Courier New" w:eastAsia="Courier New" w:hAnsi="Courier New"/>
          <w:sz w:val="16"/>
          <w:szCs w:val="16"/>
          <w:color w:val="auto"/>
        </w:rPr>
        <w:t>UNITED STATES</w:t>
      </w:r>
    </w:p>
    <w:p>
      <w:pPr>
        <w:spacing w:after="0" w:line="26" w:lineRule="exact"/>
        <w:rPr>
          <w:sz w:val="24"/>
          <w:szCs w:val="24"/>
          <w:color w:val="auto"/>
        </w:rPr>
      </w:pPr>
    </w:p>
    <w:p>
      <w:pPr>
        <w:jc w:val="center"/>
        <w:ind w:right="2895"/>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895"/>
        <w:spacing w:after="0"/>
        <w:rPr>
          <w:sz w:val="20"/>
          <w:szCs w:val="20"/>
          <w:color w:val="auto"/>
        </w:rPr>
      </w:pPr>
      <w:r>
        <w:rPr>
          <w:rFonts w:ascii="Courier New" w:cs="Courier New" w:eastAsia="Courier New" w:hAnsi="Courier New"/>
          <w:sz w:val="16"/>
          <w:szCs w:val="16"/>
          <w:color w:val="auto"/>
        </w:rPr>
        <w:t>WASHINGTON, D.C. 20549</w:t>
      </w:r>
    </w:p>
    <w:p>
      <w:pPr>
        <w:spacing w:after="0" w:line="151" w:lineRule="exact"/>
        <w:rPr>
          <w:sz w:val="24"/>
          <w:szCs w:val="24"/>
          <w:color w:val="auto"/>
        </w:rPr>
      </w:pPr>
    </w:p>
    <w:p>
      <w:pPr>
        <w:ind w:left="3284"/>
        <w:spacing w:after="0"/>
        <w:rPr>
          <w:sz w:val="20"/>
          <w:szCs w:val="20"/>
          <w:color w:val="auto"/>
        </w:rPr>
      </w:pPr>
      <w:r>
        <w:rPr>
          <w:rFonts w:ascii="Courier New" w:cs="Courier New" w:eastAsia="Courier New" w:hAnsi="Courier New"/>
          <w:sz w:val="16"/>
          <w:szCs w:val="16"/>
          <w:color w:val="auto"/>
        </w:rPr>
        <w:t>FORM 10-Q</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(Mark One)</w:t>
      </w:r>
    </w:p>
    <w:p>
      <w:pPr>
        <w:spacing w:after="0" w:line="179" w:lineRule="exact"/>
        <w:rPr>
          <w:sz w:val="24"/>
          <w:szCs w:val="24"/>
          <w:color w:val="auto"/>
        </w:rPr>
      </w:pPr>
    </w:p>
    <w:p>
      <w:pPr>
        <w:ind w:left="384" w:right="2819" w:hanging="384"/>
        <w:spacing w:after="0" w:line="348" w:lineRule="auto"/>
        <w:tabs>
          <w:tab w:leader="none" w:pos="38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5" w:lineRule="exact"/>
        <w:rPr>
          <w:sz w:val="24"/>
          <w:szCs w:val="24"/>
          <w:color w:val="auto"/>
        </w:rPr>
      </w:pPr>
    </w:p>
    <w:p>
      <w:pPr>
        <w:ind w:left="1504"/>
        <w:spacing w:after="0"/>
        <w:rPr>
          <w:sz w:val="20"/>
          <w:szCs w:val="20"/>
          <w:color w:val="auto"/>
        </w:rPr>
      </w:pPr>
      <w:r>
        <w:rPr>
          <w:rFonts w:ascii="Courier New" w:cs="Courier New" w:eastAsia="Courier New" w:hAnsi="Courier New"/>
          <w:sz w:val="16"/>
          <w:szCs w:val="16"/>
          <w:color w:val="auto"/>
        </w:rPr>
        <w:t>For the quarterly period ended December 31, 1998</w:t>
      </w:r>
    </w:p>
    <w:p>
      <w:pPr>
        <w:spacing w:after="0" w:line="27" w:lineRule="exact"/>
        <w:rPr>
          <w:sz w:val="24"/>
          <w:szCs w:val="24"/>
          <w:color w:val="auto"/>
        </w:rPr>
      </w:pPr>
    </w:p>
    <w:p>
      <w:pPr>
        <w:ind w:left="4404"/>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4"/>
          <w:szCs w:val="24"/>
          <w:color w:val="auto"/>
        </w:rPr>
      </w:pPr>
    </w:p>
    <w:p>
      <w:pPr>
        <w:ind w:left="3664"/>
        <w:spacing w:after="0"/>
        <w:rPr>
          <w:sz w:val="20"/>
          <w:szCs w:val="20"/>
          <w:color w:val="auto"/>
        </w:rPr>
      </w:pPr>
      <w:r>
        <w:rPr>
          <w:rFonts w:ascii="Courier New" w:cs="Courier New" w:eastAsia="Courier New" w:hAnsi="Courier New"/>
          <w:sz w:val="16"/>
          <w:szCs w:val="16"/>
          <w:color w:val="auto"/>
        </w:rPr>
        <w:t>OR</w:t>
      </w:r>
    </w:p>
    <w:p>
      <w:pPr>
        <w:spacing w:after="0" w:line="179" w:lineRule="exact"/>
        <w:rPr>
          <w:sz w:val="24"/>
          <w:szCs w:val="24"/>
          <w:color w:val="auto"/>
        </w:rPr>
      </w:pPr>
    </w:p>
    <w:p>
      <w:pPr>
        <w:ind w:left="384" w:right="3559" w:hanging="384"/>
        <w:spacing w:after="0" w:line="348" w:lineRule="auto"/>
        <w:tabs>
          <w:tab w:leader="none" w:pos="19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5" w:lineRule="exact"/>
        <w:rPr>
          <w:sz w:val="24"/>
          <w:szCs w:val="24"/>
          <w:color w:val="auto"/>
        </w:rPr>
      </w:pPr>
    </w:p>
    <w:p>
      <w:pPr>
        <w:ind w:left="104"/>
        <w:spacing w:after="0"/>
        <w:rPr>
          <w:sz w:val="20"/>
          <w:szCs w:val="20"/>
          <w:color w:val="auto"/>
        </w:rPr>
      </w:pPr>
      <w:r>
        <w:rPr>
          <w:rFonts w:ascii="Courier New" w:cs="Courier New" w:eastAsia="Courier New" w:hAnsi="Courier New"/>
          <w:sz w:val="15"/>
          <w:szCs w:val="15"/>
          <w:color w:val="auto"/>
        </w:rPr>
        <w:t>For the transition period from ______________________to ______________________</w:t>
      </w:r>
    </w:p>
    <w:p>
      <w:pPr>
        <w:spacing w:after="0" w:line="190" w:lineRule="exact"/>
        <w:rPr>
          <w:sz w:val="24"/>
          <w:szCs w:val="24"/>
          <w:color w:val="auto"/>
        </w:rPr>
      </w:pPr>
    </w:p>
    <w:tbl>
      <w:tblPr>
        <w:tblLayout w:type="fixed"/>
        <w:tblInd w:w="104" w:type="dxa"/>
        <w:tblCellMar>
          <w:top w:w="0" w:type="dxa"/>
          <w:left w:w="0" w:type="dxa"/>
          <w:bottom w:w="0" w:type="dxa"/>
          <w:right w:w="0" w:type="dxa"/>
        </w:tblCellMar>
      </w:tblPr>
      <w:tr>
        <w:trPr>
          <w:trHeight w:val="181"/>
        </w:trPr>
        <w:tc>
          <w:tcPr>
            <w:tcW w:w="6280" w:type="dxa"/>
            <w:vAlign w:val="bottom"/>
            <w:gridSpan w:val="2"/>
          </w:tcPr>
          <w:p>
            <w:pPr>
              <w:ind w:left="2340"/>
              <w:spacing w:after="0"/>
              <w:rPr>
                <w:sz w:val="20"/>
                <w:szCs w:val="20"/>
                <w:color w:val="auto"/>
              </w:rPr>
            </w:pPr>
            <w:r>
              <w:rPr>
                <w:rFonts w:ascii="Courier New" w:cs="Courier New" w:eastAsia="Courier New" w:hAnsi="Courier New"/>
                <w:sz w:val="16"/>
                <w:szCs w:val="16"/>
                <w:color w:val="auto"/>
              </w:rPr>
              <w:t>Commission file number 0-7647</w:t>
            </w: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2580" w:type="dxa"/>
            <w:vAlign w:val="bottom"/>
          </w:tcPr>
          <w:p>
            <w:pPr>
              <w:ind w:left="8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280" w:type="dxa"/>
            <w:vAlign w:val="bottom"/>
            <w:gridSpan w:val="2"/>
          </w:tcPr>
          <w:p>
            <w:pPr>
              <w:jc w:val="center"/>
              <w:ind w:left="942"/>
              <w:spacing w:after="0"/>
              <w:rPr>
                <w:sz w:val="20"/>
                <w:szCs w:val="20"/>
                <w:color w:val="auto"/>
              </w:rPr>
            </w:pPr>
            <w:r>
              <w:rPr>
                <w:rFonts w:ascii="Courier New" w:cs="Courier New" w:eastAsia="Courier New" w:hAnsi="Courier New"/>
                <w:sz w:val="16"/>
                <w:szCs w:val="16"/>
                <w:color w:val="auto"/>
                <w:w w:val="97"/>
              </w:rPr>
              <w:t>HAWKINS CHEMICAL, INC.</w:t>
            </w:r>
          </w:p>
        </w:tc>
        <w:tc>
          <w:tcPr>
            <w:tcW w:w="0" w:type="dxa"/>
            <w:vAlign w:val="bottom"/>
          </w:tcPr>
          <w:p>
            <w:pPr>
              <w:spacing w:after="0"/>
              <w:rPr>
                <w:sz w:val="1"/>
                <w:szCs w:val="1"/>
                <w:color w:val="auto"/>
              </w:rPr>
            </w:pPr>
          </w:p>
        </w:tc>
      </w:tr>
      <w:tr>
        <w:trPr>
          <w:trHeight w:val="180"/>
        </w:trPr>
        <w:tc>
          <w:tcPr>
            <w:tcW w:w="6280" w:type="dxa"/>
            <w:vAlign w:val="bottom"/>
            <w:gridSpan w:val="2"/>
          </w:tcPr>
          <w:p>
            <w:pPr>
              <w:jc w:val="center"/>
              <w:ind w:left="942"/>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264"/>
        </w:trPr>
        <w:tc>
          <w:tcPr>
            <w:tcW w:w="6280" w:type="dxa"/>
            <w:vAlign w:val="bottom"/>
            <w:gridSpan w:val="2"/>
          </w:tcPr>
          <w:p>
            <w:pPr>
              <w:jc w:val="center"/>
              <w:ind w:left="942"/>
              <w:spacing w:after="0"/>
              <w:rPr>
                <w:sz w:val="20"/>
                <w:szCs w:val="20"/>
                <w:color w:val="auto"/>
              </w:rPr>
            </w:pPr>
            <w:r>
              <w:rPr>
                <w:rFonts w:ascii="Courier New" w:cs="Courier New" w:eastAsia="Courier New" w:hAnsi="Courier New"/>
                <w:sz w:val="16"/>
                <w:szCs w:val="16"/>
                <w:color w:val="auto"/>
                <w:w w:val="97"/>
              </w:rPr>
              <w:t>(Exact name of registrant as specified in its charter)</w:t>
            </w:r>
          </w:p>
        </w:tc>
        <w:tc>
          <w:tcPr>
            <w:tcW w:w="0" w:type="dxa"/>
            <w:vAlign w:val="bottom"/>
          </w:tcPr>
          <w:p>
            <w:pPr>
              <w:spacing w:after="0"/>
              <w:rPr>
                <w:sz w:val="1"/>
                <w:szCs w:val="1"/>
                <w:color w:val="auto"/>
              </w:rPr>
            </w:pPr>
          </w:p>
        </w:tc>
      </w:tr>
      <w:tr>
        <w:trPr>
          <w:trHeight w:val="277"/>
        </w:trPr>
        <w:tc>
          <w:tcPr>
            <w:tcW w:w="3700" w:type="dxa"/>
            <w:vAlign w:val="bottom"/>
          </w:tcPr>
          <w:p>
            <w:pPr>
              <w:ind w:left="840"/>
              <w:spacing w:after="0"/>
              <w:rPr>
                <w:sz w:val="20"/>
                <w:szCs w:val="20"/>
                <w:color w:val="auto"/>
              </w:rPr>
            </w:pPr>
            <w:r>
              <w:rPr>
                <w:rFonts w:ascii="Courier New" w:cs="Courier New" w:eastAsia="Courier New" w:hAnsi="Courier New"/>
                <w:sz w:val="16"/>
                <w:szCs w:val="16"/>
                <w:color w:val="auto"/>
              </w:rPr>
              <w:t>MINNESOTA</w:t>
            </w:r>
          </w:p>
        </w:tc>
        <w:tc>
          <w:tcPr>
            <w:tcW w:w="25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41-0771293</w:t>
            </w:r>
          </w:p>
        </w:tc>
        <w:tc>
          <w:tcPr>
            <w:tcW w:w="0" w:type="dxa"/>
            <w:vAlign w:val="bottom"/>
          </w:tcPr>
          <w:p>
            <w:pPr>
              <w:spacing w:after="0"/>
              <w:rPr>
                <w:sz w:val="1"/>
                <w:szCs w:val="1"/>
                <w:color w:val="auto"/>
              </w:rPr>
            </w:pPr>
          </w:p>
        </w:tc>
      </w:tr>
      <w:tr>
        <w:trPr>
          <w:trHeight w:val="180"/>
        </w:trPr>
        <w:tc>
          <w:tcPr>
            <w:tcW w:w="3700" w:type="dxa"/>
            <w:vAlign w:val="bottom"/>
            <w:vMerge w:val="restart"/>
          </w:tcPr>
          <w:p>
            <w:pPr>
              <w:spacing w:after="0"/>
              <w:rPr>
                <w:sz w:val="20"/>
                <w:szCs w:val="20"/>
                <w:color w:val="auto"/>
              </w:rPr>
            </w:pPr>
            <w:r>
              <w:rPr>
                <w:rFonts w:ascii="Courier New" w:cs="Courier New" w:eastAsia="Courier New" w:hAnsi="Courier New"/>
                <w:sz w:val="16"/>
                <w:szCs w:val="16"/>
                <w:color w:val="auto"/>
                <w:w w:val="94"/>
              </w:rPr>
              <w:t>(State or</w:t>
            </w:r>
            <w:r>
              <w:rPr>
                <w:rFonts w:ascii="Courier New" w:cs="Courier New" w:eastAsia="Courier New" w:hAnsi="Courier New"/>
                <w:sz w:val="31"/>
                <w:szCs w:val="31"/>
                <w:color w:val="auto"/>
                <w:w w:val="94"/>
                <w:vertAlign w:val="superscript"/>
              </w:rPr>
              <w:t>---------</w:t>
            </w:r>
            <w:r>
              <w:rPr>
                <w:rFonts w:ascii="Courier New" w:cs="Courier New" w:eastAsia="Courier New" w:hAnsi="Courier New"/>
                <w:sz w:val="16"/>
                <w:szCs w:val="16"/>
                <w:color w:val="auto"/>
                <w:w w:val="94"/>
              </w:rPr>
              <w:t>otherjurisdiction of</w:t>
            </w:r>
          </w:p>
        </w:tc>
        <w:tc>
          <w:tcPr>
            <w:tcW w:w="25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700" w:type="dxa"/>
            <w:vAlign w:val="bottom"/>
            <w:vMerge w:val="continue"/>
          </w:tcPr>
          <w:p>
            <w:pPr>
              <w:spacing w:after="0"/>
              <w:rPr>
                <w:sz w:val="15"/>
                <w:szCs w:val="15"/>
                <w:color w:val="auto"/>
              </w:rPr>
            </w:pPr>
          </w:p>
        </w:tc>
        <w:tc>
          <w:tcPr>
            <w:tcW w:w="2580" w:type="dxa"/>
            <w:vAlign w:val="bottom"/>
          </w:tcPr>
          <w:p>
            <w:pPr>
              <w:ind w:left="800"/>
              <w:spacing w:after="0"/>
              <w:rPr>
                <w:sz w:val="20"/>
                <w:szCs w:val="20"/>
                <w:color w:val="auto"/>
              </w:rPr>
            </w:pPr>
            <w:r>
              <w:rPr>
                <w:rFonts w:ascii="Courier New" w:cs="Courier New" w:eastAsia="Courier New" w:hAnsi="Courier New"/>
                <w:sz w:val="16"/>
                <w:szCs w:val="16"/>
                <w:color w:val="auto"/>
              </w:rPr>
              <w:t>(I.R.S. Employer</w:t>
            </w: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0"/>
                <w:szCs w:val="20"/>
                <w:color w:val="auto"/>
              </w:rPr>
            </w:pPr>
            <w:r>
              <w:rPr>
                <w:rFonts w:ascii="Courier New" w:cs="Courier New" w:eastAsia="Courier New" w:hAnsi="Courier New"/>
                <w:sz w:val="16"/>
                <w:szCs w:val="16"/>
                <w:color w:val="auto"/>
              </w:rPr>
              <w:t>incorporation of organization)</w:t>
            </w:r>
          </w:p>
        </w:tc>
        <w:tc>
          <w:tcPr>
            <w:tcW w:w="2580" w:type="dxa"/>
            <w:vAlign w:val="bottom"/>
          </w:tcPr>
          <w:p>
            <w:pPr>
              <w:ind w:left="800"/>
              <w:spacing w:after="0"/>
              <w:rPr>
                <w:sz w:val="20"/>
                <w:szCs w:val="20"/>
                <w:color w:val="auto"/>
              </w:rPr>
            </w:pPr>
            <w:r>
              <w:rPr>
                <w:rFonts w:ascii="Courier New" w:cs="Courier New" w:eastAsia="Courier New" w:hAnsi="Courier New"/>
                <w:sz w:val="16"/>
                <w:szCs w:val="16"/>
                <w:color w:val="auto"/>
                <w:w w:val="96"/>
              </w:rPr>
              <w:t>Identification No.)</w:t>
            </w:r>
          </w:p>
        </w:tc>
        <w:tc>
          <w:tcPr>
            <w:tcW w:w="0" w:type="dxa"/>
            <w:vAlign w:val="bottom"/>
          </w:tcPr>
          <w:p>
            <w:pPr>
              <w:spacing w:after="0"/>
              <w:rPr>
                <w:sz w:val="1"/>
                <w:szCs w:val="1"/>
                <w:color w:val="auto"/>
              </w:rPr>
            </w:pPr>
          </w:p>
        </w:tc>
      </w:tr>
    </w:tbl>
    <w:p>
      <w:pPr>
        <w:spacing w:after="0" w:line="97" w:lineRule="exact"/>
        <w:rPr>
          <w:sz w:val="24"/>
          <w:szCs w:val="24"/>
          <w:color w:val="auto"/>
        </w:rPr>
      </w:pPr>
    </w:p>
    <w:p>
      <w:pPr>
        <w:ind w:left="1224"/>
        <w:spacing w:after="0"/>
        <w:rPr>
          <w:sz w:val="20"/>
          <w:szCs w:val="20"/>
          <w:color w:val="auto"/>
        </w:rPr>
      </w:pPr>
      <w:r>
        <w:rPr>
          <w:rFonts w:ascii="Courier New" w:cs="Courier New" w:eastAsia="Courier New" w:hAnsi="Courier New"/>
          <w:sz w:val="16"/>
          <w:szCs w:val="16"/>
          <w:color w:val="auto"/>
        </w:rPr>
        <w:t>3100 EAST HENNEPIN AVENUE, MINNEAPOLIS, MINNESOTA 55413</w:t>
      </w:r>
    </w:p>
    <w:p>
      <w:pPr>
        <w:spacing w:after="0" w:line="26" w:lineRule="exact"/>
        <w:rPr>
          <w:sz w:val="24"/>
          <w:szCs w:val="24"/>
          <w:color w:val="auto"/>
        </w:rPr>
      </w:pPr>
    </w:p>
    <w:p>
      <w:pPr>
        <w:ind w:left="1224"/>
        <w:spacing w:after="0"/>
        <w:rPr>
          <w:sz w:val="20"/>
          <w:szCs w:val="20"/>
          <w:color w:val="auto"/>
        </w:rPr>
      </w:pPr>
      <w:r>
        <w:rPr>
          <w:rFonts w:ascii="Courier New" w:cs="Courier New" w:eastAsia="Courier New" w:hAnsi="Courier New"/>
          <w:sz w:val="16"/>
          <w:szCs w:val="16"/>
          <w:color w:val="auto"/>
        </w:rPr>
        <w:t>-------------------------------------------------------</w:t>
      </w:r>
    </w:p>
    <w:p>
      <w:pPr>
        <w:ind w:left="1224"/>
        <w:spacing w:after="0"/>
        <w:tabs>
          <w:tab w:leader="none" w:pos="5603"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151" w:lineRule="exact"/>
        <w:rPr>
          <w:sz w:val="24"/>
          <w:szCs w:val="24"/>
          <w:color w:val="auto"/>
        </w:rPr>
      </w:pPr>
    </w:p>
    <w:p>
      <w:pPr>
        <w:ind w:left="3104"/>
        <w:spacing w:after="0"/>
        <w:rPr>
          <w:sz w:val="20"/>
          <w:szCs w:val="20"/>
          <w:color w:val="auto"/>
        </w:rPr>
      </w:pPr>
      <w:r>
        <w:rPr>
          <w:rFonts w:ascii="Courier New" w:cs="Courier New" w:eastAsia="Courier New" w:hAnsi="Courier New"/>
          <w:sz w:val="16"/>
          <w:szCs w:val="16"/>
          <w:color w:val="auto"/>
        </w:rPr>
        <w:t>(612) 331-6910</w:t>
      </w:r>
    </w:p>
    <w:p>
      <w:pPr>
        <w:spacing w:after="0" w:line="26" w:lineRule="exact"/>
        <w:rPr>
          <w:sz w:val="24"/>
          <w:szCs w:val="24"/>
          <w:color w:val="auto"/>
        </w:rPr>
      </w:pPr>
    </w:p>
    <w:p>
      <w:pPr>
        <w:ind w:left="3104"/>
        <w:spacing w:after="0"/>
        <w:rPr>
          <w:sz w:val="20"/>
          <w:szCs w:val="20"/>
          <w:color w:val="auto"/>
        </w:rPr>
      </w:pPr>
      <w:r>
        <w:rPr>
          <w:rFonts w:ascii="Courier New" w:cs="Courier New" w:eastAsia="Courier New" w:hAnsi="Courier New"/>
          <w:sz w:val="16"/>
          <w:szCs w:val="16"/>
          <w:color w:val="auto"/>
        </w:rPr>
        <w:t>--------------</w:t>
      </w:r>
    </w:p>
    <w:p>
      <w:pPr>
        <w:ind w:left="1404"/>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332" w:lineRule="exact"/>
        <w:rPr>
          <w:sz w:val="24"/>
          <w:szCs w:val="24"/>
          <w:color w:val="auto"/>
        </w:rPr>
      </w:pPr>
    </w:p>
    <w:p>
      <w:pPr>
        <w:ind w:left="4" w:right="2719"/>
        <w:spacing w:after="0" w:line="266"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8" w:lineRule="exact"/>
        <w:rPr>
          <w:sz w:val="24"/>
          <w:szCs w:val="24"/>
          <w:color w:val="auto"/>
        </w:rPr>
      </w:pPr>
    </w:p>
    <w:p>
      <w:pPr>
        <w:ind w:left="4324"/>
        <w:spacing w:after="0"/>
        <w:tabs>
          <w:tab w:leader="none" w:pos="4763" w:val="left"/>
          <w:tab w:leader="none" w:pos="5143" w:val="left"/>
        </w:tabs>
        <w:rPr>
          <w:sz w:val="20"/>
          <w:szCs w:val="20"/>
          <w:color w:val="auto"/>
        </w:rPr>
      </w:pPr>
      <w:r>
        <w:rPr>
          <w:rFonts w:ascii="Courier New" w:cs="Courier New" w:eastAsia="Courier New" w:hAnsi="Courier New"/>
          <w:sz w:val="16"/>
          <w:szCs w:val="16"/>
          <w:color w:val="auto"/>
        </w:rPr>
        <w:t>YES</w:t>
        <w:tab/>
        <w:t>X</w:t>
      </w:r>
      <w:r>
        <w:rPr>
          <w:sz w:val="20"/>
          <w:szCs w:val="20"/>
          <w:color w:val="auto"/>
        </w:rPr>
        <w:tab/>
      </w:r>
      <w:r>
        <w:rPr>
          <w:rFonts w:ascii="Courier New" w:cs="Courier New" w:eastAsia="Courier New" w:hAnsi="Courier New"/>
          <w:sz w:val="15"/>
          <w:szCs w:val="15"/>
          <w:color w:val="auto"/>
        </w:rPr>
        <w:t>NO</w:t>
      </w:r>
    </w:p>
    <w:p>
      <w:pPr>
        <w:spacing w:after="0" w:line="27" w:lineRule="exact"/>
        <w:rPr>
          <w:sz w:val="24"/>
          <w:szCs w:val="24"/>
          <w:color w:val="auto"/>
        </w:rPr>
      </w:pPr>
    </w:p>
    <w:p>
      <w:pPr>
        <w:ind w:left="4684"/>
        <w:spacing w:after="0"/>
        <w:tabs>
          <w:tab w:leader="none" w:pos="542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51" w:lineRule="exact"/>
        <w:rPr>
          <w:sz w:val="24"/>
          <w:szCs w:val="24"/>
          <w:color w:val="auto"/>
        </w:rPr>
      </w:pPr>
    </w:p>
    <w:p>
      <w:pPr>
        <w:ind w:left="4" w:right="3099"/>
        <w:spacing w:after="0" w:line="348"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pacing w:after="0" w:line="15"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4020" w:type="dxa"/>
            <w:vAlign w:val="bottom"/>
          </w:tcPr>
          <w:p>
            <w:pPr>
              <w:ind w:left="1300"/>
              <w:spacing w:after="0"/>
              <w:rPr>
                <w:sz w:val="20"/>
                <w:szCs w:val="20"/>
                <w:color w:val="auto"/>
              </w:rPr>
            </w:pPr>
            <w:r>
              <w:rPr>
                <w:rFonts w:ascii="Courier New" w:cs="Courier New" w:eastAsia="Courier New" w:hAnsi="Courier New"/>
                <w:sz w:val="16"/>
                <w:szCs w:val="16"/>
                <w:color w:val="auto"/>
              </w:rPr>
              <w:t>Class</w:t>
            </w:r>
          </w:p>
        </w:tc>
        <w:tc>
          <w:tcPr>
            <w:tcW w:w="33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Outstanding at February 5, 1999</w:t>
            </w:r>
          </w:p>
        </w:tc>
        <w:tc>
          <w:tcPr>
            <w:tcW w:w="0" w:type="dxa"/>
            <w:vAlign w:val="bottom"/>
          </w:tcPr>
          <w:p>
            <w:pPr>
              <w:spacing w:after="0"/>
              <w:rPr>
                <w:sz w:val="1"/>
                <w:szCs w:val="1"/>
                <w:color w:val="auto"/>
              </w:rPr>
            </w:pPr>
          </w:p>
        </w:tc>
      </w:tr>
      <w:tr>
        <w:trPr>
          <w:trHeight w:val="180"/>
        </w:trPr>
        <w:tc>
          <w:tcPr>
            <w:tcW w:w="4020" w:type="dxa"/>
            <w:vAlign w:val="bottom"/>
            <w:vMerge w:val="restart"/>
          </w:tcPr>
          <w:p>
            <w:pPr>
              <w:spacing w:after="0"/>
              <w:rPr>
                <w:sz w:val="20"/>
                <w:szCs w:val="20"/>
                <w:color w:val="auto"/>
              </w:rPr>
            </w:pPr>
            <w:r>
              <w:rPr>
                <w:rFonts w:ascii="Courier New" w:cs="Courier New" w:eastAsia="Courier New" w:hAnsi="Courier New"/>
                <w:sz w:val="22"/>
                <w:szCs w:val="22"/>
                <w:color w:val="auto"/>
                <w:w w:val="71"/>
                <w:vertAlign w:val="subscript"/>
              </w:rPr>
              <w:t>Common</w:t>
            </w: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Stock,parvalue$.05pershare</w:t>
            </w: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9"/>
        </w:trPr>
        <w:tc>
          <w:tcPr>
            <w:tcW w:w="4020" w:type="dxa"/>
            <w:vAlign w:val="bottom"/>
            <w:vMerge w:val="continue"/>
          </w:tcPr>
          <w:p>
            <w:pPr>
              <w:spacing w:after="0"/>
              <w:rPr>
                <w:sz w:val="24"/>
                <w:szCs w:val="24"/>
                <w:color w:val="auto"/>
              </w:rPr>
            </w:pPr>
          </w:p>
        </w:tc>
        <w:tc>
          <w:tcPr>
            <w:tcW w:w="338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11,245,530</w:t>
            </w:r>
          </w:p>
        </w:tc>
        <w:tc>
          <w:tcPr>
            <w:tcW w:w="0" w:type="dxa"/>
            <w:vAlign w:val="bottom"/>
          </w:tcPr>
          <w:p>
            <w:pPr>
              <w:spacing w:after="0"/>
              <w:rPr>
                <w:sz w:val="1"/>
                <w:szCs w:val="1"/>
                <w:color w:val="auto"/>
              </w:rPr>
            </w:pPr>
          </w:p>
        </w:tc>
      </w:tr>
    </w:tbl>
    <w:p>
      <w:pPr>
        <w:sectPr>
          <w:pgSz w:w="11900" w:h="16838" w:orient="portrait"/>
          <w:cols w:equalWidth="0" w:num="1">
            <w:col w:w="10223"/>
          </w:cols>
          <w:pgMar w:left="236" w:top="931" w:right="1440" w:bottom="1440" w:gutter="0" w:footer="0" w:header="0"/>
        </w:sectPr>
      </w:pPr>
    </w:p>
    <w:bookmarkStart w:id="1" w:name="page2"/>
    <w:bookmarkEnd w:id="1"/>
    <w:p>
      <w:pPr>
        <w:ind w:left="2900"/>
        <w:spacing w:after="0"/>
        <w:rPr>
          <w:sz w:val="20"/>
          <w:szCs w:val="20"/>
          <w:color w:val="auto"/>
        </w:rPr>
      </w:pPr>
      <w:r>
        <w:rPr>
          <w:rFonts w:ascii="Courier New" w:cs="Courier New" w:eastAsia="Courier New" w:hAnsi="Courier New"/>
          <w:sz w:val="16"/>
          <w:szCs w:val="16"/>
          <w:color w:val="auto"/>
        </w:rPr>
        <w:t>HAWKINS CHEMICAL, INC.</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Page No.</w:t>
      </w:r>
    </w:p>
    <w:p>
      <w:pPr>
        <w:spacing w:after="0" w:line="27" w:lineRule="exact"/>
        <w:rPr>
          <w:sz w:val="20"/>
          <w:szCs w:val="20"/>
          <w:color w:val="auto"/>
        </w:rPr>
      </w:pPr>
    </w:p>
    <w:p>
      <w:pPr>
        <w:ind w:left="7120"/>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0"/>
          <w:szCs w:val="20"/>
          <w:color w:val="auto"/>
        </w:rPr>
      </w:pPr>
    </w:p>
    <w:p>
      <w:pPr>
        <w:spacing w:after="0"/>
        <w:tabs>
          <w:tab w:leader="none" w:pos="540" w:val="left"/>
          <w:tab w:leader="none" w:pos="1480" w:val="left"/>
        </w:tabs>
        <w:rPr>
          <w:sz w:val="20"/>
          <w:szCs w:val="20"/>
          <w:color w:val="auto"/>
        </w:rPr>
      </w:pPr>
      <w:r>
        <w:rPr>
          <w:rFonts w:ascii="Courier New" w:cs="Courier New" w:eastAsia="Courier New" w:hAnsi="Courier New"/>
          <w:sz w:val="16"/>
          <w:szCs w:val="16"/>
          <w:color w:val="auto"/>
        </w:rPr>
        <w:t>PART</w:t>
        <w:tab/>
        <w:t>I.</w:t>
      </w:r>
      <w:r>
        <w:rPr>
          <w:sz w:val="20"/>
          <w:szCs w:val="20"/>
          <w:color w:val="auto"/>
        </w:rPr>
        <w:tab/>
      </w:r>
      <w:r>
        <w:rPr>
          <w:rFonts w:ascii="Courier New" w:cs="Courier New" w:eastAsia="Courier New" w:hAnsi="Courier New"/>
          <w:sz w:val="15"/>
          <w:szCs w:val="15"/>
          <w:color w:val="auto"/>
        </w:rPr>
        <w:t>FINANCIAL INFORMATION</w:t>
      </w:r>
    </w:p>
    <w:p>
      <w:pPr>
        <w:spacing w:after="0" w:line="179"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26"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Condensed Balance Sheets - December 31, 1998 and</w:t>
      </w:r>
    </w:p>
    <w:p>
      <w:pPr>
        <w:ind w:left="1780"/>
        <w:spacing w:after="0"/>
        <w:tabs>
          <w:tab w:leader="dot" w:pos="7580" w:val="left"/>
        </w:tabs>
        <w:rPr>
          <w:sz w:val="20"/>
          <w:szCs w:val="20"/>
          <w:color w:val="auto"/>
        </w:rPr>
      </w:pPr>
      <w:r>
        <w:rPr>
          <w:rFonts w:ascii="Courier New" w:cs="Courier New" w:eastAsia="Courier New" w:hAnsi="Courier New"/>
          <w:sz w:val="16"/>
          <w:szCs w:val="16"/>
          <w:color w:val="auto"/>
        </w:rPr>
        <w:t>September 27, 1998</w:t>
      </w:r>
      <w:r>
        <w:rPr>
          <w:sz w:val="20"/>
          <w:szCs w:val="20"/>
          <w:color w:val="auto"/>
        </w:rPr>
        <w:tab/>
      </w:r>
      <w:r>
        <w:rPr>
          <w:rFonts w:ascii="Courier New" w:cs="Courier New" w:eastAsia="Courier New" w:hAnsi="Courier New"/>
          <w:sz w:val="13"/>
          <w:szCs w:val="13"/>
          <w:color w:val="auto"/>
        </w:rPr>
        <w:t>3</w:t>
      </w:r>
    </w:p>
    <w:p>
      <w:pPr>
        <w:ind w:left="1500"/>
        <w:spacing w:after="0"/>
        <w:rPr>
          <w:sz w:val="20"/>
          <w:szCs w:val="20"/>
          <w:color w:val="auto"/>
        </w:rPr>
      </w:pPr>
      <w:r>
        <w:rPr>
          <w:rFonts w:ascii="Courier New" w:cs="Courier New" w:eastAsia="Courier New" w:hAnsi="Courier New"/>
          <w:sz w:val="16"/>
          <w:szCs w:val="16"/>
          <w:color w:val="auto"/>
        </w:rPr>
        <w:t>Condensed Statements of Income - Three Months Ended</w:t>
      </w:r>
    </w:p>
    <w:p>
      <w:pPr>
        <w:ind w:left="1780"/>
        <w:spacing w:after="0"/>
        <w:tabs>
          <w:tab w:leader="dot" w:pos="7580" w:val="left"/>
        </w:tabs>
        <w:rPr>
          <w:sz w:val="20"/>
          <w:szCs w:val="20"/>
          <w:color w:val="auto"/>
        </w:rPr>
      </w:pPr>
      <w:r>
        <w:rPr>
          <w:rFonts w:ascii="Courier New" w:cs="Courier New" w:eastAsia="Courier New" w:hAnsi="Courier New"/>
          <w:sz w:val="16"/>
          <w:szCs w:val="16"/>
          <w:color w:val="auto"/>
        </w:rPr>
        <w:t>December 31, 1998 and 1997</w:t>
      </w:r>
      <w:r>
        <w:rPr>
          <w:sz w:val="20"/>
          <w:szCs w:val="20"/>
          <w:color w:val="auto"/>
        </w:rPr>
        <w:tab/>
      </w:r>
      <w:r>
        <w:rPr>
          <w:rFonts w:ascii="Courier New" w:cs="Courier New" w:eastAsia="Courier New" w:hAnsi="Courier New"/>
          <w:sz w:val="13"/>
          <w:szCs w:val="13"/>
          <w:color w:val="auto"/>
        </w:rPr>
        <w:t>4</w:t>
      </w:r>
    </w:p>
    <w:p>
      <w:pPr>
        <w:ind w:left="1500"/>
        <w:spacing w:after="0"/>
        <w:rPr>
          <w:sz w:val="20"/>
          <w:szCs w:val="20"/>
          <w:color w:val="auto"/>
        </w:rPr>
      </w:pPr>
      <w:r>
        <w:rPr>
          <w:rFonts w:ascii="Courier New" w:cs="Courier New" w:eastAsia="Courier New" w:hAnsi="Courier New"/>
          <w:sz w:val="16"/>
          <w:szCs w:val="16"/>
          <w:color w:val="auto"/>
        </w:rPr>
        <w:t>Condensed Statements of Cash Flows - Three Months</w:t>
      </w:r>
    </w:p>
    <w:p>
      <w:pPr>
        <w:ind w:left="1780"/>
        <w:spacing w:after="0"/>
        <w:tabs>
          <w:tab w:leader="dot" w:pos="7580" w:val="left"/>
        </w:tabs>
        <w:rPr>
          <w:sz w:val="20"/>
          <w:szCs w:val="20"/>
          <w:color w:val="auto"/>
        </w:rPr>
      </w:pPr>
      <w:r>
        <w:rPr>
          <w:rFonts w:ascii="Courier New" w:cs="Courier New" w:eastAsia="Courier New" w:hAnsi="Courier New"/>
          <w:sz w:val="16"/>
          <w:szCs w:val="16"/>
          <w:color w:val="auto"/>
        </w:rPr>
        <w:t>Ended December 31, 1998 and 1997</w:t>
      </w:r>
      <w:r>
        <w:rPr>
          <w:sz w:val="20"/>
          <w:szCs w:val="20"/>
          <w:color w:val="auto"/>
        </w:rPr>
        <w:tab/>
      </w:r>
      <w:r>
        <w:rPr>
          <w:rFonts w:ascii="Courier New" w:cs="Courier New" w:eastAsia="Courier New" w:hAnsi="Courier New"/>
          <w:sz w:val="13"/>
          <w:szCs w:val="13"/>
          <w:color w:val="auto"/>
        </w:rPr>
        <w:t>5</w:t>
      </w:r>
    </w:p>
    <w:p>
      <w:pPr>
        <w:ind w:left="1500"/>
        <w:spacing w:after="0"/>
        <w:tabs>
          <w:tab w:leader="dot" w:pos="7580" w:val="left"/>
        </w:tabs>
        <w:rPr>
          <w:sz w:val="20"/>
          <w:szCs w:val="20"/>
          <w:color w:val="auto"/>
        </w:rPr>
      </w:pPr>
      <w:r>
        <w:rPr>
          <w:rFonts w:ascii="Courier New" w:cs="Courier New" w:eastAsia="Courier New" w:hAnsi="Courier New"/>
          <w:sz w:val="16"/>
          <w:szCs w:val="16"/>
          <w:color w:val="auto"/>
        </w:rPr>
        <w:t>Notes to Condensed Financial Statements</w:t>
      </w:r>
      <w:r>
        <w:rPr>
          <w:sz w:val="20"/>
          <w:szCs w:val="20"/>
          <w:color w:val="auto"/>
        </w:rPr>
        <w:tab/>
      </w:r>
      <w:r>
        <w:rPr>
          <w:rFonts w:ascii="Courier New" w:cs="Courier New" w:eastAsia="Courier New" w:hAnsi="Courier New"/>
          <w:sz w:val="13"/>
          <w:szCs w:val="13"/>
          <w:color w:val="auto"/>
        </w:rPr>
        <w:t>6</w:t>
      </w:r>
    </w:p>
    <w:p>
      <w:pPr>
        <w:spacing w:after="0" w:line="15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w:t>
      </w:r>
    </w:p>
    <w:p>
      <w:pPr>
        <w:spacing w:after="0" w:line="27" w:lineRule="exact"/>
        <w:rPr>
          <w:sz w:val="20"/>
          <w:szCs w:val="20"/>
          <w:color w:val="auto"/>
        </w:rPr>
      </w:pPr>
    </w:p>
    <w:p>
      <w:pPr>
        <w:jc w:val="right"/>
        <w:ind w:right="2339"/>
        <w:spacing w:after="0"/>
        <w:tabs>
          <w:tab w:leader="dot" w:pos="460" w:val="left"/>
        </w:tabs>
        <w:rPr>
          <w:sz w:val="20"/>
          <w:szCs w:val="20"/>
          <w:color w:val="auto"/>
        </w:rPr>
      </w:pPr>
      <w:r>
        <w:rPr>
          <w:rFonts w:ascii="Courier New" w:cs="Courier New" w:eastAsia="Courier New" w:hAnsi="Courier New"/>
          <w:sz w:val="16"/>
          <w:szCs w:val="16"/>
          <w:color w:val="auto"/>
        </w:rPr>
        <w:t>Condition and Results of Operations</w:t>
      </w:r>
      <w:r>
        <w:rPr>
          <w:sz w:val="20"/>
          <w:szCs w:val="20"/>
          <w:color w:val="auto"/>
        </w:rPr>
        <w:tab/>
      </w:r>
      <w:r>
        <w:rPr>
          <w:rFonts w:ascii="Courier New" w:cs="Courier New" w:eastAsia="Courier New" w:hAnsi="Courier New"/>
          <w:sz w:val="15"/>
          <w:szCs w:val="15"/>
          <w:color w:val="auto"/>
        </w:rPr>
        <w:t>7-10*</w:t>
      </w:r>
    </w:p>
    <w:p>
      <w:pPr>
        <w:spacing w:after="0" w:line="15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179" w:lineRule="exact"/>
        <w:rPr>
          <w:sz w:val="20"/>
          <w:szCs w:val="20"/>
          <w:color w:val="auto"/>
        </w:rPr>
      </w:pPr>
    </w:p>
    <w:p>
      <w:pPr>
        <w:spacing w:after="0"/>
        <w:tabs>
          <w:tab w:leader="none" w:pos="1480" w:val="left"/>
          <w:tab w:leader="dot" w:pos="758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Legal Proceedings</w:t>
      </w:r>
      <w:r>
        <w:rPr>
          <w:sz w:val="20"/>
          <w:szCs w:val="20"/>
          <w:color w:val="auto"/>
        </w:rPr>
        <w:tab/>
      </w:r>
      <w:r>
        <w:rPr>
          <w:rFonts w:ascii="Courier New" w:cs="Courier New" w:eastAsia="Courier New" w:hAnsi="Courier New"/>
          <w:sz w:val="15"/>
          <w:szCs w:val="15"/>
          <w:color w:val="auto"/>
        </w:rPr>
        <w:t>11</w:t>
      </w:r>
    </w:p>
    <w:p>
      <w:pPr>
        <w:spacing w:after="0" w:line="179" w:lineRule="exact"/>
        <w:rPr>
          <w:sz w:val="20"/>
          <w:szCs w:val="20"/>
          <w:color w:val="auto"/>
        </w:rPr>
      </w:pPr>
    </w:p>
    <w:p>
      <w:pPr>
        <w:spacing w:after="0"/>
        <w:tabs>
          <w:tab w:leader="none" w:pos="1480" w:val="left"/>
          <w:tab w:leader="dot" w:pos="758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Exhibits and Reports on Form 8-K</w:t>
      </w:r>
      <w:r>
        <w:rPr>
          <w:sz w:val="20"/>
          <w:szCs w:val="20"/>
          <w:color w:val="auto"/>
        </w:rPr>
        <w:tab/>
      </w:r>
      <w:r>
        <w:rPr>
          <w:rFonts w:ascii="Courier New" w:cs="Courier New" w:eastAsia="Courier New" w:hAnsi="Courier New"/>
          <w:sz w:val="15"/>
          <w:szCs w:val="15"/>
          <w:color w:val="auto"/>
        </w:rPr>
        <w:t>12</w:t>
      </w:r>
    </w:p>
    <w:p>
      <w:pPr>
        <w:spacing w:after="0" w:line="179" w:lineRule="exact"/>
        <w:rPr>
          <w:sz w:val="20"/>
          <w:szCs w:val="20"/>
          <w:color w:val="auto"/>
        </w:rPr>
      </w:pPr>
    </w:p>
    <w:p>
      <w:pPr>
        <w:ind w:left="1500"/>
        <w:spacing w:after="0"/>
        <w:tabs>
          <w:tab w:leader="dot" w:pos="7580" w:val="left"/>
        </w:tabs>
        <w:rPr>
          <w:sz w:val="20"/>
          <w:szCs w:val="20"/>
          <w:color w:val="auto"/>
        </w:rPr>
      </w:pPr>
      <w:r>
        <w:rPr>
          <w:rFonts w:ascii="Courier New" w:cs="Courier New" w:eastAsia="Courier New" w:hAnsi="Courier New"/>
          <w:sz w:val="16"/>
          <w:szCs w:val="16"/>
          <w:color w:val="auto"/>
        </w:rPr>
        <w:t>Exhibit Index</w:t>
      </w:r>
      <w:r>
        <w:rPr>
          <w:sz w:val="20"/>
          <w:szCs w:val="20"/>
          <w:color w:val="auto"/>
        </w:rPr>
        <w:tab/>
      </w:r>
      <w:r>
        <w:rPr>
          <w:rFonts w:ascii="Courier New" w:cs="Courier New" w:eastAsia="Courier New" w:hAnsi="Courier New"/>
          <w:sz w:val="15"/>
          <w:szCs w:val="15"/>
          <w:color w:val="auto"/>
        </w:rPr>
        <w:t>13</w:t>
      </w:r>
    </w:p>
    <w:p>
      <w:pPr>
        <w:spacing w:after="0" w:line="179" w:lineRule="exact"/>
        <w:rPr>
          <w:sz w:val="20"/>
          <w:szCs w:val="20"/>
          <w:color w:val="auto"/>
        </w:rPr>
      </w:pPr>
    </w:p>
    <w:p>
      <w:pPr>
        <w:ind w:left="1500"/>
        <w:spacing w:after="0"/>
        <w:tabs>
          <w:tab w:leader="dot" w:pos="7580" w:val="left"/>
        </w:tabs>
        <w:rPr>
          <w:sz w:val="20"/>
          <w:szCs w:val="20"/>
          <w:color w:val="auto"/>
        </w:rPr>
      </w:pPr>
      <w:r>
        <w:rPr>
          <w:rFonts w:ascii="Courier New" w:cs="Courier New" w:eastAsia="Courier New" w:hAnsi="Courier New"/>
          <w:sz w:val="16"/>
          <w:szCs w:val="16"/>
          <w:color w:val="auto"/>
        </w:rPr>
        <w:t>Financial Data Schedule</w:t>
      </w:r>
      <w:r>
        <w:rPr>
          <w:sz w:val="20"/>
          <w:szCs w:val="20"/>
          <w:color w:val="auto"/>
        </w:rPr>
        <w:tab/>
      </w:r>
      <w:r>
        <w:rPr>
          <w:rFonts w:ascii="Courier New" w:cs="Courier New" w:eastAsia="Courier New" w:hAnsi="Courier New"/>
          <w:sz w:val="15"/>
          <w:szCs w:val="15"/>
          <w:color w:val="auto"/>
        </w:rPr>
        <w:t>14</w:t>
      </w:r>
    </w:p>
    <w:p>
      <w:pPr>
        <w:sectPr>
          <w:pgSz w:w="11900" w:h="16838" w:orient="portrait"/>
          <w:cols w:equalWidth="0" w:num="1">
            <w:col w:w="10219"/>
          </w:cols>
          <w:pgMar w:left="240" w:top="99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64"/>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PART I.</w:t>
            </w:r>
          </w:p>
        </w:tc>
        <w:tc>
          <w:tcPr>
            <w:tcW w:w="6840" w:type="dxa"/>
            <w:vAlign w:val="bottom"/>
          </w:tcPr>
          <w:p>
            <w:pPr>
              <w:ind w:left="180"/>
              <w:spacing w:after="0"/>
              <w:rPr>
                <w:sz w:val="20"/>
                <w:szCs w:val="20"/>
                <w:color w:val="auto"/>
              </w:rPr>
            </w:pPr>
            <w:r>
              <w:rPr>
                <w:rFonts w:ascii="Courier New" w:cs="Courier New" w:eastAsia="Courier New" w:hAnsi="Courier New"/>
                <w:sz w:val="16"/>
                <w:szCs w:val="16"/>
                <w:color w:val="auto"/>
              </w:rPr>
              <w:t>FINANCIAL INFORMATION</w:t>
            </w:r>
          </w:p>
        </w:tc>
        <w:tc>
          <w:tcPr>
            <w:tcW w:w="18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ITEM I.</w:t>
            </w:r>
          </w:p>
        </w:tc>
        <w:tc>
          <w:tcPr>
            <w:tcW w:w="6840" w:type="dxa"/>
            <w:vAlign w:val="bottom"/>
          </w:tcPr>
          <w:p>
            <w:pPr>
              <w:ind w:left="180"/>
              <w:spacing w:after="0"/>
              <w:rPr>
                <w:sz w:val="20"/>
                <w:szCs w:val="20"/>
                <w:color w:val="auto"/>
              </w:rPr>
            </w:pPr>
            <w:r>
              <w:rPr>
                <w:rFonts w:ascii="Courier New" w:cs="Courier New" w:eastAsia="Courier New" w:hAnsi="Courier New"/>
                <w:sz w:val="16"/>
                <w:szCs w:val="16"/>
                <w:color w:val="auto"/>
              </w:rPr>
              <w:t>FINANCIAL STATEMENTS</w:t>
            </w: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60" w:type="dxa"/>
            <w:vAlign w:val="bottom"/>
          </w:tcPr>
          <w:p>
            <w:pPr>
              <w:spacing w:after="0"/>
              <w:rPr>
                <w:sz w:val="24"/>
                <w:szCs w:val="24"/>
                <w:color w:val="auto"/>
              </w:rPr>
            </w:pPr>
          </w:p>
        </w:tc>
        <w:tc>
          <w:tcPr>
            <w:tcW w:w="684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HAWKINS CHEMICAL, INC.</w:t>
            </w: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684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CONDENSED BALANCE SHEETS</w:t>
            </w:r>
          </w:p>
        </w:tc>
        <w:tc>
          <w:tcPr>
            <w:tcW w:w="18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8"/>
        </w:trPr>
        <w:tc>
          <w:tcPr>
            <w:tcW w:w="6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w w:val="96"/>
              </w:rPr>
              <w:t>December 31, 1998</w:t>
            </w:r>
          </w:p>
        </w:tc>
        <w:tc>
          <w:tcPr>
            <w:tcW w:w="2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September 27, 1998</w:t>
            </w:r>
          </w:p>
        </w:tc>
        <w:tc>
          <w:tcPr>
            <w:tcW w:w="0" w:type="dxa"/>
            <w:vAlign w:val="bottom"/>
          </w:tcPr>
          <w:p>
            <w:pPr>
              <w:spacing w:after="0"/>
              <w:rPr>
                <w:sz w:val="1"/>
                <w:szCs w:val="1"/>
                <w:color w:val="auto"/>
              </w:rPr>
            </w:pPr>
          </w:p>
        </w:tc>
      </w:tr>
      <w:tr>
        <w:trPr>
          <w:trHeight w:val="180"/>
        </w:trPr>
        <w:tc>
          <w:tcPr>
            <w:tcW w:w="7500" w:type="dxa"/>
            <w:vAlign w:val="bottom"/>
            <w:gridSpan w:val="2"/>
            <w:vMerge w:val="restart"/>
          </w:tcPr>
          <w:p>
            <w:pPr>
              <w:jc w:val="right"/>
              <w:ind w:right="6582"/>
              <w:spacing w:after="0"/>
              <w:rPr>
                <w:sz w:val="20"/>
                <w:szCs w:val="20"/>
                <w:color w:val="auto"/>
              </w:rPr>
            </w:pPr>
            <w:r>
              <w:rPr>
                <w:rFonts w:ascii="Courier New" w:cs="Courier New" w:eastAsia="Courier New" w:hAnsi="Courier New"/>
                <w:sz w:val="16"/>
                <w:szCs w:val="16"/>
                <w:color w:val="auto"/>
              </w:rPr>
              <w:t>ASSETS</w:t>
            </w:r>
          </w:p>
        </w:tc>
        <w:tc>
          <w:tcPr>
            <w:tcW w:w="1820" w:type="dxa"/>
            <w:vAlign w:val="bottom"/>
            <w:vMerge w:val="restart"/>
          </w:tcPr>
          <w:p>
            <w:pPr>
              <w:jc w:val="right"/>
              <w:ind w:right="143"/>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(Unaudited)</w:t>
            </w:r>
          </w:p>
        </w:tc>
        <w:tc>
          <w:tcPr>
            <w:tcW w:w="2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7500" w:type="dxa"/>
            <w:vAlign w:val="bottom"/>
            <w:gridSpan w:val="2"/>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(Derived from audited</w:t>
            </w: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financial statements)</w:t>
            </w:r>
          </w:p>
        </w:tc>
        <w:tc>
          <w:tcPr>
            <w:tcW w:w="0" w:type="dxa"/>
            <w:vAlign w:val="bottom"/>
          </w:tcPr>
          <w:p>
            <w:pPr>
              <w:spacing w:after="0"/>
              <w:rPr>
                <w:sz w:val="1"/>
                <w:szCs w:val="1"/>
                <w:color w:val="auto"/>
              </w:rPr>
            </w:pPr>
          </w:p>
        </w:tc>
      </w:tr>
      <w:tr>
        <w:trPr>
          <w:trHeight w:val="277"/>
        </w:trPr>
        <w:tc>
          <w:tcPr>
            <w:tcW w:w="7500" w:type="dxa"/>
            <w:vAlign w:val="bottom"/>
            <w:gridSpan w:val="2"/>
          </w:tcPr>
          <w:p>
            <w:pPr>
              <w:spacing w:after="0"/>
              <w:rPr>
                <w:sz w:val="20"/>
                <w:szCs w:val="20"/>
                <w:color w:val="auto"/>
              </w:rPr>
            </w:pPr>
            <w:r>
              <w:rPr>
                <w:rFonts w:ascii="Courier New" w:cs="Courier New" w:eastAsia="Courier New" w:hAnsi="Courier New"/>
                <w:sz w:val="16"/>
                <w:szCs w:val="16"/>
                <w:color w:val="auto"/>
              </w:rPr>
              <w:t>Current assets:</w:t>
            </w:r>
          </w:p>
        </w:tc>
        <w:tc>
          <w:tcPr>
            <w:tcW w:w="1820" w:type="dxa"/>
            <w:vAlign w:val="bottom"/>
            <w:vMerge w:val="restart"/>
          </w:tcPr>
          <w:p>
            <w:pPr>
              <w:jc w:val="right"/>
              <w:ind w:right="143"/>
              <w:spacing w:after="0"/>
              <w:rPr>
                <w:sz w:val="20"/>
                <w:szCs w:val="20"/>
                <w:color w:val="auto"/>
              </w:rPr>
            </w:pPr>
            <w:r>
              <w:rPr>
                <w:rFonts w:ascii="Courier New" w:cs="Courier New" w:eastAsia="Courier New" w:hAnsi="Courier New"/>
                <w:sz w:val="16"/>
                <w:szCs w:val="16"/>
                <w:color w:val="auto"/>
              </w:rPr>
              <w:t>$  1,531,790</w:t>
            </w:r>
          </w:p>
        </w:tc>
        <w:tc>
          <w:tcPr>
            <w:tcW w:w="220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  3,197,015</w:t>
            </w:r>
          </w:p>
        </w:tc>
        <w:tc>
          <w:tcPr>
            <w:tcW w:w="0" w:type="dxa"/>
            <w:vAlign w:val="bottom"/>
          </w:tcPr>
          <w:p>
            <w:pPr>
              <w:spacing w:after="0"/>
              <w:rPr>
                <w:sz w:val="1"/>
                <w:szCs w:val="1"/>
                <w:color w:val="auto"/>
              </w:rPr>
            </w:pPr>
          </w:p>
        </w:tc>
      </w:tr>
      <w:tr>
        <w:trPr>
          <w:trHeight w:val="180"/>
        </w:trPr>
        <w:tc>
          <w:tcPr>
            <w:tcW w:w="7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Cash and cash equivalents.....................................................</w:t>
            </w:r>
          </w:p>
        </w:tc>
        <w:tc>
          <w:tcPr>
            <w:tcW w:w="1820" w:type="dxa"/>
            <w:vAlign w:val="bottom"/>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Investments available-for-sale................................................</w:t>
            </w: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rPr>
              <w:t>17,714,489</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14,543,929</w:t>
            </w:r>
          </w:p>
        </w:tc>
        <w:tc>
          <w:tcPr>
            <w:tcW w:w="0" w:type="dxa"/>
            <w:vAlign w:val="bottom"/>
          </w:tcPr>
          <w:p>
            <w:pPr>
              <w:spacing w:after="0"/>
              <w:rPr>
                <w:sz w:val="1"/>
                <w:szCs w:val="1"/>
                <w:color w:val="auto"/>
              </w:rPr>
            </w:pPr>
          </w:p>
        </w:tc>
      </w:tr>
      <w:tr>
        <w:trPr>
          <w:trHeight w:val="180"/>
        </w:trPr>
        <w:tc>
          <w:tcPr>
            <w:tcW w:w="7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Trade receivables-net.........................................................</w:t>
            </w: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rPr>
              <w:t>9,853,873</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11,436,690</w:t>
            </w:r>
          </w:p>
        </w:tc>
        <w:tc>
          <w:tcPr>
            <w:tcW w:w="0" w:type="dxa"/>
            <w:vAlign w:val="bottom"/>
          </w:tcPr>
          <w:p>
            <w:pPr>
              <w:spacing w:after="0"/>
              <w:rPr>
                <w:sz w:val="1"/>
                <w:szCs w:val="1"/>
                <w:color w:val="auto"/>
              </w:rPr>
            </w:pPr>
          </w:p>
        </w:tc>
      </w:tr>
      <w:tr>
        <w:trPr>
          <w:trHeight w:val="180"/>
        </w:trPr>
        <w:tc>
          <w:tcPr>
            <w:tcW w:w="7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Notes receivable..............................................................</w:t>
            </w: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rPr>
              <w:t>278,523</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271,027</w:t>
            </w:r>
          </w:p>
        </w:tc>
        <w:tc>
          <w:tcPr>
            <w:tcW w:w="0" w:type="dxa"/>
            <w:vAlign w:val="bottom"/>
          </w:tcPr>
          <w:p>
            <w:pPr>
              <w:spacing w:after="0"/>
              <w:rPr>
                <w:sz w:val="1"/>
                <w:szCs w:val="1"/>
                <w:color w:val="auto"/>
              </w:rPr>
            </w:pPr>
          </w:p>
        </w:tc>
      </w:tr>
      <w:tr>
        <w:trPr>
          <w:trHeight w:val="180"/>
        </w:trPr>
        <w:tc>
          <w:tcPr>
            <w:tcW w:w="7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Inventories ..................................................................</w:t>
            </w: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rPr>
              <w:t>9,288,062</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10,816,460</w:t>
            </w:r>
          </w:p>
        </w:tc>
        <w:tc>
          <w:tcPr>
            <w:tcW w:w="0" w:type="dxa"/>
            <w:vAlign w:val="bottom"/>
          </w:tcPr>
          <w:p>
            <w:pPr>
              <w:spacing w:after="0"/>
              <w:rPr>
                <w:sz w:val="1"/>
                <w:szCs w:val="1"/>
                <w:color w:val="auto"/>
              </w:rPr>
            </w:pPr>
          </w:p>
        </w:tc>
      </w:tr>
      <w:tr>
        <w:trPr>
          <w:trHeight w:val="180"/>
        </w:trPr>
        <w:tc>
          <w:tcPr>
            <w:tcW w:w="7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Other current assets..........................................................</w:t>
            </w: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rPr>
              <w:t>1,639,649</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1,848,662</w:t>
            </w: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1"/>
        </w:trPr>
        <w:tc>
          <w:tcPr>
            <w:tcW w:w="7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Total current assets.....................................................</w:t>
            </w: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rPr>
              <w:t>40,306,386</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42,113,783</w:t>
            </w:r>
          </w:p>
        </w:tc>
        <w:tc>
          <w:tcPr>
            <w:tcW w:w="0" w:type="dxa"/>
            <w:vAlign w:val="bottom"/>
          </w:tcPr>
          <w:p>
            <w:pPr>
              <w:spacing w:after="0"/>
              <w:rPr>
                <w:sz w:val="1"/>
                <w:szCs w:val="1"/>
                <w:color w:val="auto"/>
              </w:rPr>
            </w:pPr>
          </w:p>
        </w:tc>
      </w:tr>
      <w:tr>
        <w:trPr>
          <w:trHeight w:val="277"/>
        </w:trPr>
        <w:tc>
          <w:tcPr>
            <w:tcW w:w="7500" w:type="dxa"/>
            <w:vAlign w:val="bottom"/>
            <w:gridSpan w:val="2"/>
          </w:tcPr>
          <w:p>
            <w:pPr>
              <w:spacing w:after="0"/>
              <w:rPr>
                <w:sz w:val="20"/>
                <w:szCs w:val="20"/>
                <w:color w:val="auto"/>
              </w:rPr>
            </w:pPr>
            <w:r>
              <w:rPr>
                <w:rFonts w:ascii="Courier New" w:cs="Courier New" w:eastAsia="Courier New" w:hAnsi="Courier New"/>
                <w:sz w:val="16"/>
                <w:szCs w:val="16"/>
                <w:color w:val="auto"/>
                <w:w w:val="98"/>
              </w:rPr>
              <w:t>Property, plant and equipment-net..............................................</w:t>
            </w: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rPr>
              <w:t>18,687,216</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18,423,489</w:t>
            </w:r>
          </w:p>
        </w:tc>
        <w:tc>
          <w:tcPr>
            <w:tcW w:w="0" w:type="dxa"/>
            <w:vAlign w:val="bottom"/>
          </w:tcPr>
          <w:p>
            <w:pPr>
              <w:spacing w:after="0"/>
              <w:rPr>
                <w:sz w:val="1"/>
                <w:szCs w:val="1"/>
                <w:color w:val="auto"/>
              </w:rPr>
            </w:pPr>
          </w:p>
        </w:tc>
      </w:tr>
      <w:tr>
        <w:trPr>
          <w:trHeight w:val="180"/>
        </w:trPr>
        <w:tc>
          <w:tcPr>
            <w:tcW w:w="7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Notes receivable-non current....................................................</w:t>
            </w: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rPr>
              <w:t>3,227,806</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3,302,923</w:t>
            </w:r>
          </w:p>
        </w:tc>
        <w:tc>
          <w:tcPr>
            <w:tcW w:w="0" w:type="dxa"/>
            <w:vAlign w:val="bottom"/>
          </w:tcPr>
          <w:p>
            <w:pPr>
              <w:spacing w:after="0"/>
              <w:rPr>
                <w:sz w:val="1"/>
                <w:szCs w:val="1"/>
                <w:color w:val="auto"/>
              </w:rPr>
            </w:pPr>
          </w:p>
        </w:tc>
      </w:tr>
      <w:tr>
        <w:trPr>
          <w:trHeight w:val="180"/>
        </w:trPr>
        <w:tc>
          <w:tcPr>
            <w:tcW w:w="7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Other assets....................................................................</w:t>
            </w: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rPr>
              <w:t>2,705,695</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2,695,280</w:t>
            </w: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60" w:type="dxa"/>
            <w:vAlign w:val="bottom"/>
          </w:tcPr>
          <w:p>
            <w:pPr>
              <w:ind w:left="180"/>
              <w:spacing w:after="0"/>
              <w:rPr>
                <w:sz w:val="20"/>
                <w:szCs w:val="20"/>
                <w:color w:val="auto"/>
              </w:rPr>
            </w:pPr>
            <w:r>
              <w:rPr>
                <w:rFonts w:ascii="Courier New" w:cs="Courier New" w:eastAsia="Courier New" w:hAnsi="Courier New"/>
                <w:sz w:val="16"/>
                <w:szCs w:val="16"/>
                <w:color w:val="auto"/>
                <w:w w:val="95"/>
              </w:rPr>
              <w:t>Total</w:t>
            </w:r>
          </w:p>
        </w:tc>
        <w:tc>
          <w:tcPr>
            <w:tcW w:w="6840" w:type="dxa"/>
            <w:vAlign w:val="bottom"/>
          </w:tcPr>
          <w:p>
            <w:pPr>
              <w:spacing w:after="0"/>
              <w:rPr>
                <w:sz w:val="24"/>
                <w:szCs w:val="24"/>
                <w:color w:val="auto"/>
              </w:rPr>
            </w:pP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rPr>
              <w:t>$ 64,927,103</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$ 66,535,475</w:t>
            </w: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1"/>
        </w:trPr>
        <w:tc>
          <w:tcPr>
            <w:tcW w:w="7500" w:type="dxa"/>
            <w:vAlign w:val="bottom"/>
            <w:gridSpan w:val="2"/>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50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1820" w:type="dxa"/>
            <w:vAlign w:val="bottom"/>
            <w:vMerge w:val="restart"/>
          </w:tcPr>
          <w:p>
            <w:pPr>
              <w:jc w:val="right"/>
              <w:ind w:right="143"/>
              <w:spacing w:after="0"/>
              <w:rPr>
                <w:sz w:val="20"/>
                <w:szCs w:val="20"/>
                <w:color w:val="auto"/>
              </w:rPr>
            </w:pPr>
            <w:r>
              <w:rPr>
                <w:rFonts w:ascii="Courier New" w:cs="Courier New" w:eastAsia="Courier New" w:hAnsi="Courier New"/>
                <w:sz w:val="16"/>
                <w:szCs w:val="16"/>
                <w:color w:val="auto"/>
              </w:rPr>
              <w:t>$4,318,344</w:t>
            </w:r>
          </w:p>
        </w:tc>
        <w:tc>
          <w:tcPr>
            <w:tcW w:w="220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$4,970,341</w:t>
            </w:r>
          </w:p>
        </w:tc>
        <w:tc>
          <w:tcPr>
            <w:tcW w:w="0" w:type="dxa"/>
            <w:vAlign w:val="bottom"/>
          </w:tcPr>
          <w:p>
            <w:pPr>
              <w:spacing w:after="0"/>
              <w:rPr>
                <w:sz w:val="1"/>
                <w:szCs w:val="1"/>
                <w:color w:val="auto"/>
              </w:rPr>
            </w:pPr>
          </w:p>
        </w:tc>
      </w:tr>
      <w:tr>
        <w:trPr>
          <w:trHeight w:val="180"/>
        </w:trPr>
        <w:tc>
          <w:tcPr>
            <w:tcW w:w="7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Accounts payable..............................................................</w:t>
            </w:r>
          </w:p>
        </w:tc>
        <w:tc>
          <w:tcPr>
            <w:tcW w:w="1820" w:type="dxa"/>
            <w:vAlign w:val="bottom"/>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Current portion of long-term debt.............................................</w:t>
            </w: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rPr>
              <w:t>95,362</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89,123</w:t>
            </w:r>
          </w:p>
        </w:tc>
        <w:tc>
          <w:tcPr>
            <w:tcW w:w="0" w:type="dxa"/>
            <w:vAlign w:val="bottom"/>
          </w:tcPr>
          <w:p>
            <w:pPr>
              <w:spacing w:after="0"/>
              <w:rPr>
                <w:sz w:val="1"/>
                <w:szCs w:val="1"/>
                <w:color w:val="auto"/>
              </w:rPr>
            </w:pPr>
          </w:p>
        </w:tc>
      </w:tr>
      <w:tr>
        <w:trPr>
          <w:trHeight w:val="180"/>
        </w:trPr>
        <w:tc>
          <w:tcPr>
            <w:tcW w:w="7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Dividends payable.............................................................</w:t>
            </w:r>
          </w:p>
        </w:tc>
        <w:tc>
          <w:tcPr>
            <w:tcW w:w="1820" w:type="dxa"/>
            <w:vAlign w:val="bottom"/>
            <w:vMerge w:val="restart"/>
          </w:tcPr>
          <w:p>
            <w:pPr>
              <w:jc w:val="right"/>
              <w:ind w:right="143"/>
              <w:spacing w:after="0"/>
              <w:rPr>
                <w:sz w:val="20"/>
                <w:szCs w:val="20"/>
                <w:color w:val="auto"/>
              </w:rPr>
            </w:pPr>
            <w:r>
              <w:rPr>
                <w:rFonts w:ascii="Courier New" w:cs="Courier New" w:eastAsia="Courier New" w:hAnsi="Courier New"/>
                <w:sz w:val="16"/>
                <w:szCs w:val="16"/>
                <w:color w:val="auto"/>
              </w:rPr>
              <w:t>3,561,646</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1,147,090</w:t>
            </w:r>
          </w:p>
        </w:tc>
        <w:tc>
          <w:tcPr>
            <w:tcW w:w="0" w:type="dxa"/>
            <w:vAlign w:val="bottom"/>
          </w:tcPr>
          <w:p>
            <w:pPr>
              <w:spacing w:after="0"/>
              <w:rPr>
                <w:sz w:val="1"/>
                <w:szCs w:val="1"/>
                <w:color w:val="auto"/>
              </w:rPr>
            </w:pPr>
          </w:p>
        </w:tc>
      </w:tr>
      <w:tr>
        <w:trPr>
          <w:trHeight w:val="180"/>
        </w:trPr>
        <w:tc>
          <w:tcPr>
            <w:tcW w:w="7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Other current liabilities.....................................................</w:t>
            </w:r>
          </w:p>
        </w:tc>
        <w:tc>
          <w:tcPr>
            <w:tcW w:w="1820" w:type="dxa"/>
            <w:vAlign w:val="bottom"/>
            <w:vMerge w:val="continue"/>
          </w:tcPr>
          <w:p>
            <w:pPr>
              <w:spacing w:after="0"/>
              <w:rPr>
                <w:sz w:val="15"/>
                <w:szCs w:val="15"/>
                <w:color w:val="auto"/>
              </w:rPr>
            </w:pP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5,414,051</w:t>
            </w: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1"/>
        </w:trPr>
        <w:tc>
          <w:tcPr>
            <w:tcW w:w="7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rPr>
              <w:t>7,975,352</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11,620,605</w:t>
            </w:r>
          </w:p>
        </w:tc>
        <w:tc>
          <w:tcPr>
            <w:tcW w:w="0" w:type="dxa"/>
            <w:vAlign w:val="bottom"/>
          </w:tcPr>
          <w:p>
            <w:pPr>
              <w:spacing w:after="0"/>
              <w:rPr>
                <w:sz w:val="1"/>
                <w:szCs w:val="1"/>
                <w:color w:val="auto"/>
              </w:rPr>
            </w:pPr>
          </w:p>
        </w:tc>
      </w:tr>
      <w:tr>
        <w:trPr>
          <w:trHeight w:val="277"/>
        </w:trPr>
        <w:tc>
          <w:tcPr>
            <w:tcW w:w="7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Long-term debt..................................................................</w:t>
            </w: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rPr>
              <w:t>328,040</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423,402</w:t>
            </w:r>
          </w:p>
        </w:tc>
        <w:tc>
          <w:tcPr>
            <w:tcW w:w="0" w:type="dxa"/>
            <w:vAlign w:val="bottom"/>
          </w:tcPr>
          <w:p>
            <w:pPr>
              <w:spacing w:after="0"/>
              <w:rPr>
                <w:sz w:val="1"/>
                <w:szCs w:val="1"/>
                <w:color w:val="auto"/>
              </w:rPr>
            </w:pPr>
          </w:p>
        </w:tc>
      </w:tr>
      <w:tr>
        <w:trPr>
          <w:trHeight w:val="180"/>
        </w:trPr>
        <w:tc>
          <w:tcPr>
            <w:tcW w:w="7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Deferred income taxes...........................................................</w:t>
            </w: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rPr>
              <w:t>1,013,500</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1,011,500</w:t>
            </w:r>
          </w:p>
        </w:tc>
        <w:tc>
          <w:tcPr>
            <w:tcW w:w="0" w:type="dxa"/>
            <w:vAlign w:val="bottom"/>
          </w:tcPr>
          <w:p>
            <w:pPr>
              <w:spacing w:after="0"/>
              <w:rPr>
                <w:sz w:val="1"/>
                <w:szCs w:val="1"/>
                <w:color w:val="auto"/>
              </w:rPr>
            </w:pPr>
          </w:p>
        </w:tc>
      </w:tr>
      <w:tr>
        <w:trPr>
          <w:trHeight w:val="264"/>
        </w:trPr>
        <w:tc>
          <w:tcPr>
            <w:tcW w:w="7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Commitments and contingencies...................................................</w:t>
            </w:r>
          </w:p>
        </w:tc>
        <w:tc>
          <w:tcPr>
            <w:tcW w:w="18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500" w:type="dxa"/>
            <w:vAlign w:val="bottom"/>
            <w:gridSpan w:val="2"/>
          </w:tcPr>
          <w:p>
            <w:pPr>
              <w:spacing w:after="0"/>
              <w:rPr>
                <w:sz w:val="20"/>
                <w:szCs w:val="20"/>
                <w:color w:val="auto"/>
              </w:rPr>
            </w:pPr>
            <w:r>
              <w:rPr>
                <w:rFonts w:ascii="Courier New" w:cs="Courier New" w:eastAsia="Courier New" w:hAnsi="Courier New"/>
                <w:sz w:val="16"/>
                <w:szCs w:val="16"/>
                <w:color w:val="auto"/>
              </w:rPr>
              <w:t>Shareholders' equity:</w:t>
            </w: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500" w:type="dxa"/>
            <w:vAlign w:val="bottom"/>
            <w:gridSpan w:val="2"/>
          </w:tcPr>
          <w:p>
            <w:pPr>
              <w:jc w:val="right"/>
              <w:ind w:right="2362"/>
              <w:spacing w:after="0"/>
              <w:rPr>
                <w:sz w:val="20"/>
                <w:szCs w:val="20"/>
                <w:color w:val="auto"/>
              </w:rPr>
            </w:pPr>
            <w:r>
              <w:rPr>
                <w:rFonts w:ascii="Courier New" w:cs="Courier New" w:eastAsia="Courier New" w:hAnsi="Courier New"/>
                <w:sz w:val="16"/>
                <w:szCs w:val="16"/>
                <w:color w:val="auto"/>
              </w:rPr>
              <w:t>Common stock, par value $.05 per share; issued and</w:t>
            </w:r>
          </w:p>
        </w:tc>
        <w:tc>
          <w:tcPr>
            <w:tcW w:w="1820" w:type="dxa"/>
            <w:vAlign w:val="bottom"/>
            <w:vMerge w:val="restart"/>
          </w:tcPr>
          <w:p>
            <w:pPr>
              <w:jc w:val="right"/>
              <w:ind w:right="143"/>
              <w:spacing w:after="0"/>
              <w:rPr>
                <w:sz w:val="20"/>
                <w:szCs w:val="20"/>
                <w:color w:val="auto"/>
              </w:rPr>
            </w:pPr>
            <w:r>
              <w:rPr>
                <w:rFonts w:ascii="Courier New" w:cs="Courier New" w:eastAsia="Courier New" w:hAnsi="Courier New"/>
                <w:sz w:val="16"/>
                <w:szCs w:val="16"/>
                <w:color w:val="auto"/>
              </w:rPr>
              <w:t>566,152</w:t>
            </w:r>
          </w:p>
        </w:tc>
        <w:tc>
          <w:tcPr>
            <w:tcW w:w="220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572,545</w:t>
            </w:r>
          </w:p>
        </w:tc>
        <w:tc>
          <w:tcPr>
            <w:tcW w:w="0" w:type="dxa"/>
            <w:vAlign w:val="bottom"/>
          </w:tcPr>
          <w:p>
            <w:pPr>
              <w:spacing w:after="0"/>
              <w:rPr>
                <w:sz w:val="1"/>
                <w:szCs w:val="1"/>
                <w:color w:val="auto"/>
              </w:rPr>
            </w:pPr>
          </w:p>
        </w:tc>
      </w:tr>
      <w:tr>
        <w:trPr>
          <w:trHeight w:val="180"/>
        </w:trPr>
        <w:tc>
          <w:tcPr>
            <w:tcW w:w="7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outstanding, 11,323,030 and 11,450,895 shares respectively................</w:t>
            </w:r>
          </w:p>
        </w:tc>
        <w:tc>
          <w:tcPr>
            <w:tcW w:w="1820" w:type="dxa"/>
            <w:vAlign w:val="bottom"/>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Additional paid-in capital..................................................</w:t>
            </w: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rPr>
              <w:t>41,491,986</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41,960,535</w:t>
            </w:r>
          </w:p>
        </w:tc>
        <w:tc>
          <w:tcPr>
            <w:tcW w:w="0" w:type="dxa"/>
            <w:vAlign w:val="bottom"/>
          </w:tcPr>
          <w:p>
            <w:pPr>
              <w:spacing w:after="0"/>
              <w:rPr>
                <w:sz w:val="1"/>
                <w:szCs w:val="1"/>
                <w:color w:val="auto"/>
              </w:rPr>
            </w:pPr>
          </w:p>
        </w:tc>
      </w:tr>
      <w:tr>
        <w:trPr>
          <w:trHeight w:val="180"/>
        </w:trPr>
        <w:tc>
          <w:tcPr>
            <w:tcW w:w="7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Retained earnings...........................................................</w:t>
            </w: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rPr>
              <w:t>13,552,073</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10,946,888</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6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7"/>
              </w:rPr>
              <w:t>Total shareholders' equity...............................................</w:t>
            </w:r>
          </w:p>
        </w:tc>
        <w:tc>
          <w:tcPr>
            <w:tcW w:w="1820" w:type="dxa"/>
            <w:vAlign w:val="bottom"/>
            <w:vMerge w:val="restart"/>
          </w:tcPr>
          <w:p>
            <w:pPr>
              <w:jc w:val="right"/>
              <w:ind w:right="143"/>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9"/>
                <w:szCs w:val="29"/>
                <w:color w:val="auto"/>
                <w:w w:val="70"/>
                <w:vertAlign w:val="subscript"/>
              </w:rPr>
              <w:t>55,610,211</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684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53,479,968</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6840" w:type="dxa"/>
            <w:vAlign w:val="bottom"/>
            <w:vMerge w:val="restart"/>
          </w:tcPr>
          <w:p>
            <w:pPr>
              <w:jc w:val="right"/>
              <w:ind w:right="6302"/>
              <w:spacing w:after="0"/>
              <w:rPr>
                <w:sz w:val="20"/>
                <w:szCs w:val="20"/>
                <w:color w:val="auto"/>
              </w:rPr>
            </w:pPr>
            <w:r>
              <w:rPr>
                <w:rFonts w:ascii="Courier New" w:cs="Courier New" w:eastAsia="Courier New" w:hAnsi="Courier New"/>
                <w:sz w:val="16"/>
                <w:szCs w:val="16"/>
                <w:color w:val="auto"/>
                <w:w w:val="91"/>
              </w:rPr>
              <w:t>Total</w:t>
            </w:r>
          </w:p>
        </w:tc>
        <w:tc>
          <w:tcPr>
            <w:tcW w:w="1820" w:type="dxa"/>
            <w:vAlign w:val="bottom"/>
            <w:vMerge w:val="restart"/>
          </w:tcPr>
          <w:p>
            <w:pPr>
              <w:jc w:val="right"/>
              <w:ind w:right="143"/>
              <w:spacing w:after="0"/>
              <w:rPr>
                <w:sz w:val="20"/>
                <w:szCs w:val="20"/>
                <w:color w:val="auto"/>
              </w:rPr>
            </w:pPr>
            <w:r>
              <w:rPr>
                <w:rFonts w:ascii="Courier New" w:cs="Courier New" w:eastAsia="Courier New" w:hAnsi="Courier New"/>
                <w:sz w:val="27"/>
                <w:szCs w:val="27"/>
                <w:color w:val="auto"/>
                <w:w w:val="71"/>
                <w:vertAlign w:val="subscript"/>
              </w:rPr>
              <w:t>$</w:t>
            </w:r>
            <w:r>
              <w:rPr>
                <w:rFonts w:ascii="Courier New" w:cs="Courier New" w:eastAsia="Courier New" w:hAnsi="Courier New"/>
                <w:sz w:val="14"/>
                <w:szCs w:val="14"/>
                <w:color w:val="auto"/>
                <w:w w:val="71"/>
              </w:rPr>
              <w:t>------------</w:t>
            </w:r>
            <w:r>
              <w:rPr>
                <w:rFonts w:ascii="Courier New" w:cs="Courier New" w:eastAsia="Courier New" w:hAnsi="Courier New"/>
                <w:sz w:val="27"/>
                <w:szCs w:val="27"/>
                <w:color w:val="auto"/>
                <w:w w:val="71"/>
                <w:vertAlign w:val="subscript"/>
              </w:rPr>
              <w:t>64,927,103</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684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$ 66,535,475</w:t>
            </w: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1820" w:type="dxa"/>
            <w:vAlign w:val="bottom"/>
          </w:tcPr>
          <w:p>
            <w:pPr>
              <w:jc w:val="right"/>
              <w:ind w:right="143"/>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See accompanying Notes to Condensed Financial Statements.</w:t>
      </w:r>
    </w:p>
    <w:p>
      <w:pPr>
        <w:sectPr>
          <w:pgSz w:w="11900" w:h="16838" w:orient="portrait"/>
          <w:cols w:equalWidth="0" w:num="1">
            <w:col w:w="11520"/>
          </w:cols>
          <w:pgMar w:left="240" w:top="631" w:right="139" w:bottom="1440" w:gutter="0" w:footer="0" w:header="0"/>
        </w:sectPr>
      </w:pPr>
    </w:p>
    <w:bookmarkStart w:id="3" w:name="page4"/>
    <w:bookmarkEnd w:id="3"/>
    <w:p>
      <w:pPr>
        <w:jc w:val="center"/>
        <w:ind w:right="-79"/>
        <w:spacing w:after="0"/>
        <w:rPr>
          <w:sz w:val="20"/>
          <w:szCs w:val="20"/>
          <w:color w:val="auto"/>
        </w:rPr>
      </w:pPr>
      <w:r>
        <w:rPr>
          <w:rFonts w:ascii="Courier New" w:cs="Courier New" w:eastAsia="Courier New" w:hAnsi="Courier New"/>
          <w:sz w:val="16"/>
          <w:szCs w:val="16"/>
          <w:color w:val="auto"/>
        </w:rPr>
        <w:t>HAWKINS CHEMICAL, INC.</w:t>
      </w:r>
    </w:p>
    <w:p>
      <w:pPr>
        <w:spacing w:after="0" w:line="2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CONDENSED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20" w:type="dxa"/>
            <w:vAlign w:val="bottom"/>
          </w:tcPr>
          <w:p>
            <w:pPr>
              <w:spacing w:after="0"/>
              <w:rPr>
                <w:sz w:val="15"/>
                <w:szCs w:val="15"/>
                <w:color w:val="auto"/>
              </w:rPr>
            </w:pPr>
          </w:p>
        </w:tc>
        <w:tc>
          <w:tcPr>
            <w:tcW w:w="3480" w:type="dxa"/>
            <w:vAlign w:val="bottom"/>
            <w:gridSpan w:val="2"/>
          </w:tcPr>
          <w:p>
            <w:pPr>
              <w:jc w:val="right"/>
              <w:ind w:right="862"/>
              <w:spacing w:after="0"/>
              <w:rPr>
                <w:sz w:val="20"/>
                <w:szCs w:val="20"/>
                <w:color w:val="auto"/>
              </w:rPr>
            </w:pPr>
            <w:r>
              <w:rPr>
                <w:rFonts w:ascii="Courier New" w:cs="Courier New" w:eastAsia="Courier New" w:hAnsi="Courier New"/>
                <w:sz w:val="16"/>
                <w:szCs w:val="16"/>
                <w:color w:val="auto"/>
              </w:rPr>
              <w:t>Three Months Ended</w:t>
            </w:r>
          </w:p>
        </w:tc>
        <w:tc>
          <w:tcPr>
            <w:tcW w:w="0" w:type="dxa"/>
            <w:vAlign w:val="bottom"/>
          </w:tcPr>
          <w:p>
            <w:pPr>
              <w:spacing w:after="0"/>
              <w:rPr>
                <w:sz w:val="1"/>
                <w:szCs w:val="1"/>
                <w:color w:val="auto"/>
              </w:rPr>
            </w:pPr>
          </w:p>
        </w:tc>
      </w:tr>
      <w:tr>
        <w:trPr>
          <w:trHeight w:val="180"/>
        </w:trPr>
        <w:tc>
          <w:tcPr>
            <w:tcW w:w="7120" w:type="dxa"/>
            <w:vAlign w:val="bottom"/>
          </w:tcPr>
          <w:p>
            <w:pPr>
              <w:spacing w:after="0"/>
              <w:rPr>
                <w:sz w:val="15"/>
                <w:szCs w:val="15"/>
                <w:color w:val="auto"/>
              </w:rPr>
            </w:pPr>
          </w:p>
        </w:tc>
        <w:tc>
          <w:tcPr>
            <w:tcW w:w="226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tcPr>
          <w:p>
            <w:pPr>
              <w:spacing w:after="0"/>
              <w:rPr>
                <w:sz w:val="15"/>
                <w:szCs w:val="15"/>
                <w:color w:val="auto"/>
              </w:rPr>
            </w:pPr>
          </w:p>
        </w:tc>
        <w:tc>
          <w:tcPr>
            <w:tcW w:w="34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7120" w:type="dxa"/>
            <w:vAlign w:val="bottom"/>
          </w:tcPr>
          <w:p>
            <w:pPr>
              <w:spacing w:after="0"/>
              <w:rPr>
                <w:sz w:val="15"/>
                <w:szCs w:val="15"/>
                <w:color w:val="auto"/>
              </w:rPr>
            </w:pPr>
          </w:p>
        </w:tc>
        <w:tc>
          <w:tcPr>
            <w:tcW w:w="2260" w:type="dxa"/>
            <w:vAlign w:val="bottom"/>
          </w:tcPr>
          <w:p>
            <w:pPr>
              <w:jc w:val="right"/>
              <w:ind w:right="1044"/>
              <w:spacing w:after="0"/>
              <w:rPr>
                <w:sz w:val="20"/>
                <w:szCs w:val="20"/>
                <w:color w:val="auto"/>
              </w:rPr>
            </w:pPr>
            <w:r>
              <w:rPr>
                <w:rFonts w:ascii="Courier New" w:cs="Courier New" w:eastAsia="Courier New" w:hAnsi="Courier New"/>
                <w:sz w:val="16"/>
                <w:szCs w:val="16"/>
                <w:color w:val="auto"/>
              </w:rPr>
              <w:t>1998</w:t>
            </w: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180"/>
        </w:trPr>
        <w:tc>
          <w:tcPr>
            <w:tcW w:w="7120" w:type="dxa"/>
            <w:vAlign w:val="bottom"/>
          </w:tcPr>
          <w:p>
            <w:pPr>
              <w:spacing w:after="0"/>
              <w:rPr>
                <w:sz w:val="15"/>
                <w:szCs w:val="15"/>
                <w:color w:val="auto"/>
              </w:rPr>
            </w:pPr>
          </w:p>
        </w:tc>
        <w:tc>
          <w:tcPr>
            <w:tcW w:w="34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264"/>
        </w:trPr>
        <w:tc>
          <w:tcPr>
            <w:tcW w:w="7120" w:type="dxa"/>
            <w:vAlign w:val="bottom"/>
          </w:tcPr>
          <w:p>
            <w:pPr>
              <w:spacing w:after="0"/>
              <w:rPr>
                <w:sz w:val="22"/>
                <w:szCs w:val="22"/>
                <w:color w:val="auto"/>
              </w:rPr>
            </w:pPr>
          </w:p>
        </w:tc>
        <w:tc>
          <w:tcPr>
            <w:tcW w:w="226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71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26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$ 23,311,125</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$ 22,666,870</w:t>
            </w:r>
          </w:p>
        </w:tc>
        <w:tc>
          <w:tcPr>
            <w:tcW w:w="0" w:type="dxa"/>
            <w:vAlign w:val="bottom"/>
          </w:tcPr>
          <w:p>
            <w:pPr>
              <w:spacing w:after="0"/>
              <w:rPr>
                <w:sz w:val="1"/>
                <w:szCs w:val="1"/>
                <w:color w:val="auto"/>
              </w:rPr>
            </w:pPr>
          </w:p>
        </w:tc>
      </w:tr>
      <w:tr>
        <w:trPr>
          <w:trHeight w:val="277"/>
        </w:trPr>
        <w:tc>
          <w:tcPr>
            <w:tcW w:w="712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2260" w:type="dxa"/>
            <w:vAlign w:val="bottom"/>
          </w:tcPr>
          <w:p>
            <w:pPr>
              <w:jc w:val="right"/>
              <w:ind w:right="484"/>
              <w:spacing w:after="0"/>
              <w:rPr>
                <w:sz w:val="20"/>
                <w:szCs w:val="20"/>
                <w:color w:val="auto"/>
              </w:rPr>
            </w:pPr>
            <w:r>
              <w:rPr>
                <w:rFonts w:ascii="Courier New" w:cs="Courier New" w:eastAsia="Courier New" w:hAnsi="Courier New"/>
                <w:sz w:val="16"/>
                <w:szCs w:val="16"/>
                <w:color w:val="auto"/>
              </w:rPr>
              <w:t>(18,123,717)</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(17,551,158)</w:t>
            </w:r>
          </w:p>
        </w:tc>
        <w:tc>
          <w:tcPr>
            <w:tcW w:w="0" w:type="dxa"/>
            <w:vAlign w:val="bottom"/>
          </w:tcPr>
          <w:p>
            <w:pPr>
              <w:spacing w:after="0"/>
              <w:rPr>
                <w:sz w:val="1"/>
                <w:szCs w:val="1"/>
                <w:color w:val="auto"/>
              </w:rPr>
            </w:pPr>
          </w:p>
        </w:tc>
      </w:tr>
      <w:tr>
        <w:trPr>
          <w:trHeight w:val="264"/>
        </w:trPr>
        <w:tc>
          <w:tcPr>
            <w:tcW w:w="7120" w:type="dxa"/>
            <w:vAlign w:val="bottom"/>
          </w:tcPr>
          <w:p>
            <w:pPr>
              <w:spacing w:after="0"/>
              <w:rPr>
                <w:sz w:val="22"/>
                <w:szCs w:val="22"/>
                <w:color w:val="auto"/>
              </w:rPr>
            </w:pPr>
          </w:p>
        </w:tc>
        <w:tc>
          <w:tcPr>
            <w:tcW w:w="226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361"/>
        </w:trPr>
        <w:tc>
          <w:tcPr>
            <w:tcW w:w="712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226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5,187,408</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5,115,712</w:t>
            </w:r>
          </w:p>
        </w:tc>
        <w:tc>
          <w:tcPr>
            <w:tcW w:w="0" w:type="dxa"/>
            <w:vAlign w:val="bottom"/>
          </w:tcPr>
          <w:p>
            <w:pPr>
              <w:spacing w:after="0"/>
              <w:rPr>
                <w:sz w:val="1"/>
                <w:szCs w:val="1"/>
                <w:color w:val="auto"/>
              </w:rPr>
            </w:pPr>
          </w:p>
        </w:tc>
      </w:tr>
      <w:tr>
        <w:trPr>
          <w:trHeight w:val="361"/>
        </w:trPr>
        <w:tc>
          <w:tcPr>
            <w:tcW w:w="712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2260" w:type="dxa"/>
            <w:vAlign w:val="bottom"/>
          </w:tcPr>
          <w:p>
            <w:pPr>
              <w:jc w:val="right"/>
              <w:ind w:right="484"/>
              <w:spacing w:after="0"/>
              <w:rPr>
                <w:sz w:val="20"/>
                <w:szCs w:val="20"/>
                <w:color w:val="auto"/>
              </w:rPr>
            </w:pPr>
            <w:r>
              <w:rPr>
                <w:rFonts w:ascii="Courier New" w:cs="Courier New" w:eastAsia="Courier New" w:hAnsi="Courier New"/>
                <w:sz w:val="16"/>
                <w:szCs w:val="16"/>
                <w:color w:val="auto"/>
              </w:rPr>
              <w:t>(2,515,517)</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(2,354,073)</w:t>
            </w:r>
          </w:p>
        </w:tc>
        <w:tc>
          <w:tcPr>
            <w:tcW w:w="0" w:type="dxa"/>
            <w:vAlign w:val="bottom"/>
          </w:tcPr>
          <w:p>
            <w:pPr>
              <w:spacing w:after="0"/>
              <w:rPr>
                <w:sz w:val="1"/>
                <w:szCs w:val="1"/>
                <w:color w:val="auto"/>
              </w:rPr>
            </w:pPr>
          </w:p>
        </w:tc>
      </w:tr>
      <w:tr>
        <w:trPr>
          <w:trHeight w:val="277"/>
        </w:trPr>
        <w:tc>
          <w:tcPr>
            <w:tcW w:w="7120" w:type="dxa"/>
            <w:vAlign w:val="bottom"/>
          </w:tcPr>
          <w:p>
            <w:pPr>
              <w:spacing w:after="0"/>
              <w:rPr>
                <w:sz w:val="20"/>
                <w:szCs w:val="20"/>
                <w:color w:val="auto"/>
              </w:rPr>
            </w:pPr>
            <w:r>
              <w:rPr>
                <w:rFonts w:ascii="Courier New" w:cs="Courier New" w:eastAsia="Courier New" w:hAnsi="Courier New"/>
                <w:sz w:val="16"/>
                <w:szCs w:val="16"/>
                <w:color w:val="auto"/>
              </w:rPr>
              <w:t>Litigation settlement reimbursement ....................................</w:t>
            </w:r>
          </w:p>
        </w:tc>
        <w:tc>
          <w:tcPr>
            <w:tcW w:w="226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2,754,000</w:t>
            </w:r>
          </w:p>
        </w:tc>
        <w:tc>
          <w:tcPr>
            <w:tcW w:w="12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264"/>
        </w:trPr>
        <w:tc>
          <w:tcPr>
            <w:tcW w:w="7120" w:type="dxa"/>
            <w:vAlign w:val="bottom"/>
          </w:tcPr>
          <w:p>
            <w:pPr>
              <w:spacing w:after="0"/>
              <w:rPr>
                <w:sz w:val="22"/>
                <w:szCs w:val="22"/>
                <w:color w:val="auto"/>
              </w:rPr>
            </w:pPr>
          </w:p>
        </w:tc>
        <w:tc>
          <w:tcPr>
            <w:tcW w:w="226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712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226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5,425,891</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2,761,639</w:t>
            </w:r>
          </w:p>
        </w:tc>
        <w:tc>
          <w:tcPr>
            <w:tcW w:w="0" w:type="dxa"/>
            <w:vAlign w:val="bottom"/>
          </w:tcPr>
          <w:p>
            <w:pPr>
              <w:spacing w:after="0"/>
              <w:rPr>
                <w:sz w:val="1"/>
                <w:szCs w:val="1"/>
                <w:color w:val="auto"/>
              </w:rPr>
            </w:pPr>
          </w:p>
        </w:tc>
      </w:tr>
      <w:tr>
        <w:trPr>
          <w:trHeight w:val="277"/>
        </w:trPr>
        <w:tc>
          <w:tcPr>
            <w:tcW w:w="7120" w:type="dxa"/>
            <w:vAlign w:val="bottom"/>
          </w:tcPr>
          <w:p>
            <w:pPr>
              <w:spacing w:after="0"/>
              <w:rPr>
                <w:sz w:val="20"/>
                <w:szCs w:val="20"/>
                <w:color w:val="auto"/>
              </w:rPr>
            </w:pPr>
            <w:r>
              <w:rPr>
                <w:rFonts w:ascii="Courier New" w:cs="Courier New" w:eastAsia="Courier New" w:hAnsi="Courier New"/>
                <w:sz w:val="16"/>
                <w:szCs w:val="16"/>
                <w:color w:val="auto"/>
              </w:rPr>
              <w:t>Other income (deductions):</w:t>
            </w:r>
          </w:p>
        </w:tc>
        <w:tc>
          <w:tcPr>
            <w:tcW w:w="2260" w:type="dxa"/>
            <w:vAlign w:val="bottom"/>
            <w:vMerge w:val="restart"/>
          </w:tcPr>
          <w:p>
            <w:pPr>
              <w:jc w:val="right"/>
              <w:ind w:right="584"/>
              <w:spacing w:after="0"/>
              <w:rPr>
                <w:sz w:val="20"/>
                <w:szCs w:val="20"/>
                <w:color w:val="auto"/>
              </w:rPr>
            </w:pPr>
            <w:r>
              <w:rPr>
                <w:rFonts w:ascii="Courier New" w:cs="Courier New" w:eastAsia="Courier New" w:hAnsi="Courier New"/>
                <w:sz w:val="16"/>
                <w:szCs w:val="16"/>
                <w:color w:val="auto"/>
              </w:rPr>
              <w:t>281,062</w:t>
            </w:r>
          </w:p>
        </w:tc>
        <w:tc>
          <w:tcPr>
            <w:tcW w:w="12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355,438</w:t>
            </w: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Courier New" w:cs="Courier New" w:eastAsia="Courier New" w:hAnsi="Courier New"/>
                <w:sz w:val="16"/>
                <w:szCs w:val="16"/>
                <w:color w:val="auto"/>
              </w:rPr>
              <w:t>Interest income......................................................</w:t>
            </w:r>
          </w:p>
        </w:tc>
        <w:tc>
          <w:tcPr>
            <w:tcW w:w="22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Courier New" w:cs="Courier New" w:eastAsia="Courier New" w:hAnsi="Courier New"/>
                <w:sz w:val="16"/>
                <w:szCs w:val="16"/>
                <w:color w:val="auto"/>
              </w:rPr>
              <w:t>Interest expense.....................................................</w:t>
            </w:r>
          </w:p>
        </w:tc>
        <w:tc>
          <w:tcPr>
            <w:tcW w:w="2260" w:type="dxa"/>
            <w:vAlign w:val="bottom"/>
          </w:tcPr>
          <w:p>
            <w:pPr>
              <w:jc w:val="right"/>
              <w:ind w:right="484"/>
              <w:spacing w:after="0"/>
              <w:rPr>
                <w:sz w:val="20"/>
                <w:szCs w:val="20"/>
                <w:color w:val="auto"/>
              </w:rPr>
            </w:pPr>
            <w:r>
              <w:rPr>
                <w:rFonts w:ascii="Courier New" w:cs="Courier New" w:eastAsia="Courier New" w:hAnsi="Courier New"/>
                <w:sz w:val="16"/>
                <w:szCs w:val="16"/>
                <w:color w:val="auto"/>
              </w:rPr>
              <w:t>(9,232)</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(10,793)</w:t>
            </w: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Courier New" w:cs="Courier New" w:eastAsia="Courier New" w:hAnsi="Courier New"/>
                <w:sz w:val="16"/>
                <w:szCs w:val="16"/>
                <w:color w:val="auto"/>
              </w:rPr>
              <w:t>Miscellaneous........................................................</w:t>
            </w:r>
          </w:p>
        </w:tc>
        <w:tc>
          <w:tcPr>
            <w:tcW w:w="226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21,913</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19,672</w:t>
            </w:r>
          </w:p>
        </w:tc>
        <w:tc>
          <w:tcPr>
            <w:tcW w:w="0" w:type="dxa"/>
            <w:vAlign w:val="bottom"/>
          </w:tcPr>
          <w:p>
            <w:pPr>
              <w:spacing w:after="0"/>
              <w:rPr>
                <w:sz w:val="1"/>
                <w:szCs w:val="1"/>
                <w:color w:val="auto"/>
              </w:rPr>
            </w:pPr>
          </w:p>
        </w:tc>
      </w:tr>
      <w:tr>
        <w:trPr>
          <w:trHeight w:val="264"/>
        </w:trPr>
        <w:tc>
          <w:tcPr>
            <w:tcW w:w="7120" w:type="dxa"/>
            <w:vAlign w:val="bottom"/>
          </w:tcPr>
          <w:p>
            <w:pPr>
              <w:spacing w:after="0"/>
              <w:rPr>
                <w:sz w:val="22"/>
                <w:szCs w:val="22"/>
                <w:color w:val="auto"/>
              </w:rPr>
            </w:pPr>
          </w:p>
        </w:tc>
        <w:tc>
          <w:tcPr>
            <w:tcW w:w="226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277"/>
        </w:trPr>
        <w:tc>
          <w:tcPr>
            <w:tcW w:w="7120" w:type="dxa"/>
            <w:vAlign w:val="bottom"/>
          </w:tcPr>
          <w:p>
            <w:pPr>
              <w:spacing w:after="0"/>
              <w:rPr>
                <w:sz w:val="20"/>
                <w:szCs w:val="20"/>
                <w:color w:val="auto"/>
              </w:rPr>
            </w:pPr>
            <w:r>
              <w:rPr>
                <w:rFonts w:ascii="Courier New" w:cs="Courier New" w:eastAsia="Courier New" w:hAnsi="Courier New"/>
                <w:sz w:val="16"/>
                <w:szCs w:val="16"/>
                <w:color w:val="auto"/>
              </w:rPr>
              <w:t>Total other income (deductions)..................................</w:t>
            </w:r>
          </w:p>
        </w:tc>
        <w:tc>
          <w:tcPr>
            <w:tcW w:w="226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293,743</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364,317</w:t>
            </w:r>
          </w:p>
        </w:tc>
        <w:tc>
          <w:tcPr>
            <w:tcW w:w="0" w:type="dxa"/>
            <w:vAlign w:val="bottom"/>
          </w:tcPr>
          <w:p>
            <w:pPr>
              <w:spacing w:after="0"/>
              <w:rPr>
                <w:sz w:val="1"/>
                <w:szCs w:val="1"/>
                <w:color w:val="auto"/>
              </w:rPr>
            </w:pPr>
          </w:p>
        </w:tc>
      </w:tr>
      <w:tr>
        <w:trPr>
          <w:trHeight w:val="264"/>
        </w:trPr>
        <w:tc>
          <w:tcPr>
            <w:tcW w:w="7120" w:type="dxa"/>
            <w:vAlign w:val="bottom"/>
          </w:tcPr>
          <w:p>
            <w:pPr>
              <w:spacing w:after="0"/>
              <w:rPr>
                <w:sz w:val="22"/>
                <w:szCs w:val="22"/>
                <w:color w:val="auto"/>
              </w:rPr>
            </w:pPr>
          </w:p>
        </w:tc>
        <w:tc>
          <w:tcPr>
            <w:tcW w:w="226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361"/>
        </w:trPr>
        <w:tc>
          <w:tcPr>
            <w:tcW w:w="712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226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5,719,634</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3,125,956</w:t>
            </w:r>
          </w:p>
        </w:tc>
        <w:tc>
          <w:tcPr>
            <w:tcW w:w="0" w:type="dxa"/>
            <w:vAlign w:val="bottom"/>
          </w:tcPr>
          <w:p>
            <w:pPr>
              <w:spacing w:after="0"/>
              <w:rPr>
                <w:sz w:val="1"/>
                <w:szCs w:val="1"/>
                <w:color w:val="auto"/>
              </w:rPr>
            </w:pPr>
          </w:p>
        </w:tc>
      </w:tr>
      <w:tr>
        <w:trPr>
          <w:trHeight w:val="277"/>
        </w:trPr>
        <w:tc>
          <w:tcPr>
            <w:tcW w:w="712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2260" w:type="dxa"/>
            <w:vAlign w:val="bottom"/>
          </w:tcPr>
          <w:p>
            <w:pPr>
              <w:jc w:val="right"/>
              <w:ind w:right="484"/>
              <w:spacing w:after="0"/>
              <w:rPr>
                <w:sz w:val="20"/>
                <w:szCs w:val="20"/>
                <w:color w:val="auto"/>
              </w:rPr>
            </w:pPr>
            <w:r>
              <w:rPr>
                <w:rFonts w:ascii="Courier New" w:cs="Courier New" w:eastAsia="Courier New" w:hAnsi="Courier New"/>
                <w:sz w:val="16"/>
                <w:szCs w:val="16"/>
                <w:color w:val="auto"/>
              </w:rPr>
              <w:t>(2,293,400)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(1,228,500)</w:t>
            </w:r>
          </w:p>
        </w:tc>
        <w:tc>
          <w:tcPr>
            <w:tcW w:w="0" w:type="dxa"/>
            <w:vAlign w:val="bottom"/>
          </w:tcPr>
          <w:p>
            <w:pPr>
              <w:spacing w:after="0"/>
              <w:rPr>
                <w:sz w:val="1"/>
                <w:szCs w:val="1"/>
                <w:color w:val="auto"/>
              </w:rPr>
            </w:pPr>
          </w:p>
        </w:tc>
      </w:tr>
      <w:tr>
        <w:trPr>
          <w:trHeight w:val="264"/>
        </w:trPr>
        <w:tc>
          <w:tcPr>
            <w:tcW w:w="7120" w:type="dxa"/>
            <w:vAlign w:val="bottom"/>
          </w:tcPr>
          <w:p>
            <w:pPr>
              <w:spacing w:after="0"/>
              <w:rPr>
                <w:sz w:val="22"/>
                <w:szCs w:val="22"/>
                <w:color w:val="auto"/>
              </w:rPr>
            </w:pPr>
          </w:p>
        </w:tc>
        <w:tc>
          <w:tcPr>
            <w:tcW w:w="226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277"/>
        </w:trPr>
        <w:tc>
          <w:tcPr>
            <w:tcW w:w="71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26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  3,426,234</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  1,897,456</w:t>
            </w:r>
          </w:p>
        </w:tc>
        <w:tc>
          <w:tcPr>
            <w:tcW w:w="0" w:type="dxa"/>
            <w:vAlign w:val="bottom"/>
          </w:tcPr>
          <w:p>
            <w:pPr>
              <w:spacing w:after="0"/>
              <w:rPr>
                <w:sz w:val="1"/>
                <w:szCs w:val="1"/>
                <w:color w:val="auto"/>
              </w:rPr>
            </w:pPr>
          </w:p>
        </w:tc>
      </w:tr>
      <w:tr>
        <w:trPr>
          <w:trHeight w:val="264"/>
        </w:trPr>
        <w:tc>
          <w:tcPr>
            <w:tcW w:w="7120" w:type="dxa"/>
            <w:vAlign w:val="bottom"/>
          </w:tcPr>
          <w:p>
            <w:pPr>
              <w:spacing w:after="0"/>
              <w:rPr>
                <w:sz w:val="22"/>
                <w:szCs w:val="22"/>
                <w:color w:val="auto"/>
              </w:rPr>
            </w:pPr>
          </w:p>
        </w:tc>
        <w:tc>
          <w:tcPr>
            <w:tcW w:w="226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277"/>
        </w:trPr>
        <w:tc>
          <w:tcPr>
            <w:tcW w:w="712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 outstanding................</w:t>
            </w:r>
          </w:p>
        </w:tc>
        <w:tc>
          <w:tcPr>
            <w:tcW w:w="226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11,361,052</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11,603,895</w:t>
            </w:r>
          </w:p>
        </w:tc>
        <w:tc>
          <w:tcPr>
            <w:tcW w:w="0" w:type="dxa"/>
            <w:vAlign w:val="bottom"/>
          </w:tcPr>
          <w:p>
            <w:pPr>
              <w:spacing w:after="0"/>
              <w:rPr>
                <w:sz w:val="1"/>
                <w:szCs w:val="1"/>
                <w:color w:val="auto"/>
              </w:rPr>
            </w:pPr>
          </w:p>
        </w:tc>
      </w:tr>
      <w:tr>
        <w:trPr>
          <w:trHeight w:val="264"/>
        </w:trPr>
        <w:tc>
          <w:tcPr>
            <w:tcW w:w="7120" w:type="dxa"/>
            <w:vAlign w:val="bottom"/>
          </w:tcPr>
          <w:p>
            <w:pPr>
              <w:spacing w:after="0"/>
              <w:rPr>
                <w:sz w:val="22"/>
                <w:szCs w:val="22"/>
                <w:color w:val="auto"/>
              </w:rPr>
            </w:pPr>
          </w:p>
        </w:tc>
        <w:tc>
          <w:tcPr>
            <w:tcW w:w="226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277"/>
        </w:trPr>
        <w:tc>
          <w:tcPr>
            <w:tcW w:w="7120" w:type="dxa"/>
            <w:vAlign w:val="bottom"/>
          </w:tcPr>
          <w:p>
            <w:pPr>
              <w:spacing w:after="0"/>
              <w:rPr>
                <w:sz w:val="20"/>
                <w:szCs w:val="20"/>
                <w:color w:val="auto"/>
              </w:rPr>
            </w:pPr>
            <w:r>
              <w:rPr>
                <w:rFonts w:ascii="Courier New" w:cs="Courier New" w:eastAsia="Courier New" w:hAnsi="Courier New"/>
                <w:sz w:val="16"/>
                <w:szCs w:val="16"/>
                <w:color w:val="auto"/>
              </w:rPr>
              <w:t>Earnings per common share - basic and diluted................</w:t>
            </w:r>
          </w:p>
        </w:tc>
        <w:tc>
          <w:tcPr>
            <w:tcW w:w="226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$0.30</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$0.16</w:t>
            </w:r>
          </w:p>
        </w:tc>
        <w:tc>
          <w:tcPr>
            <w:tcW w:w="0" w:type="dxa"/>
            <w:vAlign w:val="bottom"/>
          </w:tcPr>
          <w:p>
            <w:pPr>
              <w:spacing w:after="0"/>
              <w:rPr>
                <w:sz w:val="1"/>
                <w:szCs w:val="1"/>
                <w:color w:val="auto"/>
              </w:rPr>
            </w:pPr>
          </w:p>
        </w:tc>
      </w:tr>
      <w:tr>
        <w:trPr>
          <w:trHeight w:val="264"/>
        </w:trPr>
        <w:tc>
          <w:tcPr>
            <w:tcW w:w="7120" w:type="dxa"/>
            <w:vAlign w:val="bottom"/>
          </w:tcPr>
          <w:p>
            <w:pPr>
              <w:spacing w:after="0"/>
              <w:rPr>
                <w:sz w:val="22"/>
                <w:szCs w:val="22"/>
                <w:color w:val="auto"/>
              </w:rPr>
            </w:pPr>
          </w:p>
        </w:tc>
        <w:tc>
          <w:tcPr>
            <w:tcW w:w="226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See accompanying Notes to Condensed Financial Statements.</w:t>
      </w:r>
    </w:p>
    <w:p>
      <w:pPr>
        <w:spacing w:after="0" w:line="360"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600"/>
          </w:cols>
          <w:pgMar w:left="240" w:top="991" w:right="1059" w:bottom="1440" w:gutter="0" w:footer="0" w:header="0"/>
        </w:sectPr>
      </w:pPr>
    </w:p>
    <w:bookmarkStart w:id="4" w:name="page5"/>
    <w:bookmarkEnd w:id="4"/>
    <w:p>
      <w:pPr>
        <w:jc w:val="center"/>
        <w:ind w:right="300"/>
        <w:spacing w:after="0"/>
        <w:rPr>
          <w:sz w:val="20"/>
          <w:szCs w:val="20"/>
          <w:color w:val="auto"/>
        </w:rPr>
      </w:pPr>
      <w:r>
        <w:rPr>
          <w:rFonts w:ascii="Courier New" w:cs="Courier New" w:eastAsia="Courier New" w:hAnsi="Courier New"/>
          <w:sz w:val="16"/>
          <w:szCs w:val="16"/>
          <w:color w:val="auto"/>
        </w:rPr>
        <w:t>HAWKINS CHEMICAL, INC.</w:t>
      </w:r>
    </w:p>
    <w:p>
      <w:pPr>
        <w:spacing w:after="0" w:line="27"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6"/>
          <w:szCs w:val="16"/>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780"/>
        <w:spacing w:after="0"/>
        <w:rPr>
          <w:sz w:val="20"/>
          <w:szCs w:val="20"/>
          <w:color w:val="auto"/>
        </w:rPr>
      </w:pPr>
      <w:r>
        <w:rPr>
          <w:rFonts w:ascii="Courier New" w:cs="Courier New" w:eastAsia="Courier New" w:hAnsi="Courier New"/>
          <w:sz w:val="16"/>
          <w:szCs w:val="16"/>
          <w:color w:val="auto"/>
        </w:rPr>
        <w:t>THREE MONTHS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600" w:type="dxa"/>
            <w:vAlign w:val="bottom"/>
          </w:tcPr>
          <w:p>
            <w:pPr>
              <w:spacing w:after="0"/>
              <w:rPr>
                <w:sz w:val="22"/>
                <w:szCs w:val="22"/>
                <w:color w:val="auto"/>
              </w:rPr>
            </w:pPr>
          </w:p>
        </w:tc>
        <w:tc>
          <w:tcPr>
            <w:tcW w:w="3380" w:type="dxa"/>
            <w:vAlign w:val="bottom"/>
            <w:gridSpan w:val="4"/>
          </w:tcPr>
          <w:p>
            <w:pPr>
              <w:jc w:val="right"/>
              <w:ind w:right="122"/>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49"/>
        </w:trPr>
        <w:tc>
          <w:tcPr>
            <w:tcW w:w="7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1998</w:t>
            </w:r>
          </w:p>
        </w:tc>
        <w:tc>
          <w:tcPr>
            <w:tcW w:w="180" w:type="dxa"/>
            <w:vAlign w:val="bottom"/>
          </w:tcPr>
          <w:p>
            <w:pPr>
              <w:spacing w:after="0"/>
              <w:rPr>
                <w:sz w:val="21"/>
                <w:szCs w:val="21"/>
                <w:color w:val="auto"/>
              </w:rPr>
            </w:pPr>
          </w:p>
        </w:tc>
        <w:tc>
          <w:tcPr>
            <w:tcW w:w="10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64"/>
        </w:trPr>
        <w:tc>
          <w:tcPr>
            <w:tcW w:w="76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Courier New" w:cs="Courier New" w:eastAsia="Courier New" w:hAnsi="Courier New"/>
                <w:sz w:val="4"/>
                <w:szCs w:val="4"/>
                <w:color w:val="auto"/>
                <w:w w:val="90"/>
              </w:rPr>
              <w:t>------------</w:t>
            </w:r>
          </w:p>
        </w:tc>
        <w:tc>
          <w:tcPr>
            <w:tcW w:w="1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(Unaudited)</w:t>
            </w: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4"/>
              </w:rPr>
              <w:t>-----------</w:t>
            </w:r>
          </w:p>
        </w:tc>
        <w:tc>
          <w:tcPr>
            <w:tcW w:w="0" w:type="dxa"/>
            <w:vAlign w:val="bottom"/>
          </w:tcPr>
          <w:p>
            <w:pPr>
              <w:spacing w:after="0"/>
              <w:rPr>
                <w:sz w:val="1"/>
                <w:szCs w:val="1"/>
                <w:color w:val="auto"/>
              </w:rPr>
            </w:pPr>
          </w:p>
        </w:tc>
      </w:tr>
      <w:tr>
        <w:trPr>
          <w:trHeight w:val="180"/>
        </w:trPr>
        <w:tc>
          <w:tcPr>
            <w:tcW w:w="7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76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160" w:type="dxa"/>
            <w:vAlign w:val="bottom"/>
            <w:gridSpan w:val="2"/>
            <w:vMerge w:val="restart"/>
          </w:tcPr>
          <w:p>
            <w:pPr>
              <w:jc w:val="right"/>
              <w:ind w:right="862"/>
              <w:spacing w:after="0"/>
              <w:rPr>
                <w:sz w:val="20"/>
                <w:szCs w:val="20"/>
                <w:color w:val="auto"/>
              </w:rPr>
            </w:pPr>
            <w:r>
              <w:rPr>
                <w:rFonts w:ascii="Courier New" w:cs="Courier New" w:eastAsia="Courier New" w:hAnsi="Courier New"/>
                <w:sz w:val="16"/>
                <w:szCs w:val="16"/>
                <w:color w:val="auto"/>
              </w:rPr>
              <w:t>$ 3,426,234</w:t>
            </w:r>
          </w:p>
        </w:tc>
        <w:tc>
          <w:tcPr>
            <w:tcW w:w="1220" w:type="dxa"/>
            <w:vAlign w:val="bottom"/>
            <w:gridSpan w:val="2"/>
            <w:vMerge w:val="restart"/>
          </w:tcPr>
          <w:p>
            <w:pPr>
              <w:jc w:val="right"/>
              <w:ind w:right="22"/>
              <w:spacing w:after="0"/>
              <w:rPr>
                <w:sz w:val="20"/>
                <w:szCs w:val="20"/>
                <w:color w:val="auto"/>
              </w:rPr>
            </w:pPr>
            <w:r>
              <w:rPr>
                <w:rFonts w:ascii="Courier New" w:cs="Courier New" w:eastAsia="Courier New" w:hAnsi="Courier New"/>
                <w:sz w:val="16"/>
                <w:szCs w:val="16"/>
                <w:color w:val="auto"/>
              </w:rPr>
              <w:t>$ 1,897,456</w:t>
            </w:r>
          </w:p>
        </w:tc>
        <w:tc>
          <w:tcPr>
            <w:tcW w:w="0" w:type="dxa"/>
            <w:vAlign w:val="bottom"/>
          </w:tcPr>
          <w:p>
            <w:pPr>
              <w:spacing w:after="0"/>
              <w:rPr>
                <w:sz w:val="1"/>
                <w:szCs w:val="1"/>
                <w:color w:val="auto"/>
              </w:rPr>
            </w:pPr>
          </w:p>
        </w:tc>
      </w:tr>
      <w:tr>
        <w:trPr>
          <w:trHeight w:val="180"/>
        </w:trPr>
        <w:tc>
          <w:tcPr>
            <w:tcW w:w="7600" w:type="dxa"/>
            <w:vAlign w:val="bottom"/>
          </w:tcPr>
          <w:p>
            <w:pPr>
              <w:ind w:left="380"/>
              <w:spacing w:after="0"/>
              <w:rPr>
                <w:sz w:val="20"/>
                <w:szCs w:val="20"/>
                <w:color w:val="auto"/>
              </w:rPr>
            </w:pPr>
            <w:r>
              <w:rPr>
                <w:rFonts w:ascii="Courier New" w:cs="Courier New" w:eastAsia="Courier New" w:hAnsi="Courier New"/>
                <w:sz w:val="16"/>
                <w:szCs w:val="16"/>
                <w:color w:val="auto"/>
                <w:w w:val="99"/>
              </w:rPr>
              <w:t>Net income.................................................................</w:t>
            </w:r>
          </w:p>
        </w:tc>
        <w:tc>
          <w:tcPr>
            <w:tcW w:w="21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00" w:type="dxa"/>
            <w:vAlign w:val="bottom"/>
          </w:tcPr>
          <w:p>
            <w:pPr>
              <w:ind w:left="380"/>
              <w:spacing w:after="0"/>
              <w:rPr>
                <w:sz w:val="20"/>
                <w:szCs w:val="20"/>
                <w:color w:val="auto"/>
              </w:rPr>
            </w:pPr>
            <w:r>
              <w:rPr>
                <w:rFonts w:ascii="Courier New" w:cs="Courier New" w:eastAsia="Courier New" w:hAnsi="Courier New"/>
                <w:sz w:val="16"/>
                <w:szCs w:val="16"/>
                <w:color w:val="auto"/>
                <w:w w:val="98"/>
              </w:rPr>
              <w:t>Depreciation and amortization...............................................</w:t>
            </w:r>
          </w:p>
        </w:tc>
        <w:tc>
          <w:tcPr>
            <w:tcW w:w="280" w:type="dxa"/>
            <w:vAlign w:val="bottom"/>
          </w:tcPr>
          <w:p>
            <w:pPr>
              <w:spacing w:after="0"/>
              <w:rPr>
                <w:sz w:val="15"/>
                <w:szCs w:val="15"/>
                <w:color w:val="auto"/>
              </w:rPr>
            </w:pPr>
          </w:p>
        </w:tc>
        <w:tc>
          <w:tcPr>
            <w:tcW w:w="188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420,274</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407,739</w:t>
            </w:r>
          </w:p>
        </w:tc>
        <w:tc>
          <w:tcPr>
            <w:tcW w:w="0" w:type="dxa"/>
            <w:vAlign w:val="bottom"/>
          </w:tcPr>
          <w:p>
            <w:pPr>
              <w:spacing w:after="0"/>
              <w:rPr>
                <w:sz w:val="1"/>
                <w:szCs w:val="1"/>
                <w:color w:val="auto"/>
              </w:rPr>
            </w:pPr>
          </w:p>
        </w:tc>
      </w:tr>
      <w:tr>
        <w:trPr>
          <w:trHeight w:val="180"/>
        </w:trPr>
        <w:tc>
          <w:tcPr>
            <w:tcW w:w="7600" w:type="dxa"/>
            <w:vAlign w:val="bottom"/>
          </w:tcPr>
          <w:p>
            <w:pPr>
              <w:ind w:left="380"/>
              <w:spacing w:after="0"/>
              <w:rPr>
                <w:sz w:val="20"/>
                <w:szCs w:val="20"/>
                <w:color w:val="auto"/>
              </w:rPr>
            </w:pPr>
            <w:r>
              <w:rPr>
                <w:rFonts w:ascii="Courier New" w:cs="Courier New" w:eastAsia="Courier New" w:hAnsi="Courier New"/>
                <w:sz w:val="16"/>
                <w:szCs w:val="16"/>
                <w:color w:val="auto"/>
                <w:w w:val="98"/>
              </w:rPr>
              <w:t>Deferred income taxes.......................................................</w:t>
            </w:r>
          </w:p>
        </w:tc>
        <w:tc>
          <w:tcPr>
            <w:tcW w:w="280" w:type="dxa"/>
            <w:vAlign w:val="bottom"/>
          </w:tcPr>
          <w:p>
            <w:pPr>
              <w:spacing w:after="0"/>
              <w:rPr>
                <w:sz w:val="15"/>
                <w:szCs w:val="15"/>
                <w:color w:val="auto"/>
              </w:rPr>
            </w:pPr>
          </w:p>
        </w:tc>
        <w:tc>
          <w:tcPr>
            <w:tcW w:w="188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8,000</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40,000</w:t>
            </w:r>
          </w:p>
        </w:tc>
        <w:tc>
          <w:tcPr>
            <w:tcW w:w="0" w:type="dxa"/>
            <w:vAlign w:val="bottom"/>
          </w:tcPr>
          <w:p>
            <w:pPr>
              <w:spacing w:after="0"/>
              <w:rPr>
                <w:sz w:val="1"/>
                <w:szCs w:val="1"/>
                <w:color w:val="auto"/>
              </w:rPr>
            </w:pPr>
          </w:p>
        </w:tc>
      </w:tr>
      <w:tr>
        <w:trPr>
          <w:trHeight w:val="180"/>
        </w:trPr>
        <w:tc>
          <w:tcPr>
            <w:tcW w:w="7600" w:type="dxa"/>
            <w:vAlign w:val="bottom"/>
          </w:tcPr>
          <w:p>
            <w:pPr>
              <w:ind w:left="380"/>
              <w:spacing w:after="0"/>
              <w:rPr>
                <w:sz w:val="20"/>
                <w:szCs w:val="20"/>
                <w:color w:val="auto"/>
              </w:rPr>
            </w:pPr>
            <w:r>
              <w:rPr>
                <w:rFonts w:ascii="Courier New" w:cs="Courier New" w:eastAsia="Courier New" w:hAnsi="Courier New"/>
                <w:sz w:val="16"/>
                <w:szCs w:val="16"/>
                <w:color w:val="auto"/>
                <w:w w:val="98"/>
              </w:rPr>
              <w:t>Other.......................................................................</w:t>
            </w:r>
          </w:p>
        </w:tc>
        <w:tc>
          <w:tcPr>
            <w:tcW w:w="280" w:type="dxa"/>
            <w:vAlign w:val="bottom"/>
          </w:tcPr>
          <w:p>
            <w:pPr>
              <w:spacing w:after="0"/>
              <w:rPr>
                <w:sz w:val="15"/>
                <w:szCs w:val="15"/>
                <w:color w:val="auto"/>
              </w:rPr>
            </w:pPr>
          </w:p>
        </w:tc>
        <w:tc>
          <w:tcPr>
            <w:tcW w:w="188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(26,190)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(11,666)</w:t>
            </w:r>
          </w:p>
        </w:tc>
        <w:tc>
          <w:tcPr>
            <w:tcW w:w="0" w:type="dxa"/>
            <w:vAlign w:val="bottom"/>
          </w:tcPr>
          <w:p>
            <w:pPr>
              <w:spacing w:after="0"/>
              <w:rPr>
                <w:sz w:val="1"/>
                <w:szCs w:val="1"/>
                <w:color w:val="auto"/>
              </w:rPr>
            </w:pPr>
          </w:p>
        </w:tc>
      </w:tr>
      <w:tr>
        <w:trPr>
          <w:trHeight w:val="180"/>
        </w:trPr>
        <w:tc>
          <w:tcPr>
            <w:tcW w:w="7600" w:type="dxa"/>
            <w:vAlign w:val="bottom"/>
          </w:tcPr>
          <w:p>
            <w:pPr>
              <w:ind w:left="380"/>
              <w:spacing w:after="0"/>
              <w:rPr>
                <w:sz w:val="20"/>
                <w:szCs w:val="20"/>
                <w:color w:val="auto"/>
              </w:rPr>
            </w:pPr>
            <w:r>
              <w:rPr>
                <w:rFonts w:ascii="Courier New" w:cs="Courier New" w:eastAsia="Courier New" w:hAnsi="Courier New"/>
                <w:sz w:val="16"/>
                <w:szCs w:val="16"/>
                <w:color w:val="auto"/>
                <w:w w:val="98"/>
              </w:rPr>
              <w:t>Changes in certain current assets and  liabilities..........................</w:t>
            </w:r>
          </w:p>
        </w:tc>
        <w:tc>
          <w:tcPr>
            <w:tcW w:w="280" w:type="dxa"/>
            <w:vAlign w:val="bottom"/>
          </w:tcPr>
          <w:p>
            <w:pPr>
              <w:spacing w:after="0"/>
              <w:rPr>
                <w:sz w:val="15"/>
                <w:szCs w:val="15"/>
                <w:color w:val="auto"/>
              </w:rPr>
            </w:pPr>
          </w:p>
        </w:tc>
        <w:tc>
          <w:tcPr>
            <w:tcW w:w="188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809,826</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(1,992,991)</w:t>
            </w:r>
          </w:p>
        </w:tc>
        <w:tc>
          <w:tcPr>
            <w:tcW w:w="0" w:type="dxa"/>
            <w:vAlign w:val="bottom"/>
          </w:tcPr>
          <w:p>
            <w:pPr>
              <w:spacing w:after="0"/>
              <w:rPr>
                <w:sz w:val="1"/>
                <w:szCs w:val="1"/>
                <w:color w:val="auto"/>
              </w:rPr>
            </w:pPr>
          </w:p>
        </w:tc>
      </w:tr>
      <w:tr>
        <w:trPr>
          <w:trHeight w:val="180"/>
        </w:trPr>
        <w:tc>
          <w:tcPr>
            <w:tcW w:w="7600" w:type="dxa"/>
            <w:vAlign w:val="bottom"/>
            <w:vMerge w:val="restart"/>
          </w:tcPr>
          <w:p>
            <w:pPr>
              <w:ind w:left="74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280" w:type="dxa"/>
            <w:vAlign w:val="bottom"/>
          </w:tcPr>
          <w:p>
            <w:pPr>
              <w:jc w:val="right"/>
              <w:spacing w:after="0"/>
              <w:rPr>
                <w:sz w:val="20"/>
                <w:szCs w:val="20"/>
                <w:color w:val="auto"/>
              </w:rPr>
            </w:pPr>
            <w:r>
              <w:rPr>
                <w:rFonts w:ascii="Courier New" w:cs="Courier New" w:eastAsia="Courier New" w:hAnsi="Courier New"/>
                <w:sz w:val="4"/>
                <w:szCs w:val="4"/>
                <w:color w:val="auto"/>
                <w:w w:val="90"/>
              </w:rPr>
              <w:t>------------</w:t>
            </w:r>
          </w:p>
        </w:tc>
        <w:tc>
          <w:tcPr>
            <w:tcW w:w="1880" w:type="dxa"/>
            <w:vAlign w:val="bottom"/>
            <w:vMerge w:val="restart"/>
          </w:tcPr>
          <w:p>
            <w:pPr>
              <w:jc w:val="right"/>
              <w:ind w:right="862"/>
              <w:spacing w:after="0"/>
              <w:rPr>
                <w:sz w:val="20"/>
                <w:szCs w:val="20"/>
                <w:color w:val="auto"/>
              </w:rPr>
            </w:pPr>
            <w:r>
              <w:rPr>
                <w:rFonts w:ascii="Courier New" w:cs="Courier New" w:eastAsia="Courier New" w:hAnsi="Courier New"/>
                <w:sz w:val="16"/>
                <w:szCs w:val="16"/>
                <w:color w:val="auto"/>
              </w:rPr>
              <w:t>4,638,144</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76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340,538</w:t>
            </w:r>
          </w:p>
        </w:tc>
        <w:tc>
          <w:tcPr>
            <w:tcW w:w="0" w:type="dxa"/>
            <w:vAlign w:val="bottom"/>
          </w:tcPr>
          <w:p>
            <w:pPr>
              <w:spacing w:after="0"/>
              <w:rPr>
                <w:sz w:val="1"/>
                <w:szCs w:val="1"/>
                <w:color w:val="auto"/>
              </w:rPr>
            </w:pPr>
          </w:p>
        </w:tc>
      </w:tr>
      <w:tr>
        <w:trPr>
          <w:trHeight w:val="264"/>
        </w:trPr>
        <w:tc>
          <w:tcPr>
            <w:tcW w:w="7600" w:type="dxa"/>
            <w:vAlign w:val="bottom"/>
          </w:tcPr>
          <w:p>
            <w:pPr>
              <w:spacing w:after="0"/>
              <w:rPr>
                <w:sz w:val="22"/>
                <w:szCs w:val="22"/>
                <w:color w:val="auto"/>
              </w:rPr>
            </w:pPr>
          </w:p>
        </w:tc>
        <w:tc>
          <w:tcPr>
            <w:tcW w:w="2160" w:type="dxa"/>
            <w:vAlign w:val="bottom"/>
            <w:gridSpan w:val="2"/>
          </w:tcPr>
          <w:p>
            <w:pPr>
              <w:jc w:val="right"/>
              <w:ind w:right="86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76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80" w:type="dxa"/>
            <w:vAlign w:val="bottom"/>
          </w:tcPr>
          <w:p>
            <w:pPr>
              <w:spacing w:after="0"/>
              <w:rPr>
                <w:sz w:val="24"/>
                <w:szCs w:val="24"/>
                <w:color w:val="auto"/>
              </w:rPr>
            </w:pPr>
          </w:p>
        </w:tc>
        <w:tc>
          <w:tcPr>
            <w:tcW w:w="1880" w:type="dxa"/>
            <w:vAlign w:val="bottom"/>
            <w:vMerge w:val="restart"/>
          </w:tcPr>
          <w:p>
            <w:pPr>
              <w:jc w:val="right"/>
              <w:ind w:right="782"/>
              <w:spacing w:after="0"/>
              <w:rPr>
                <w:sz w:val="20"/>
                <w:szCs w:val="20"/>
                <w:color w:val="auto"/>
              </w:rPr>
            </w:pPr>
            <w:r>
              <w:rPr>
                <w:rFonts w:ascii="Courier New" w:cs="Courier New" w:eastAsia="Courier New" w:hAnsi="Courier New"/>
                <w:sz w:val="16"/>
                <w:szCs w:val="16"/>
                <w:color w:val="auto"/>
              </w:rPr>
              <w:t>(668,227)</w:t>
            </w:r>
          </w:p>
        </w:tc>
        <w:tc>
          <w:tcPr>
            <w:tcW w:w="1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(1,658,167)</w:t>
            </w:r>
          </w:p>
        </w:tc>
        <w:tc>
          <w:tcPr>
            <w:tcW w:w="0" w:type="dxa"/>
            <w:vAlign w:val="bottom"/>
          </w:tcPr>
          <w:p>
            <w:pPr>
              <w:spacing w:after="0"/>
              <w:rPr>
                <w:sz w:val="1"/>
                <w:szCs w:val="1"/>
                <w:color w:val="auto"/>
              </w:rPr>
            </w:pPr>
          </w:p>
        </w:tc>
      </w:tr>
      <w:tr>
        <w:trPr>
          <w:trHeight w:val="180"/>
        </w:trPr>
        <w:tc>
          <w:tcPr>
            <w:tcW w:w="7600" w:type="dxa"/>
            <w:vAlign w:val="bottom"/>
          </w:tcPr>
          <w:p>
            <w:pPr>
              <w:ind w:left="380"/>
              <w:spacing w:after="0"/>
              <w:rPr>
                <w:sz w:val="20"/>
                <w:szCs w:val="20"/>
                <w:color w:val="auto"/>
              </w:rPr>
            </w:pPr>
            <w:r>
              <w:rPr>
                <w:rFonts w:ascii="Courier New" w:cs="Courier New" w:eastAsia="Courier New" w:hAnsi="Courier New"/>
                <w:sz w:val="16"/>
                <w:szCs w:val="16"/>
                <w:color w:val="auto"/>
                <w:w w:val="98"/>
              </w:rPr>
              <w:t>Additions to property, plant and equipment..................................</w:t>
            </w:r>
          </w:p>
        </w:tc>
        <w:tc>
          <w:tcPr>
            <w:tcW w:w="28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00" w:type="dxa"/>
            <w:vAlign w:val="bottom"/>
          </w:tcPr>
          <w:p>
            <w:pPr>
              <w:ind w:left="380"/>
              <w:spacing w:after="0"/>
              <w:rPr>
                <w:sz w:val="20"/>
                <w:szCs w:val="20"/>
                <w:color w:val="auto"/>
              </w:rPr>
            </w:pPr>
            <w:r>
              <w:rPr>
                <w:rFonts w:ascii="Courier New" w:cs="Courier New" w:eastAsia="Courier New" w:hAnsi="Courier New"/>
                <w:sz w:val="16"/>
                <w:szCs w:val="16"/>
                <w:color w:val="auto"/>
                <w:w w:val="98"/>
              </w:rPr>
              <w:t>Purchases of investments....................................................</w:t>
            </w:r>
          </w:p>
        </w:tc>
        <w:tc>
          <w:tcPr>
            <w:tcW w:w="280" w:type="dxa"/>
            <w:vAlign w:val="bottom"/>
          </w:tcPr>
          <w:p>
            <w:pPr>
              <w:spacing w:after="0"/>
              <w:rPr>
                <w:sz w:val="15"/>
                <w:szCs w:val="15"/>
                <w:color w:val="auto"/>
              </w:rPr>
            </w:pPr>
          </w:p>
        </w:tc>
        <w:tc>
          <w:tcPr>
            <w:tcW w:w="1880" w:type="dxa"/>
            <w:vAlign w:val="bottom"/>
          </w:tcPr>
          <w:p>
            <w:pPr>
              <w:jc w:val="right"/>
              <w:ind w:right="782"/>
              <w:spacing w:after="0"/>
              <w:rPr>
                <w:sz w:val="20"/>
                <w:szCs w:val="20"/>
                <w:color w:val="auto"/>
              </w:rPr>
            </w:pPr>
            <w:r>
              <w:rPr>
                <w:rFonts w:ascii="Courier New" w:cs="Courier New" w:eastAsia="Courier New" w:hAnsi="Courier New"/>
                <w:sz w:val="16"/>
                <w:szCs w:val="16"/>
                <w:color w:val="auto"/>
                <w:w w:val="94"/>
              </w:rPr>
              <w:t>(3,170,560)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(142,219)</w:t>
            </w:r>
          </w:p>
        </w:tc>
        <w:tc>
          <w:tcPr>
            <w:tcW w:w="0" w:type="dxa"/>
            <w:vAlign w:val="bottom"/>
          </w:tcPr>
          <w:p>
            <w:pPr>
              <w:spacing w:after="0"/>
              <w:rPr>
                <w:sz w:val="1"/>
                <w:szCs w:val="1"/>
                <w:color w:val="auto"/>
              </w:rPr>
            </w:pPr>
          </w:p>
        </w:tc>
      </w:tr>
      <w:tr>
        <w:trPr>
          <w:trHeight w:val="180"/>
        </w:trPr>
        <w:tc>
          <w:tcPr>
            <w:tcW w:w="7600" w:type="dxa"/>
            <w:vAlign w:val="bottom"/>
          </w:tcPr>
          <w:p>
            <w:pPr>
              <w:ind w:left="380"/>
              <w:spacing w:after="0"/>
              <w:rPr>
                <w:sz w:val="20"/>
                <w:szCs w:val="20"/>
                <w:color w:val="auto"/>
              </w:rPr>
            </w:pPr>
            <w:r>
              <w:rPr>
                <w:rFonts w:ascii="Courier New" w:cs="Courier New" w:eastAsia="Courier New" w:hAnsi="Courier New"/>
                <w:sz w:val="16"/>
                <w:szCs w:val="16"/>
                <w:color w:val="auto"/>
                <w:w w:val="98"/>
              </w:rPr>
              <w:t>Payments received on notes receivable.......................................</w:t>
            </w:r>
          </w:p>
        </w:tc>
        <w:tc>
          <w:tcPr>
            <w:tcW w:w="280" w:type="dxa"/>
            <w:vAlign w:val="bottom"/>
          </w:tcPr>
          <w:p>
            <w:pPr>
              <w:spacing w:after="0"/>
              <w:rPr>
                <w:sz w:val="15"/>
                <w:szCs w:val="15"/>
                <w:color w:val="auto"/>
              </w:rPr>
            </w:pPr>
          </w:p>
        </w:tc>
        <w:tc>
          <w:tcPr>
            <w:tcW w:w="188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67,622</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27,768</w:t>
            </w:r>
          </w:p>
        </w:tc>
        <w:tc>
          <w:tcPr>
            <w:tcW w:w="0" w:type="dxa"/>
            <w:vAlign w:val="bottom"/>
          </w:tcPr>
          <w:p>
            <w:pPr>
              <w:spacing w:after="0"/>
              <w:rPr>
                <w:sz w:val="1"/>
                <w:szCs w:val="1"/>
                <w:color w:val="auto"/>
              </w:rPr>
            </w:pPr>
          </w:p>
        </w:tc>
      </w:tr>
      <w:tr>
        <w:trPr>
          <w:trHeight w:val="180"/>
        </w:trPr>
        <w:tc>
          <w:tcPr>
            <w:tcW w:w="7600" w:type="dxa"/>
            <w:vAlign w:val="bottom"/>
            <w:vMerge w:val="restart"/>
          </w:tcPr>
          <w:p>
            <w:pPr>
              <w:ind w:left="740"/>
              <w:spacing w:after="0"/>
              <w:rPr>
                <w:sz w:val="20"/>
                <w:szCs w:val="20"/>
                <w:color w:val="auto"/>
              </w:rPr>
            </w:pPr>
            <w:r>
              <w:rPr>
                <w:rFonts w:ascii="Courier New" w:cs="Courier New" w:eastAsia="Courier New" w:hAnsi="Courier New"/>
                <w:sz w:val="16"/>
                <w:szCs w:val="16"/>
                <w:color w:val="auto"/>
              </w:rPr>
              <w:t>Net cash used in investing activities</w:t>
            </w:r>
          </w:p>
        </w:tc>
        <w:tc>
          <w:tcPr>
            <w:tcW w:w="280" w:type="dxa"/>
            <w:vAlign w:val="bottom"/>
          </w:tcPr>
          <w:p>
            <w:pPr>
              <w:jc w:val="right"/>
              <w:spacing w:after="0"/>
              <w:rPr>
                <w:sz w:val="20"/>
                <w:szCs w:val="20"/>
                <w:color w:val="auto"/>
              </w:rPr>
            </w:pPr>
            <w:r>
              <w:rPr>
                <w:rFonts w:ascii="Courier New" w:cs="Courier New" w:eastAsia="Courier New" w:hAnsi="Courier New"/>
                <w:sz w:val="4"/>
                <w:szCs w:val="4"/>
                <w:color w:val="auto"/>
                <w:w w:val="90"/>
              </w:rPr>
              <w:t>------------</w:t>
            </w:r>
          </w:p>
        </w:tc>
        <w:tc>
          <w:tcPr>
            <w:tcW w:w="1880" w:type="dxa"/>
            <w:vAlign w:val="bottom"/>
            <w:vMerge w:val="restart"/>
          </w:tcPr>
          <w:p>
            <w:pPr>
              <w:jc w:val="right"/>
              <w:ind w:right="782"/>
              <w:spacing w:after="0"/>
              <w:rPr>
                <w:sz w:val="20"/>
                <w:szCs w:val="20"/>
                <w:color w:val="auto"/>
              </w:rPr>
            </w:pPr>
            <w:r>
              <w:rPr>
                <w:rFonts w:ascii="Courier New" w:cs="Courier New" w:eastAsia="Courier New" w:hAnsi="Courier New"/>
                <w:sz w:val="16"/>
                <w:szCs w:val="16"/>
                <w:color w:val="auto"/>
                <w:w w:val="94"/>
              </w:rPr>
              <w:t>(3,771,165)</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76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(1,772,618)</w:t>
            </w:r>
          </w:p>
        </w:tc>
        <w:tc>
          <w:tcPr>
            <w:tcW w:w="0" w:type="dxa"/>
            <w:vAlign w:val="bottom"/>
          </w:tcPr>
          <w:p>
            <w:pPr>
              <w:spacing w:after="0"/>
              <w:rPr>
                <w:sz w:val="1"/>
                <w:szCs w:val="1"/>
                <w:color w:val="auto"/>
              </w:rPr>
            </w:pPr>
          </w:p>
        </w:tc>
      </w:tr>
      <w:tr>
        <w:trPr>
          <w:trHeight w:val="264"/>
        </w:trPr>
        <w:tc>
          <w:tcPr>
            <w:tcW w:w="7600" w:type="dxa"/>
            <w:vAlign w:val="bottom"/>
            <w:vMerge w:val="restart"/>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160" w:type="dxa"/>
            <w:vAlign w:val="bottom"/>
            <w:gridSpan w:val="2"/>
          </w:tcPr>
          <w:p>
            <w:pPr>
              <w:jc w:val="right"/>
              <w:ind w:right="86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7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880" w:type="dxa"/>
            <w:vAlign w:val="bottom"/>
            <w:vMerge w:val="restart"/>
          </w:tcPr>
          <w:p>
            <w:pPr>
              <w:jc w:val="right"/>
              <w:ind w:right="782"/>
              <w:spacing w:after="0"/>
              <w:rPr>
                <w:sz w:val="20"/>
                <w:szCs w:val="20"/>
                <w:color w:val="auto"/>
              </w:rPr>
            </w:pPr>
            <w:r>
              <w:rPr>
                <w:rFonts w:ascii="Courier New" w:cs="Courier New" w:eastAsia="Courier New" w:hAnsi="Courier New"/>
                <w:sz w:val="16"/>
                <w:szCs w:val="16"/>
                <w:color w:val="auto"/>
                <w:w w:val="94"/>
              </w:rPr>
              <w:t>(1,147,090)</w:t>
            </w:r>
          </w:p>
        </w:tc>
        <w:tc>
          <w:tcPr>
            <w:tcW w:w="180" w:type="dxa"/>
            <w:vAlign w:val="bottom"/>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(1,044,351)</w:t>
            </w:r>
          </w:p>
        </w:tc>
        <w:tc>
          <w:tcPr>
            <w:tcW w:w="0" w:type="dxa"/>
            <w:vAlign w:val="bottom"/>
          </w:tcPr>
          <w:p>
            <w:pPr>
              <w:spacing w:after="0"/>
              <w:rPr>
                <w:sz w:val="1"/>
                <w:szCs w:val="1"/>
                <w:color w:val="auto"/>
              </w:rPr>
            </w:pPr>
          </w:p>
        </w:tc>
      </w:tr>
      <w:tr>
        <w:trPr>
          <w:trHeight w:val="180"/>
        </w:trPr>
        <w:tc>
          <w:tcPr>
            <w:tcW w:w="7600" w:type="dxa"/>
            <w:vAlign w:val="bottom"/>
          </w:tcPr>
          <w:p>
            <w:pPr>
              <w:ind w:left="380"/>
              <w:spacing w:after="0"/>
              <w:rPr>
                <w:sz w:val="20"/>
                <w:szCs w:val="20"/>
                <w:color w:val="auto"/>
              </w:rPr>
            </w:pPr>
            <w:r>
              <w:rPr>
                <w:rFonts w:ascii="Courier New" w:cs="Courier New" w:eastAsia="Courier New" w:hAnsi="Courier New"/>
                <w:sz w:val="16"/>
                <w:szCs w:val="16"/>
                <w:color w:val="auto"/>
                <w:w w:val="98"/>
              </w:rPr>
              <w:t>Cash dividends paid.........................................................</w:t>
            </w:r>
          </w:p>
        </w:tc>
        <w:tc>
          <w:tcPr>
            <w:tcW w:w="28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00" w:type="dxa"/>
            <w:vAlign w:val="bottom"/>
          </w:tcPr>
          <w:p>
            <w:pPr>
              <w:ind w:left="380"/>
              <w:spacing w:after="0"/>
              <w:rPr>
                <w:sz w:val="20"/>
                <w:szCs w:val="20"/>
                <w:color w:val="auto"/>
              </w:rPr>
            </w:pPr>
            <w:r>
              <w:rPr>
                <w:rFonts w:ascii="Courier New" w:cs="Courier New" w:eastAsia="Courier New" w:hAnsi="Courier New"/>
                <w:sz w:val="16"/>
                <w:szCs w:val="16"/>
                <w:color w:val="auto"/>
                <w:w w:val="98"/>
              </w:rPr>
              <w:t>Acquisition and retirement of stock.........................................</w:t>
            </w:r>
          </w:p>
        </w:tc>
        <w:tc>
          <w:tcPr>
            <w:tcW w:w="280" w:type="dxa"/>
            <w:vAlign w:val="bottom"/>
          </w:tcPr>
          <w:p>
            <w:pPr>
              <w:spacing w:after="0"/>
              <w:rPr>
                <w:sz w:val="15"/>
                <w:szCs w:val="15"/>
                <w:color w:val="auto"/>
              </w:rPr>
            </w:pPr>
          </w:p>
        </w:tc>
        <w:tc>
          <w:tcPr>
            <w:tcW w:w="1880" w:type="dxa"/>
            <w:vAlign w:val="bottom"/>
          </w:tcPr>
          <w:p>
            <w:pPr>
              <w:jc w:val="right"/>
              <w:ind w:right="782"/>
              <w:spacing w:after="0"/>
              <w:rPr>
                <w:sz w:val="20"/>
                <w:szCs w:val="20"/>
                <w:color w:val="auto"/>
              </w:rPr>
            </w:pPr>
            <w:r>
              <w:rPr>
                <w:rFonts w:ascii="Courier New" w:cs="Courier New" w:eastAsia="Courier New" w:hAnsi="Courier New"/>
                <w:sz w:val="16"/>
                <w:szCs w:val="16"/>
                <w:color w:val="auto"/>
                <w:w w:val="94"/>
              </w:rPr>
              <w:t>(1,295,991)</w:t>
            </w: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(59,928)</w:t>
            </w:r>
          </w:p>
        </w:tc>
        <w:tc>
          <w:tcPr>
            <w:tcW w:w="0" w:type="dxa"/>
            <w:vAlign w:val="bottom"/>
          </w:tcPr>
          <w:p>
            <w:pPr>
              <w:spacing w:after="0"/>
              <w:rPr>
                <w:sz w:val="1"/>
                <w:szCs w:val="1"/>
                <w:color w:val="auto"/>
              </w:rPr>
            </w:pPr>
          </w:p>
        </w:tc>
      </w:tr>
      <w:tr>
        <w:trPr>
          <w:trHeight w:val="180"/>
        </w:trPr>
        <w:tc>
          <w:tcPr>
            <w:tcW w:w="7600" w:type="dxa"/>
            <w:vAlign w:val="bottom"/>
          </w:tcPr>
          <w:p>
            <w:pPr>
              <w:ind w:left="380"/>
              <w:spacing w:after="0"/>
              <w:rPr>
                <w:sz w:val="20"/>
                <w:szCs w:val="20"/>
                <w:color w:val="auto"/>
              </w:rPr>
            </w:pPr>
            <w:r>
              <w:rPr>
                <w:rFonts w:ascii="Courier New" w:cs="Courier New" w:eastAsia="Courier New" w:hAnsi="Courier New"/>
                <w:sz w:val="16"/>
                <w:szCs w:val="16"/>
                <w:color w:val="auto"/>
                <w:w w:val="98"/>
              </w:rPr>
              <w:t>Debt repayment..............................................................</w:t>
            </w:r>
          </w:p>
        </w:tc>
        <w:tc>
          <w:tcPr>
            <w:tcW w:w="280" w:type="dxa"/>
            <w:vAlign w:val="bottom"/>
          </w:tcPr>
          <w:p>
            <w:pPr>
              <w:spacing w:after="0"/>
              <w:rPr>
                <w:sz w:val="15"/>
                <w:szCs w:val="15"/>
                <w:color w:val="auto"/>
              </w:rPr>
            </w:pPr>
          </w:p>
        </w:tc>
        <w:tc>
          <w:tcPr>
            <w:tcW w:w="188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(89,123)</w:t>
            </w: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00" w:type="dxa"/>
            <w:vAlign w:val="bottom"/>
            <w:vMerge w:val="restart"/>
          </w:tcPr>
          <w:p>
            <w:pPr>
              <w:ind w:left="740"/>
              <w:spacing w:after="0"/>
              <w:rPr>
                <w:sz w:val="20"/>
                <w:szCs w:val="20"/>
                <w:color w:val="auto"/>
              </w:rPr>
            </w:pPr>
            <w:r>
              <w:rPr>
                <w:rFonts w:ascii="Courier New" w:cs="Courier New" w:eastAsia="Courier New" w:hAnsi="Courier New"/>
                <w:sz w:val="16"/>
                <w:szCs w:val="16"/>
                <w:color w:val="auto"/>
              </w:rPr>
              <w:t>Net cash used in financing activities</w:t>
            </w:r>
          </w:p>
        </w:tc>
        <w:tc>
          <w:tcPr>
            <w:tcW w:w="280" w:type="dxa"/>
            <w:vAlign w:val="bottom"/>
          </w:tcPr>
          <w:p>
            <w:pPr>
              <w:jc w:val="right"/>
              <w:spacing w:after="0"/>
              <w:rPr>
                <w:sz w:val="20"/>
                <w:szCs w:val="20"/>
                <w:color w:val="auto"/>
              </w:rPr>
            </w:pPr>
            <w:r>
              <w:rPr>
                <w:rFonts w:ascii="Courier New" w:cs="Courier New" w:eastAsia="Courier New" w:hAnsi="Courier New"/>
                <w:sz w:val="4"/>
                <w:szCs w:val="4"/>
                <w:color w:val="auto"/>
                <w:w w:val="90"/>
              </w:rPr>
              <w:t>------------</w:t>
            </w:r>
          </w:p>
        </w:tc>
        <w:tc>
          <w:tcPr>
            <w:tcW w:w="1880" w:type="dxa"/>
            <w:vAlign w:val="bottom"/>
            <w:vMerge w:val="restart"/>
          </w:tcPr>
          <w:p>
            <w:pPr>
              <w:jc w:val="right"/>
              <w:ind w:right="782"/>
              <w:spacing w:after="0"/>
              <w:rPr>
                <w:sz w:val="20"/>
                <w:szCs w:val="20"/>
                <w:color w:val="auto"/>
              </w:rPr>
            </w:pPr>
            <w:r>
              <w:rPr>
                <w:rFonts w:ascii="Courier New" w:cs="Courier New" w:eastAsia="Courier New" w:hAnsi="Courier New"/>
                <w:sz w:val="16"/>
                <w:szCs w:val="16"/>
                <w:color w:val="auto"/>
                <w:w w:val="94"/>
              </w:rPr>
              <w:t>(2,532,204)</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76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(1,104,279)</w:t>
            </w:r>
          </w:p>
        </w:tc>
        <w:tc>
          <w:tcPr>
            <w:tcW w:w="0" w:type="dxa"/>
            <w:vAlign w:val="bottom"/>
          </w:tcPr>
          <w:p>
            <w:pPr>
              <w:spacing w:after="0"/>
              <w:rPr>
                <w:sz w:val="1"/>
                <w:szCs w:val="1"/>
                <w:color w:val="auto"/>
              </w:rPr>
            </w:pPr>
          </w:p>
        </w:tc>
      </w:tr>
      <w:tr>
        <w:trPr>
          <w:trHeight w:val="264"/>
        </w:trPr>
        <w:tc>
          <w:tcPr>
            <w:tcW w:w="7600" w:type="dxa"/>
            <w:vAlign w:val="bottom"/>
          </w:tcPr>
          <w:p>
            <w:pPr>
              <w:spacing w:after="0"/>
              <w:rPr>
                <w:sz w:val="22"/>
                <w:szCs w:val="22"/>
                <w:color w:val="auto"/>
              </w:rPr>
            </w:pPr>
          </w:p>
        </w:tc>
        <w:tc>
          <w:tcPr>
            <w:tcW w:w="2160" w:type="dxa"/>
            <w:vAlign w:val="bottom"/>
            <w:gridSpan w:val="2"/>
          </w:tcPr>
          <w:p>
            <w:pPr>
              <w:jc w:val="right"/>
              <w:ind w:right="86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1"/>
        </w:trPr>
        <w:tc>
          <w:tcPr>
            <w:tcW w:w="7600" w:type="dxa"/>
            <w:vAlign w:val="bottom"/>
          </w:tcPr>
          <w:p>
            <w:pPr>
              <w:spacing w:after="0"/>
              <w:rPr>
                <w:sz w:val="20"/>
                <w:szCs w:val="20"/>
                <w:color w:val="auto"/>
              </w:rPr>
            </w:pPr>
            <w:r>
              <w:rPr>
                <w:rFonts w:ascii="Courier New" w:cs="Courier New" w:eastAsia="Courier New" w:hAnsi="Courier New"/>
                <w:sz w:val="16"/>
                <w:szCs w:val="16"/>
                <w:color w:val="auto"/>
              </w:rPr>
              <w:t>DECREASE IN CASH AND CASH EQUIVALENTS</w:t>
            </w:r>
          </w:p>
        </w:tc>
        <w:tc>
          <w:tcPr>
            <w:tcW w:w="280" w:type="dxa"/>
            <w:vAlign w:val="bottom"/>
          </w:tcPr>
          <w:p>
            <w:pPr>
              <w:spacing w:after="0"/>
              <w:rPr>
                <w:sz w:val="24"/>
                <w:szCs w:val="24"/>
                <w:color w:val="auto"/>
              </w:rPr>
            </w:pPr>
          </w:p>
        </w:tc>
        <w:tc>
          <w:tcPr>
            <w:tcW w:w="1880" w:type="dxa"/>
            <w:vAlign w:val="bottom"/>
          </w:tcPr>
          <w:p>
            <w:pPr>
              <w:jc w:val="right"/>
              <w:ind w:right="782"/>
              <w:spacing w:after="0"/>
              <w:rPr>
                <w:sz w:val="20"/>
                <w:szCs w:val="20"/>
                <w:color w:val="auto"/>
              </w:rPr>
            </w:pPr>
            <w:r>
              <w:rPr>
                <w:rFonts w:ascii="Courier New" w:cs="Courier New" w:eastAsia="Courier New" w:hAnsi="Courier New"/>
                <w:sz w:val="16"/>
                <w:szCs w:val="16"/>
                <w:color w:val="auto"/>
                <w:w w:val="94"/>
              </w:rPr>
              <w:t>(1,665,225)</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(2,536,359)</w:t>
            </w:r>
          </w:p>
        </w:tc>
        <w:tc>
          <w:tcPr>
            <w:tcW w:w="0" w:type="dxa"/>
            <w:vAlign w:val="bottom"/>
          </w:tcPr>
          <w:p>
            <w:pPr>
              <w:spacing w:after="0"/>
              <w:rPr>
                <w:sz w:val="1"/>
                <w:szCs w:val="1"/>
                <w:color w:val="auto"/>
              </w:rPr>
            </w:pPr>
          </w:p>
        </w:tc>
      </w:tr>
      <w:tr>
        <w:trPr>
          <w:trHeight w:val="277"/>
        </w:trPr>
        <w:tc>
          <w:tcPr>
            <w:tcW w:w="760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YEAR</w:t>
            </w:r>
          </w:p>
        </w:tc>
        <w:tc>
          <w:tcPr>
            <w:tcW w:w="280" w:type="dxa"/>
            <w:vAlign w:val="bottom"/>
          </w:tcPr>
          <w:p>
            <w:pPr>
              <w:spacing w:after="0"/>
              <w:rPr>
                <w:sz w:val="24"/>
                <w:szCs w:val="24"/>
                <w:color w:val="auto"/>
              </w:rPr>
            </w:pPr>
          </w:p>
        </w:tc>
        <w:tc>
          <w:tcPr>
            <w:tcW w:w="188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3,197,015</w:t>
            </w:r>
          </w:p>
        </w:tc>
        <w:tc>
          <w:tcPr>
            <w:tcW w:w="180" w:type="dxa"/>
            <w:vAlign w:val="bottom"/>
          </w:tcPr>
          <w:p>
            <w:pPr>
              <w:spacing w:after="0"/>
              <w:rPr>
                <w:sz w:val="24"/>
                <w:szCs w:val="24"/>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8,065,021</w:t>
            </w:r>
          </w:p>
        </w:tc>
        <w:tc>
          <w:tcPr>
            <w:tcW w:w="0" w:type="dxa"/>
            <w:vAlign w:val="bottom"/>
          </w:tcPr>
          <w:p>
            <w:pPr>
              <w:spacing w:after="0"/>
              <w:rPr>
                <w:sz w:val="1"/>
                <w:szCs w:val="1"/>
                <w:color w:val="auto"/>
              </w:rPr>
            </w:pPr>
          </w:p>
        </w:tc>
      </w:tr>
      <w:tr>
        <w:trPr>
          <w:trHeight w:val="264"/>
        </w:trPr>
        <w:tc>
          <w:tcPr>
            <w:tcW w:w="7600" w:type="dxa"/>
            <w:vAlign w:val="bottom"/>
          </w:tcPr>
          <w:p>
            <w:pPr>
              <w:spacing w:after="0"/>
              <w:rPr>
                <w:sz w:val="22"/>
                <w:szCs w:val="22"/>
                <w:color w:val="auto"/>
              </w:rPr>
            </w:pPr>
          </w:p>
        </w:tc>
        <w:tc>
          <w:tcPr>
            <w:tcW w:w="2160" w:type="dxa"/>
            <w:vAlign w:val="bottom"/>
            <w:gridSpan w:val="2"/>
          </w:tcPr>
          <w:p>
            <w:pPr>
              <w:jc w:val="right"/>
              <w:ind w:right="86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760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2160" w:type="dxa"/>
            <w:vAlign w:val="bottom"/>
            <w:gridSpan w:val="2"/>
          </w:tcPr>
          <w:p>
            <w:pPr>
              <w:jc w:val="right"/>
              <w:ind w:right="862"/>
              <w:spacing w:after="0"/>
              <w:rPr>
                <w:sz w:val="20"/>
                <w:szCs w:val="20"/>
                <w:color w:val="auto"/>
              </w:rPr>
            </w:pPr>
            <w:r>
              <w:rPr>
                <w:rFonts w:ascii="Courier New" w:cs="Courier New" w:eastAsia="Courier New" w:hAnsi="Courier New"/>
                <w:sz w:val="16"/>
                <w:szCs w:val="16"/>
                <w:color w:val="auto"/>
              </w:rPr>
              <w:t>$ 1,531,790</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$ 5,528,662</w:t>
            </w:r>
          </w:p>
        </w:tc>
        <w:tc>
          <w:tcPr>
            <w:tcW w:w="0" w:type="dxa"/>
            <w:vAlign w:val="bottom"/>
          </w:tcPr>
          <w:p>
            <w:pPr>
              <w:spacing w:after="0"/>
              <w:rPr>
                <w:sz w:val="1"/>
                <w:szCs w:val="1"/>
                <w:color w:val="auto"/>
              </w:rPr>
            </w:pPr>
          </w:p>
        </w:tc>
      </w:tr>
      <w:tr>
        <w:trPr>
          <w:trHeight w:val="264"/>
        </w:trPr>
        <w:tc>
          <w:tcPr>
            <w:tcW w:w="7600" w:type="dxa"/>
            <w:vAlign w:val="bottom"/>
          </w:tcPr>
          <w:p>
            <w:pPr>
              <w:spacing w:after="0"/>
              <w:rPr>
                <w:sz w:val="22"/>
                <w:szCs w:val="22"/>
                <w:color w:val="auto"/>
              </w:rPr>
            </w:pPr>
          </w:p>
        </w:tc>
        <w:tc>
          <w:tcPr>
            <w:tcW w:w="2160" w:type="dxa"/>
            <w:vAlign w:val="bottom"/>
            <w:gridSpan w:val="2"/>
          </w:tcPr>
          <w:p>
            <w:pPr>
              <w:jc w:val="right"/>
              <w:ind w:right="86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1"/>
        </w:trPr>
        <w:tc>
          <w:tcPr>
            <w:tcW w:w="7600" w:type="dxa"/>
            <w:vAlign w:val="bottom"/>
          </w:tcPr>
          <w:p>
            <w:pPr>
              <w:spacing w:after="0"/>
              <w:rPr>
                <w:sz w:val="20"/>
                <w:szCs w:val="20"/>
                <w:color w:val="auto"/>
              </w:rPr>
            </w:pPr>
            <w:r>
              <w:rPr>
                <w:rFonts w:ascii="Courier New" w:cs="Courier New" w:eastAsia="Courier New" w:hAnsi="Courier New"/>
                <w:sz w:val="16"/>
                <w:szCs w:val="16"/>
                <w:color w:val="auto"/>
              </w:rPr>
              <w:t>SUPPLEMENTAL DISCLOSURES OF CASH FLOW INFORMATION:</w:t>
            </w: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600" w:type="dxa"/>
            <w:vAlign w:val="bottom"/>
          </w:tcPr>
          <w:p>
            <w:pPr>
              <w:ind w:left="380"/>
              <w:spacing w:after="0"/>
              <w:rPr>
                <w:sz w:val="20"/>
                <w:szCs w:val="20"/>
                <w:color w:val="auto"/>
              </w:rPr>
            </w:pPr>
            <w:r>
              <w:rPr>
                <w:rFonts w:ascii="Courier New" w:cs="Courier New" w:eastAsia="Courier New" w:hAnsi="Courier New"/>
                <w:sz w:val="16"/>
                <w:szCs w:val="16"/>
                <w:color w:val="auto"/>
                <w:w w:val="98"/>
              </w:rPr>
              <w:t>Cash paid for interest......................................................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38,780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42,975</w:t>
            </w:r>
          </w:p>
        </w:tc>
        <w:tc>
          <w:tcPr>
            <w:tcW w:w="0" w:type="dxa"/>
            <w:vAlign w:val="bottom"/>
          </w:tcPr>
          <w:p>
            <w:pPr>
              <w:spacing w:after="0"/>
              <w:rPr>
                <w:sz w:val="1"/>
                <w:szCs w:val="1"/>
                <w:color w:val="auto"/>
              </w:rPr>
            </w:pPr>
          </w:p>
        </w:tc>
      </w:tr>
      <w:tr>
        <w:trPr>
          <w:trHeight w:val="180"/>
        </w:trPr>
        <w:tc>
          <w:tcPr>
            <w:tcW w:w="7600" w:type="dxa"/>
            <w:vAlign w:val="bottom"/>
            <w:vMerge w:val="restart"/>
          </w:tcPr>
          <w:p>
            <w:pPr>
              <w:ind w:left="380"/>
              <w:spacing w:after="0"/>
              <w:rPr>
                <w:sz w:val="20"/>
                <w:szCs w:val="20"/>
                <w:color w:val="auto"/>
              </w:rPr>
            </w:pPr>
            <w:r>
              <w:rPr>
                <w:rFonts w:ascii="Courier New" w:cs="Courier New" w:eastAsia="Courier New" w:hAnsi="Courier New"/>
                <w:sz w:val="16"/>
                <w:szCs w:val="16"/>
                <w:color w:val="auto"/>
                <w:w w:val="98"/>
              </w:rPr>
              <w:t>Cash paid for income taxes..................................................</w:t>
            </w:r>
          </w:p>
        </w:tc>
        <w:tc>
          <w:tcPr>
            <w:tcW w:w="2160" w:type="dxa"/>
            <w:vAlign w:val="bottom"/>
            <w:gridSpan w:val="2"/>
          </w:tcPr>
          <w:p>
            <w:pPr>
              <w:jc w:val="right"/>
              <w:ind w:right="86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7600" w:type="dxa"/>
            <w:vAlign w:val="bottom"/>
            <w:vMerge w:val="continue"/>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163,500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645,000</w:t>
            </w:r>
          </w:p>
        </w:tc>
        <w:tc>
          <w:tcPr>
            <w:tcW w:w="0" w:type="dxa"/>
            <w:vAlign w:val="bottom"/>
          </w:tcPr>
          <w:p>
            <w:pPr>
              <w:spacing w:after="0"/>
              <w:rPr>
                <w:sz w:val="1"/>
                <w:szCs w:val="1"/>
                <w:color w:val="auto"/>
              </w:rPr>
            </w:pPr>
          </w:p>
        </w:tc>
      </w:tr>
      <w:tr>
        <w:trPr>
          <w:trHeight w:val="264"/>
        </w:trPr>
        <w:tc>
          <w:tcPr>
            <w:tcW w:w="7600" w:type="dxa"/>
            <w:vAlign w:val="bottom"/>
          </w:tcPr>
          <w:p>
            <w:pPr>
              <w:spacing w:after="0"/>
              <w:rPr>
                <w:sz w:val="22"/>
                <w:szCs w:val="22"/>
                <w:color w:val="auto"/>
              </w:rPr>
            </w:pPr>
          </w:p>
        </w:tc>
        <w:tc>
          <w:tcPr>
            <w:tcW w:w="2160" w:type="dxa"/>
            <w:vAlign w:val="bottom"/>
            <w:gridSpan w:val="2"/>
          </w:tcPr>
          <w:p>
            <w:pPr>
              <w:jc w:val="right"/>
              <w:ind w:right="86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See accompanying Notes to Condensed Financial Statements.</w:t>
      </w:r>
    </w:p>
    <w:p>
      <w:pPr>
        <w:spacing w:after="0" w:line="360" w:lineRule="exact"/>
        <w:rPr>
          <w:sz w:val="20"/>
          <w:szCs w:val="20"/>
          <w:color w:val="auto"/>
        </w:rPr>
      </w:pPr>
    </w:p>
    <w:p>
      <w:pPr>
        <w:ind w:left="4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980"/>
          </w:cols>
          <w:pgMar w:left="240" w:top="991" w:right="679" w:bottom="1440" w:gutter="0" w:footer="0" w:header="0"/>
        </w:sectPr>
      </w:pPr>
    </w:p>
    <w:bookmarkStart w:id="5" w:name="page6"/>
    <w:bookmarkEnd w:id="5"/>
    <w:p>
      <w:pPr>
        <w:ind w:left="2724"/>
        <w:spacing w:after="0"/>
        <w:rPr>
          <w:sz w:val="20"/>
          <w:szCs w:val="20"/>
          <w:color w:val="auto"/>
        </w:rPr>
      </w:pPr>
      <w:r>
        <w:rPr>
          <w:rFonts w:ascii="Courier New" w:cs="Courier New" w:eastAsia="Courier New" w:hAnsi="Courier New"/>
          <w:sz w:val="16"/>
          <w:szCs w:val="16"/>
          <w:color w:val="auto"/>
        </w:rPr>
        <w:t>HAWKINS CHEMICAL, INC.</w:t>
      </w:r>
    </w:p>
    <w:p>
      <w:pPr>
        <w:spacing w:after="0" w:line="27" w:lineRule="exact"/>
        <w:rPr>
          <w:sz w:val="20"/>
          <w:szCs w:val="20"/>
          <w:color w:val="auto"/>
        </w:rPr>
      </w:pPr>
    </w:p>
    <w:p>
      <w:pPr>
        <w:ind w:left="1964"/>
        <w:spacing w:after="0"/>
        <w:rPr>
          <w:sz w:val="20"/>
          <w:szCs w:val="20"/>
          <w:color w:val="auto"/>
        </w:rPr>
      </w:pPr>
      <w:r>
        <w:rPr>
          <w:rFonts w:ascii="Courier New" w:cs="Courier New" w:eastAsia="Courier New" w:hAnsi="Courier New"/>
          <w:sz w:val="16"/>
          <w:szCs w:val="16"/>
          <w:color w:val="auto"/>
        </w:rPr>
        <w:t>NOTES TO CONDENSED FINANCIAL STATEMENTS</w:t>
      </w:r>
    </w:p>
    <w:p>
      <w:pPr>
        <w:spacing w:after="0" w:line="151" w:lineRule="exact"/>
        <w:rPr>
          <w:sz w:val="20"/>
          <w:szCs w:val="20"/>
          <w:color w:val="auto"/>
        </w:rPr>
      </w:pPr>
    </w:p>
    <w:p>
      <w:pPr>
        <w:ind w:left="464" w:right="2719" w:hanging="464"/>
        <w:spacing w:after="0" w:line="260" w:lineRule="auto"/>
        <w:tabs>
          <w:tab w:leader="none" w:pos="46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December 30, 1998, the basis of the financial statements presented included the accounts of Hawkins Chemical, Inc. and its wholly owned subsidiary, Hawkins Water Treatment Group, Inc. (the Company). All significant inter-company transactions and balances have been eliminated. Effective December 30, 1998 the subsidiary was merged into Hawkins Chemical, Inc.</w:t>
      </w:r>
    </w:p>
    <w:p>
      <w:pPr>
        <w:spacing w:after="0" w:line="84" w:lineRule="exact"/>
        <w:rPr>
          <w:rFonts w:ascii="Courier New" w:cs="Courier New" w:eastAsia="Courier New" w:hAnsi="Courier New"/>
          <w:sz w:val="16"/>
          <w:szCs w:val="16"/>
          <w:color w:val="auto"/>
        </w:rPr>
      </w:pPr>
    </w:p>
    <w:p>
      <w:pPr>
        <w:ind w:left="464" w:right="2719"/>
        <w:spacing w:after="0" w:line="26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year ended September 27, 1998, previously filed with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84" w:lineRule="exact"/>
        <w:rPr>
          <w:rFonts w:ascii="Courier New" w:cs="Courier New" w:eastAsia="Courier New" w:hAnsi="Courier New"/>
          <w:sz w:val="16"/>
          <w:szCs w:val="16"/>
          <w:color w:val="auto"/>
        </w:rPr>
      </w:pPr>
    </w:p>
    <w:p>
      <w:pPr>
        <w:ind w:left="464" w:right="2999"/>
        <w:spacing w:after="0" w:line="32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Effective September 28, 1998, the Company adopted Statement of Financial Accounting Standards No. 130, "Reporting Comprehensive Income." For the periods presented, comprehensive income is the same as net income.</w:t>
      </w:r>
    </w:p>
    <w:p>
      <w:pPr>
        <w:spacing w:after="0" w:line="39" w:lineRule="exact"/>
        <w:rPr>
          <w:rFonts w:ascii="Courier New" w:cs="Courier New" w:eastAsia="Courier New" w:hAnsi="Courier New"/>
          <w:sz w:val="16"/>
          <w:szCs w:val="16"/>
          <w:color w:val="auto"/>
        </w:rPr>
      </w:pPr>
    </w:p>
    <w:p>
      <w:pPr>
        <w:ind w:left="464" w:right="28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accounting policies followed by the Company are set forth in Note 1 to the Company's financial statements in the 1998 Hawkins Chemical, Inc. Annual Report which is incorporated by reference to Form 10-K filed with the Commission on December 28, 1998.</w:t>
      </w:r>
    </w:p>
    <w:p>
      <w:pPr>
        <w:spacing w:after="0" w:line="71" w:lineRule="exact"/>
        <w:rPr>
          <w:rFonts w:ascii="Courier New" w:cs="Courier New" w:eastAsia="Courier New" w:hAnsi="Courier New"/>
          <w:sz w:val="16"/>
          <w:szCs w:val="16"/>
          <w:color w:val="auto"/>
        </w:rPr>
      </w:pPr>
    </w:p>
    <w:p>
      <w:pPr>
        <w:ind w:left="464" w:right="2999" w:hanging="464"/>
        <w:spacing w:after="0" w:line="293" w:lineRule="auto"/>
        <w:tabs>
          <w:tab w:leader="none" w:pos="46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operations for the period ended December 31, 1998 are not necessarily indicative of the results that may be expected for the full year.</w:t>
      </w:r>
    </w:p>
    <w:p>
      <w:pPr>
        <w:spacing w:after="0" w:line="57" w:lineRule="exact"/>
        <w:rPr>
          <w:rFonts w:ascii="Courier New" w:cs="Courier New" w:eastAsia="Courier New" w:hAnsi="Courier New"/>
          <w:sz w:val="16"/>
          <w:szCs w:val="16"/>
          <w:color w:val="auto"/>
        </w:rPr>
      </w:pPr>
    </w:p>
    <w:p>
      <w:pPr>
        <w:ind w:left="464" w:right="2899" w:hanging="464"/>
        <w:spacing w:after="0" w:line="288" w:lineRule="auto"/>
        <w:tabs>
          <w:tab w:leader="none" w:pos="46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principally valued by the LIFO method, are less than current cost by approximately $2,025,000 at December 31, 1998. Inventory consists principally of finished goods. Inventory quantities fluctuate during the year. No material amounts of interim liquidation of inventory quantities have occurred that are not expected to be replaced by year-end.</w:t>
      </w:r>
    </w:p>
    <w:p>
      <w:pPr>
        <w:spacing w:after="0" w:line="62" w:lineRule="exact"/>
        <w:rPr>
          <w:rFonts w:ascii="Courier New" w:cs="Courier New" w:eastAsia="Courier New" w:hAnsi="Courier New"/>
          <w:sz w:val="15"/>
          <w:szCs w:val="15"/>
          <w:color w:val="auto"/>
        </w:rPr>
      </w:pPr>
    </w:p>
    <w:p>
      <w:pPr>
        <w:ind w:left="464" w:hanging="464"/>
        <w:spacing w:after="0"/>
        <w:tabs>
          <w:tab w:leader="none" w:pos="46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dividends in the amount of $1,147,090 were paid on October 9, 1998.</w:t>
      </w:r>
    </w:p>
    <w:p>
      <w:pPr>
        <w:spacing w:after="0" w:line="179" w:lineRule="exact"/>
        <w:rPr>
          <w:rFonts w:ascii="Courier New" w:cs="Courier New" w:eastAsia="Courier New" w:hAnsi="Courier New"/>
          <w:sz w:val="16"/>
          <w:szCs w:val="16"/>
          <w:color w:val="auto"/>
        </w:rPr>
      </w:pPr>
    </w:p>
    <w:p>
      <w:pPr>
        <w:ind w:left="464" w:right="2819" w:hanging="464"/>
        <w:spacing w:after="0" w:line="265" w:lineRule="auto"/>
        <w:tabs>
          <w:tab w:leader="none" w:pos="46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1995, the Company had a fire in the office/warehouse of The Lynde Company, a former wholly owned subsidiary. Through the end of the fiscal year ended September 30, 1998, the Company had paid approximately $2,728,000 in settlement and legal costs in connection with the Company's defense of a lawsuit filed against it as a result of the fire. The Company's insurers denied coverage and refused to defend the lawsuit. In the first quarter of fiscal 1999, the Company prevailed against its insurers to recover the legal and settlement costs in connection with the 1995 warehouse fire. The Company received $2,754,000, which covers substantially all of its settlement and legal costs. The umbrella insurer has agreed to defend and indemnify the Company on remaining claims under the Settlement Agreement up to and in accordance with its policy limits of $5,000,000. The Company's results of operations for the first fiscal quarter of 1999 include $2,754,000 associated with this settlement.</w:t>
      </w:r>
    </w:p>
    <w:p>
      <w:pPr>
        <w:spacing w:after="0" w:line="78" w:lineRule="exact"/>
        <w:rPr>
          <w:rFonts w:ascii="Courier New" w:cs="Courier New" w:eastAsia="Courier New" w:hAnsi="Courier New"/>
          <w:sz w:val="15"/>
          <w:szCs w:val="15"/>
          <w:color w:val="auto"/>
        </w:rPr>
      </w:pPr>
    </w:p>
    <w:p>
      <w:pPr>
        <w:ind w:left="464" w:right="3379" w:hanging="464"/>
        <w:spacing w:after="0" w:line="348" w:lineRule="auto"/>
        <w:tabs>
          <w:tab w:leader="none" w:pos="46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quarter ended December 31, 1998, the Company acquired and retired 127,865 shares of common stock for $1,295,991.</w:t>
      </w:r>
    </w:p>
    <w:p>
      <w:pPr>
        <w:spacing w:after="0" w:line="196"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3"/>
          </w:cols>
          <w:pgMar w:left="236" w:top="991" w:right="1440" w:bottom="1440" w:gutter="0" w:footer="0" w:header="0"/>
        </w:sectPr>
      </w:pPr>
    </w:p>
    <w:bookmarkStart w:id="6" w:name="page7"/>
    <w:bookmarkEnd w:id="6"/>
    <w:p>
      <w:pPr>
        <w:spacing w:after="0"/>
        <w:tabs>
          <w:tab w:leader="none" w:pos="100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 OF</w:t>
      </w:r>
    </w:p>
    <w:p>
      <w:pPr>
        <w:spacing w:after="0" w:line="2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CONTINUING OPERATIONS</w:t>
      </w:r>
    </w:p>
    <w:p>
      <w:pPr>
        <w:spacing w:after="0" w:line="179" w:lineRule="exact"/>
        <w:rPr>
          <w:sz w:val="20"/>
          <w:szCs w:val="20"/>
          <w:color w:val="auto"/>
        </w:rPr>
      </w:pPr>
    </w:p>
    <w:p>
      <w:pPr>
        <w:ind w:right="2719"/>
        <w:spacing w:after="0" w:line="275" w:lineRule="auto"/>
        <w:rPr>
          <w:sz w:val="20"/>
          <w:szCs w:val="20"/>
          <w:color w:val="auto"/>
        </w:rPr>
      </w:pPr>
      <w:r>
        <w:rPr>
          <w:rFonts w:ascii="Courier New" w:cs="Courier New" w:eastAsia="Courier New" w:hAnsi="Courier New"/>
          <w:sz w:val="16"/>
          <w:szCs w:val="16"/>
          <w:color w:val="auto"/>
        </w:rPr>
        <w:t>Net sales increased $644,255, or 2.8%, in the first quarter of this fiscal year as compared to the same quarter a year ago. The increase is due mainly to volume increases throughout the Company, which was partially offset by selling price decreases in a few product lines.</w:t>
      </w:r>
    </w:p>
    <w:p>
      <w:pPr>
        <w:spacing w:after="0" w:line="71"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The gross margin, as a percentage of net sales, for the first quarter of fiscal 1999 was 22.3% compared to 22.6% for the same quarter one year ago. This decrease was mainly due to depressed profit margins in a high-volume product line. Management expects this to be temporary and anticipates a return to normal profit margins during this fiscal year. Historically, gross margins have fluctuated in the first quarter of our fiscal year due to the mix of products sold, as the first quarter volumes are generally the weakest of the four quarters. The Company has generally been able to, and expects to continue to, adjust its selling prices as the cost of materials and other expenses change, thereby maintaining relatively stable gross margins.</w:t>
      </w:r>
    </w:p>
    <w:p>
      <w:pPr>
        <w:spacing w:after="0" w:line="89" w:lineRule="exact"/>
        <w:rPr>
          <w:sz w:val="20"/>
          <w:szCs w:val="20"/>
          <w:color w:val="auto"/>
        </w:rPr>
      </w:pPr>
    </w:p>
    <w:p>
      <w:pPr>
        <w:ind w:right="2719"/>
        <w:spacing w:after="0" w:line="260" w:lineRule="auto"/>
        <w:rPr>
          <w:sz w:val="20"/>
          <w:szCs w:val="20"/>
          <w:color w:val="auto"/>
        </w:rPr>
      </w:pPr>
      <w:r>
        <w:rPr>
          <w:rFonts w:ascii="Courier New" w:cs="Courier New" w:eastAsia="Courier New" w:hAnsi="Courier New"/>
          <w:sz w:val="16"/>
          <w:szCs w:val="16"/>
          <w:color w:val="auto"/>
        </w:rPr>
        <w:t>Selling, general and administrative expenses, as a percentage of net sales, for the first quarter of fiscal 1999 were 10.8% compared to 10.4% for the same quarter one year ago. The increase was mainly due to increased employee compensation and benefits, which comprise the majority of the selling, general and administrative expenditures. Most of the remaining expenses in this category are fixed in nature and fluctuate only slightly with sales.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1995, the Company had a fire in the office/warehouse of The Lynde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a former wholly owned subsidiary. Through the end of the fiscal year</w:t>
      </w:r>
    </w:p>
    <w:p>
      <w:pPr>
        <w:spacing w:after="0"/>
        <w:rPr>
          <w:sz w:val="20"/>
          <w:szCs w:val="20"/>
          <w:color w:val="auto"/>
        </w:rPr>
      </w:pPr>
      <w:r>
        <w:rPr>
          <w:rFonts w:ascii="Courier New" w:cs="Courier New" w:eastAsia="Courier New" w:hAnsi="Courier New"/>
          <w:sz w:val="16"/>
          <w:szCs w:val="16"/>
          <w:color w:val="auto"/>
        </w:rPr>
        <w:t>ended September 30, 1998, the Company had paid approximately $2,728,000 in</w:t>
      </w:r>
    </w:p>
    <w:p>
      <w:pPr>
        <w:spacing w:after="0"/>
        <w:rPr>
          <w:sz w:val="20"/>
          <w:szCs w:val="20"/>
          <w:color w:val="auto"/>
        </w:rPr>
      </w:pPr>
      <w:r>
        <w:rPr>
          <w:rFonts w:ascii="Courier New" w:cs="Courier New" w:eastAsia="Courier New" w:hAnsi="Courier New"/>
          <w:sz w:val="15"/>
          <w:szCs w:val="15"/>
          <w:color w:val="auto"/>
        </w:rPr>
        <w:t>settlement and legal costs in connection with the Company's defense of a lawsuit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against it as a result of the fire. The Company's insurers denied coverage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refused to defend the lawsuit. In the first quarter of fiscal 1999, the</w:t>
      </w:r>
    </w:p>
    <w:p>
      <w:pPr>
        <w:spacing w:after="0"/>
        <w:rPr>
          <w:sz w:val="20"/>
          <w:szCs w:val="20"/>
          <w:color w:val="auto"/>
        </w:rPr>
      </w:pPr>
      <w:r>
        <w:rPr>
          <w:rFonts w:ascii="Courier New" w:cs="Courier New" w:eastAsia="Courier New" w:hAnsi="Courier New"/>
          <w:sz w:val="15"/>
          <w:szCs w:val="15"/>
          <w:color w:val="auto"/>
        </w:rPr>
        <w:t>Company prevailed against its insurers to recover the legal and settlement costs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connection with the 1995 warehouse fire. The Company has received $2,754,000,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covers substantially all of its settlement and legal costs. The umbrella</w:t>
      </w:r>
    </w:p>
    <w:p>
      <w:pPr>
        <w:spacing w:after="0"/>
        <w:rPr>
          <w:sz w:val="20"/>
          <w:szCs w:val="20"/>
          <w:color w:val="auto"/>
        </w:rPr>
      </w:pPr>
      <w:r>
        <w:rPr>
          <w:rFonts w:ascii="Courier New" w:cs="Courier New" w:eastAsia="Courier New" w:hAnsi="Courier New"/>
          <w:sz w:val="15"/>
          <w:szCs w:val="15"/>
          <w:color w:val="auto"/>
        </w:rPr>
        <w:t>insurer has agreed to defend and indemnify the Company on remaining claims under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Settlement Agreement up to and in accordance with its policy limits of</w:t>
      </w:r>
    </w:p>
    <w:p>
      <w:pPr>
        <w:spacing w:after="0"/>
        <w:rPr>
          <w:sz w:val="20"/>
          <w:szCs w:val="20"/>
          <w:color w:val="auto"/>
        </w:rPr>
      </w:pPr>
      <w:r>
        <w:rPr>
          <w:rFonts w:ascii="Courier New" w:cs="Courier New" w:eastAsia="Courier New" w:hAnsi="Courier New"/>
          <w:sz w:val="15"/>
          <w:szCs w:val="15"/>
          <w:color w:val="auto"/>
        </w:rPr>
        <w:t>$5,000,000. The Company's results of operations for the first fiscal quarter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 include $2,754,000 associated with this settlement.</w:t>
      </w:r>
    </w:p>
    <w:p>
      <w:pPr>
        <w:spacing w:after="0" w:line="151" w:lineRule="exact"/>
        <w:rPr>
          <w:sz w:val="20"/>
          <w:szCs w:val="20"/>
          <w:color w:val="auto"/>
        </w:rPr>
      </w:pPr>
    </w:p>
    <w:p>
      <w:pPr>
        <w:ind w:right="2719"/>
        <w:spacing w:after="0" w:line="260" w:lineRule="auto"/>
        <w:rPr>
          <w:sz w:val="20"/>
          <w:szCs w:val="20"/>
          <w:color w:val="auto"/>
        </w:rPr>
      </w:pPr>
      <w:r>
        <w:rPr>
          <w:rFonts w:ascii="Courier New" w:cs="Courier New" w:eastAsia="Courier New" w:hAnsi="Courier New"/>
          <w:sz w:val="16"/>
          <w:szCs w:val="16"/>
          <w:color w:val="auto"/>
        </w:rPr>
        <w:t>Income from operations increased $2,664,252 in the first quarter of fiscal 1999, compared to fiscal 1998. This increase is primarily attributable to the amounts received from the Company's insurers in connection with the 1995 fire at the Lynde Company, a former wholly owned subsidiary, which covers substantially all of its settlement and legal costs previously incurred in connection with the fire.</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w:t>
      </w:r>
    </w:p>
    <w:p>
      <w:pPr>
        <w:spacing w:after="0" w:line="179" w:lineRule="exact"/>
        <w:rPr>
          <w:sz w:val="20"/>
          <w:szCs w:val="20"/>
          <w:color w:val="auto"/>
        </w:rPr>
      </w:pPr>
    </w:p>
    <w:p>
      <w:pPr>
        <w:ind w:right="2819"/>
        <w:spacing w:after="0" w:line="266" w:lineRule="auto"/>
        <w:rPr>
          <w:sz w:val="20"/>
          <w:szCs w:val="20"/>
          <w:color w:val="auto"/>
        </w:rPr>
      </w:pPr>
      <w:r>
        <w:rPr>
          <w:rFonts w:ascii="Courier New" w:cs="Courier New" w:eastAsia="Courier New" w:hAnsi="Courier New"/>
          <w:sz w:val="16"/>
          <w:szCs w:val="16"/>
          <w:color w:val="auto"/>
        </w:rPr>
        <w:t>Interest income decreased $74,376, or 20.9%, for the quarter ended December 31, 1998 compared to the same quarter one year ago. This decrease is due to less cash available for investments during the quarter. Interest expense decreased slightly due to the decline in long-term debt. Other miscellaneous income increased slightly, $2,241, as compared to the previous year.</w:t>
      </w:r>
    </w:p>
    <w:p>
      <w:pPr>
        <w:spacing w:after="0" w:line="25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99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79"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6"/>
          <w:szCs w:val="16"/>
          <w:color w:val="auto"/>
        </w:rPr>
        <w:t>For the first quarter ended December 31, 1998, cash provided by operations was $4,638,144 compared to $340,538 for the same period one-year ago. This increase was due mainly to the increase in net income and changes in certain current asset and liability accounts discussed below. The increase in net income is primarily due to the amounts received from the Company's insurers in connection with the 1995 fire at the Lynde Company. During the three months ended December 31, 1998, the Company invested $668,227 in property and equipment additions and added $3,170,560 to investments.</w:t>
      </w:r>
    </w:p>
    <w:p>
      <w:pPr>
        <w:spacing w:after="0" w:line="89" w:lineRule="exact"/>
        <w:rPr>
          <w:sz w:val="20"/>
          <w:szCs w:val="20"/>
          <w:color w:val="auto"/>
        </w:rPr>
      </w:pPr>
    </w:p>
    <w:p>
      <w:pPr>
        <w:ind w:right="2719"/>
        <w:spacing w:after="0" w:line="260" w:lineRule="auto"/>
        <w:rPr>
          <w:sz w:val="20"/>
          <w:szCs w:val="20"/>
          <w:color w:val="auto"/>
        </w:rPr>
      </w:pPr>
      <w:r>
        <w:rPr>
          <w:rFonts w:ascii="Courier New" w:cs="Courier New" w:eastAsia="Courier New" w:hAnsi="Courier New"/>
          <w:sz w:val="16"/>
          <w:szCs w:val="16"/>
          <w:color w:val="auto"/>
        </w:rPr>
        <w:t>Accounts receivable, inventories, accounts payable and other current liabilities decreased during the first three months of fiscal 1999. Decreases in these accounts are typical for the first quarter of our fiscal year. Other current assets decreased due to a reduction in prepaid income taxes during the quarter ended December 31, 1998. The Company did not issue any securities during the quarter ended December 31, 1998.</w:t>
      </w:r>
    </w:p>
    <w:p>
      <w:pPr>
        <w:spacing w:after="0" w:line="84" w:lineRule="exact"/>
        <w:rPr>
          <w:sz w:val="20"/>
          <w:szCs w:val="20"/>
          <w:color w:val="auto"/>
        </w:rPr>
      </w:pPr>
    </w:p>
    <w:p>
      <w:pPr>
        <w:ind w:right="3099"/>
        <w:spacing w:after="0" w:line="348" w:lineRule="auto"/>
        <w:rPr>
          <w:sz w:val="20"/>
          <w:szCs w:val="20"/>
          <w:color w:val="auto"/>
        </w:rPr>
      </w:pPr>
      <w:r>
        <w:rPr>
          <w:rFonts w:ascii="Courier New" w:cs="Courier New" w:eastAsia="Courier New" w:hAnsi="Courier New"/>
          <w:sz w:val="16"/>
          <w:szCs w:val="16"/>
          <w:color w:val="auto"/>
        </w:rPr>
        <w:t>During the quarter ended December 31, 1998, the Company acquired and retired 127,865 shares of common stock for $1,295,991.</w:t>
      </w:r>
    </w:p>
    <w:p>
      <w:pPr>
        <w:spacing w:after="0" w:line="15"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6"/>
          <w:szCs w:val="16"/>
          <w:color w:val="auto"/>
        </w:rPr>
        <w:t>Cash flows from operations, coupled with the Company's strong cash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puts it in a position to issue either debt or equity securities on favorable terms.</w:t>
      </w:r>
    </w:p>
    <w:p>
      <w:pPr>
        <w:spacing w:after="0" w:line="89" w:lineRule="exact"/>
        <w:rPr>
          <w:sz w:val="20"/>
          <w:szCs w:val="20"/>
          <w:color w:val="auto"/>
        </w:rPr>
      </w:pPr>
    </w:p>
    <w:p>
      <w:pPr>
        <w:ind w:right="2719"/>
        <w:spacing w:after="0" w:line="246" w:lineRule="auto"/>
        <w:rPr>
          <w:sz w:val="20"/>
          <w:szCs w:val="20"/>
          <w:color w:val="auto"/>
        </w:rPr>
      </w:pPr>
      <w:r>
        <w:rPr>
          <w:rFonts w:ascii="Courier New" w:cs="Courier New" w:eastAsia="Courier New" w:hAnsi="Courier New"/>
          <w:sz w:val="16"/>
          <w:szCs w:val="16"/>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Cash equivalents include all liquid debt instruments (primarily cash funds and certificates of deposit) purchased with an original maturity of three months or less. Cash equivalents are carried at cost, which approximates market value. Investments classified as available-for-sale securities consist of insurance contracts and variable rate marketable securities (primarily municipal bonds and annuity contracts) that will be held for indefinite periods of time, including securities that may be sold in response to changes in market interest or prepayment rates, needs for liquidity or changes in the availability or yield of alternative investments. These securities are carried at market value which approximates cost.</w:t>
      </w:r>
    </w:p>
    <w:p>
      <w:pPr>
        <w:spacing w:after="0" w:line="99" w:lineRule="exact"/>
        <w:rPr>
          <w:sz w:val="20"/>
          <w:szCs w:val="20"/>
          <w:color w:val="auto"/>
        </w:rPr>
      </w:pPr>
    </w:p>
    <w:p>
      <w:pPr>
        <w:ind w:right="2819"/>
        <w:spacing w:after="0" w:line="299" w:lineRule="auto"/>
        <w:rPr>
          <w:sz w:val="20"/>
          <w:szCs w:val="20"/>
          <w:color w:val="auto"/>
        </w:rPr>
      </w:pPr>
      <w:r>
        <w:rPr>
          <w:rFonts w:ascii="Courier New" w:cs="Courier New" w:eastAsia="Courier New" w:hAnsi="Courier New"/>
          <w:sz w:val="15"/>
          <w:szCs w:val="15"/>
          <w:color w:val="auto"/>
        </w:rPr>
        <w:t>Other than as discussed above, management is not aware of any matters that have materially affected the first three months of fiscal 1999, or are expected to materially affect future periods, nor is management aware of other matters not affecting this period that are expected to materially affect future periods.</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 COMPLIANCE</w:t>
      </w:r>
    </w:p>
    <w:p>
      <w:pPr>
        <w:spacing w:after="0" w:line="179" w:lineRule="exact"/>
        <w:rPr>
          <w:sz w:val="20"/>
          <w:szCs w:val="20"/>
          <w:color w:val="auto"/>
        </w:rPr>
      </w:pPr>
    </w:p>
    <w:p>
      <w:pPr>
        <w:ind w:right="2819"/>
        <w:spacing w:after="0" w:line="266" w:lineRule="auto"/>
        <w:rPr>
          <w:sz w:val="20"/>
          <w:szCs w:val="20"/>
          <w:color w:val="auto"/>
        </w:rPr>
      </w:pPr>
      <w:r>
        <w:rPr>
          <w:rFonts w:ascii="Courier New" w:cs="Courier New" w:eastAsia="Courier New" w:hAnsi="Courier New"/>
          <w:sz w:val="16"/>
          <w:szCs w:val="16"/>
          <w:color w:val="auto"/>
        </w:rPr>
        <w:t>As generally known, the Year 2000 issue pertains to the inability of some computer hardware and software and other electronic devices to operate properly as January 1, 2000 approaches, and beyond. The Company has taken, and will continue to take, actions intended to minimize the impact of the Year 2000 issue, although it is impossible to eliminate these risks entirely.</w:t>
      </w:r>
    </w:p>
    <w:p>
      <w:pPr>
        <w:spacing w:after="0" w:line="78" w:lineRule="exact"/>
        <w:rPr>
          <w:sz w:val="20"/>
          <w:szCs w:val="20"/>
          <w:color w:val="auto"/>
        </w:rPr>
      </w:pPr>
    </w:p>
    <w:p>
      <w:pPr>
        <w:ind w:right="2819"/>
        <w:spacing w:after="0" w:line="293" w:lineRule="auto"/>
        <w:rPr>
          <w:sz w:val="20"/>
          <w:szCs w:val="20"/>
          <w:color w:val="auto"/>
        </w:rPr>
      </w:pPr>
      <w:r>
        <w:rPr>
          <w:rFonts w:ascii="Courier New" w:cs="Courier New" w:eastAsia="Courier New" w:hAnsi="Courier New"/>
          <w:sz w:val="16"/>
          <w:szCs w:val="16"/>
          <w:color w:val="auto"/>
        </w:rPr>
        <w:t>The Company's major information technology (IT) systems and infrastructure have been upgraded or replaced in the ordinary course of business over the last two years. Approximately $480,500 has been</w:t>
      </w:r>
    </w:p>
    <w:p>
      <w:pPr>
        <w:spacing w:after="0" w:line="23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11" w:right="1440" w:bottom="1440" w:gutter="0" w:footer="0" w:header="0"/>
        </w:sectPr>
      </w:pPr>
    </w:p>
    <w:bookmarkStart w:id="8" w:name="page9"/>
    <w:bookmarkEnd w:id="8"/>
    <w:p>
      <w:pPr>
        <w:ind w:right="3099"/>
        <w:spacing w:after="0" w:line="260" w:lineRule="auto"/>
        <w:rPr>
          <w:sz w:val="20"/>
          <w:szCs w:val="20"/>
          <w:color w:val="auto"/>
        </w:rPr>
      </w:pPr>
      <w:r>
        <w:rPr>
          <w:rFonts w:ascii="Courier New" w:cs="Courier New" w:eastAsia="Courier New" w:hAnsi="Courier New"/>
          <w:sz w:val="16"/>
          <w:szCs w:val="16"/>
          <w:color w:val="auto"/>
        </w:rPr>
        <w:t>spent through December 31, 1998 to upgrade the Company's primary IT systems, IT infrastructure and security systems, and to replace the telephone, voicemail, and timekeeping systems to Year 2000 compliant systems. The Company will continue to invest in technology to accommodate the Company's future growth, with such improvements intended to achieve Year 2000 compliance as a byproduct of the upgrades.</w:t>
      </w:r>
    </w:p>
    <w:p>
      <w:pPr>
        <w:spacing w:after="0" w:line="84"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6"/>
          <w:szCs w:val="16"/>
          <w:color w:val="auto"/>
        </w:rPr>
        <w:t>The Company is currently implementing a Year 2000 compliance testing program of its hardware, software and equipment. Testing will include, but is not limited to, corporate IT systems, IT infrastructure, security systems, telephone systems, manufacturing and laboratory equipment, and timekeeping systems. Although the Company does not expect that costs necessary to replace non-compliant systems will have a material impact on the Company's results of operations, liquidity, or financial condition, it is not possible to estimate the total expected cost associated with achieving Year 2000 issue readiness.</w:t>
      </w:r>
    </w:p>
    <w:p>
      <w:pPr>
        <w:spacing w:after="0" w:line="89" w:lineRule="exact"/>
        <w:rPr>
          <w:sz w:val="20"/>
          <w:szCs w:val="20"/>
          <w:color w:val="auto"/>
        </w:rPr>
      </w:pPr>
    </w:p>
    <w:p>
      <w:pPr>
        <w:ind w:right="2899"/>
        <w:spacing w:after="0" w:line="260" w:lineRule="auto"/>
        <w:rPr>
          <w:sz w:val="20"/>
          <w:szCs w:val="20"/>
          <w:color w:val="auto"/>
        </w:rPr>
      </w:pPr>
      <w:r>
        <w:rPr>
          <w:rFonts w:ascii="Courier New" w:cs="Courier New" w:eastAsia="Courier New" w:hAnsi="Courier New"/>
          <w:sz w:val="16"/>
          <w:szCs w:val="16"/>
          <w:color w:val="auto"/>
        </w:rPr>
        <w:t>The Company relies on computer processing for its business activities and the Year 2000 issue creates risk for the Company from unforeseen problems in the Company's systems and from third parties with whom the Company does business. The failure of the Company's systems and/or third party systems could have a material adverse effect on the Company's results of operations, liquidity, and financial condition.</w:t>
      </w:r>
    </w:p>
    <w:p>
      <w:pPr>
        <w:spacing w:after="0" w:line="84" w:lineRule="exact"/>
        <w:rPr>
          <w:sz w:val="20"/>
          <w:szCs w:val="20"/>
          <w:color w:val="auto"/>
        </w:rPr>
      </w:pPr>
    </w:p>
    <w:p>
      <w:pPr>
        <w:ind w:right="2719"/>
        <w:spacing w:after="0" w:line="252" w:lineRule="auto"/>
        <w:rPr>
          <w:sz w:val="20"/>
          <w:szCs w:val="20"/>
          <w:color w:val="auto"/>
        </w:rPr>
      </w:pPr>
      <w:r>
        <w:rPr>
          <w:rFonts w:ascii="Courier New" w:cs="Courier New" w:eastAsia="Courier New" w:hAnsi="Courier New"/>
          <w:sz w:val="16"/>
          <w:szCs w:val="16"/>
          <w:color w:val="auto"/>
        </w:rPr>
        <w:t>Year 2000 readiness of third parties with whom the Company does business, particularly suppliers of critical products and providers of utility and communication services, could impair the Company's ability to deliver products and services and could cause system failures or errors, business interruptions and, in a worst case scenario, the inability to engage in normal business practices for an unknown length of time. This worst case scenario, if it should occur, could have a material adverse effect on the Company's operations, liquidity or financial condition, particularly if the disruption continues for a significant length of time.</w:t>
      </w:r>
    </w:p>
    <w:p>
      <w:pPr>
        <w:spacing w:after="0" w:line="91" w:lineRule="exact"/>
        <w:rPr>
          <w:sz w:val="20"/>
          <w:szCs w:val="20"/>
          <w:color w:val="auto"/>
        </w:rPr>
      </w:pPr>
    </w:p>
    <w:p>
      <w:pPr>
        <w:ind w:right="2719"/>
        <w:spacing w:after="0" w:line="268" w:lineRule="auto"/>
        <w:rPr>
          <w:sz w:val="20"/>
          <w:szCs w:val="20"/>
          <w:color w:val="auto"/>
        </w:rPr>
      </w:pPr>
      <w:r>
        <w:rPr>
          <w:rFonts w:ascii="Courier New" w:cs="Courier New" w:eastAsia="Courier New" w:hAnsi="Courier New"/>
          <w:sz w:val="15"/>
          <w:szCs w:val="15"/>
          <w:color w:val="auto"/>
        </w:rPr>
        <w:t>While third party risk related to the Year 2000 issues is difficult to quantify or control, the Company is taking steps to try to minimize the potential adverse effect that could arise. The Company has sent Year 2000 surveys to its suppliers asking for the compliance status of suppliers' products and internal operations. The responses received by the Company to date indicate that most of its suppliers expect to be Year 2000 compliant in a timely manner. The Company plans to develop third party contingency plans as it identifies partners evidencing inadequate Year 2000 preparations. Contingency plans may include plans to accumulate extra inventory and/or establish alternative sources of supply and channels of distribution. However, even with diligent planning, third party providers pose an uncertain risk which cannot be entirely eliminated.</w:t>
      </w:r>
    </w:p>
    <w:p>
      <w:pPr>
        <w:spacing w:after="0" w:line="77" w:lineRule="exact"/>
        <w:rPr>
          <w:sz w:val="20"/>
          <w:szCs w:val="20"/>
          <w:color w:val="auto"/>
        </w:rPr>
      </w:pPr>
    </w:p>
    <w:p>
      <w:pPr>
        <w:ind w:right="2719"/>
        <w:spacing w:after="0" w:line="288" w:lineRule="auto"/>
        <w:rPr>
          <w:sz w:val="20"/>
          <w:szCs w:val="20"/>
          <w:color w:val="auto"/>
        </w:rPr>
      </w:pPr>
      <w:r>
        <w:rPr>
          <w:rFonts w:ascii="Courier New" w:cs="Courier New" w:eastAsia="Courier New" w:hAnsi="Courier New"/>
          <w:sz w:val="15"/>
          <w:szCs w:val="15"/>
          <w:color w:val="auto"/>
        </w:rPr>
        <w:t>Due to the general uncertainty inherent in the Year 2000 issue, resulting in part from the uncertainty of the Year 2000 issue readiness of third-party suppliers and customers, the Company is unable to determine at this time whether the consequences of Year 2000 issue failures will have a material impact on the Company's results of operations, liquidity, or financial condition.</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RISK</w:t>
      </w:r>
    </w:p>
    <w:p>
      <w:pPr>
        <w:spacing w:after="0" w:line="179" w:lineRule="exact"/>
        <w:rPr>
          <w:sz w:val="20"/>
          <w:szCs w:val="20"/>
          <w:color w:val="auto"/>
        </w:rPr>
      </w:pPr>
    </w:p>
    <w:p>
      <w:pPr>
        <w:ind w:right="2819"/>
        <w:spacing w:after="0" w:line="260" w:lineRule="auto"/>
        <w:rPr>
          <w:sz w:val="20"/>
          <w:szCs w:val="20"/>
          <w:color w:val="auto"/>
        </w:rPr>
      </w:pPr>
      <w:r>
        <w:rPr>
          <w:rFonts w:ascii="Courier New" w:cs="Courier New" w:eastAsia="Courier New" w:hAnsi="Courier New"/>
          <w:sz w:val="16"/>
          <w:szCs w:val="16"/>
          <w:color w:val="auto"/>
        </w:rPr>
        <w:t>At December 31, 1998, the Company had an investment portfolio of fixed income securities of $2,363,435, excluding $18,756,899 of those classified as cash and cash equivalents and variable rate securities. These securities, like all fixed income instruments, are subject to interest rate risk and will decline in value if market interest rates increase. However, the Company has the ability to hold its fixed</w:t>
      </w:r>
    </w:p>
    <w:p>
      <w:pPr>
        <w:spacing w:after="0" w:line="26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11" w:right="1440" w:bottom="1440" w:gutter="0" w:footer="0" w:header="0"/>
        </w:sectPr>
      </w:pPr>
    </w:p>
    <w:bookmarkStart w:id="9" w:name="page10"/>
    <w:bookmarkEnd w:id="9"/>
    <w:p>
      <w:pPr>
        <w:ind w:right="3759"/>
        <w:spacing w:after="0" w:line="348" w:lineRule="auto"/>
        <w:rPr>
          <w:sz w:val="20"/>
          <w:szCs w:val="20"/>
          <w:color w:val="auto"/>
        </w:rPr>
      </w:pPr>
      <w:r>
        <w:rPr>
          <w:rFonts w:ascii="Courier New" w:cs="Courier New" w:eastAsia="Courier New" w:hAnsi="Courier New"/>
          <w:sz w:val="16"/>
          <w:szCs w:val="16"/>
          <w:color w:val="auto"/>
        </w:rPr>
        <w:t>income investments until maturity and therefore the Company would not expect to recognize an adverse impact in income or cash flows.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RECENTLY ISSUED ACCOUNTING STANDARDS</w:t>
      </w:r>
    </w:p>
    <w:p>
      <w:pPr>
        <w:spacing w:after="0" w:line="179" w:lineRule="exact"/>
        <w:rPr>
          <w:sz w:val="20"/>
          <w:szCs w:val="20"/>
          <w:color w:val="auto"/>
        </w:rPr>
      </w:pPr>
    </w:p>
    <w:p>
      <w:pPr>
        <w:ind w:right="2719"/>
        <w:spacing w:after="0" w:line="257" w:lineRule="auto"/>
        <w:rPr>
          <w:sz w:val="20"/>
          <w:szCs w:val="20"/>
          <w:color w:val="auto"/>
        </w:rPr>
      </w:pPr>
      <w:r>
        <w:rPr>
          <w:rFonts w:ascii="Courier New" w:cs="Courier New" w:eastAsia="Courier New" w:hAnsi="Courier New"/>
          <w:sz w:val="16"/>
          <w:szCs w:val="16"/>
          <w:color w:val="auto"/>
        </w:rPr>
        <w:t>In June 1997, the Financial Accounting Standards Board (FASB) issued Statement of Financial Accounting Standards (SFAS) No. 131, "Disclosures about Segments of an Enterprise and Related Information." SFAS No. 131 redefines how operating segments are determined and requires disclosures of certain financial and descriptive information about a company's operating segments. In accordance with SFAS No. 131, the segment disclosure, if any, will be included in the Company's Form 10-K for the year ending October 3, 1999.</w:t>
      </w:r>
    </w:p>
    <w:p>
      <w:pPr>
        <w:spacing w:after="0" w:line="84" w:lineRule="exact"/>
        <w:rPr>
          <w:sz w:val="20"/>
          <w:szCs w:val="20"/>
          <w:color w:val="auto"/>
        </w:rPr>
      </w:pPr>
    </w:p>
    <w:p>
      <w:pPr>
        <w:ind w:right="2719"/>
        <w:spacing w:after="0" w:line="252" w:lineRule="auto"/>
        <w:rPr>
          <w:sz w:val="20"/>
          <w:szCs w:val="20"/>
          <w:color w:val="auto"/>
        </w:rPr>
      </w:pPr>
      <w:r>
        <w:rPr>
          <w:rFonts w:ascii="Courier New" w:cs="Courier New" w:eastAsia="Courier New" w:hAnsi="Courier New"/>
          <w:sz w:val="16"/>
          <w:szCs w:val="16"/>
          <w:color w:val="auto"/>
        </w:rPr>
        <w:t>In June 1998, the FASB issued SFAS No. 133, "Accounting for Derivative Instruments and Hedging Activities." SFAS No. 133 requires companies to record derivatives on the balance sheet as assets and liabilities, measured at fair value. Gains or losses resulting from changes in the values of those derivatives would be accounted for depending on the use of the derivative and whether it qualifies for hedge accounting. SFAS No. 133 is effective for fiscal years beginning after June 15, 1999, with earlier adoption encouraged. Management has not yet determined the effects SFAS No. 133 will have on its financial position or the results of its operations.</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79" w:lineRule="exact"/>
        <w:rPr>
          <w:sz w:val="20"/>
          <w:szCs w:val="20"/>
          <w:color w:val="auto"/>
        </w:rPr>
      </w:pPr>
    </w:p>
    <w:p>
      <w:pPr>
        <w:ind w:right="2819"/>
        <w:spacing w:after="0" w:line="265" w:lineRule="auto"/>
        <w:rPr>
          <w:sz w:val="20"/>
          <w:szCs w:val="20"/>
          <w:color w:val="auto"/>
        </w:rPr>
      </w:pPr>
      <w:r>
        <w:rPr>
          <w:rFonts w:ascii="Courier New" w:cs="Courier New" w:eastAsia="Courier New" w:hAnsi="Courier New"/>
          <w:sz w:val="15"/>
          <w:szCs w:val="15"/>
          <w:color w:val="auto"/>
        </w:rPr>
        <w:t>THE INFORMATION CONTAINED IN THIS FORM 10-Q INCLUDES FORWARD-LOOKING STATEMENTS AS DEFINED IN SECTION 21E OF THE SECURITIES EXCHANGE ACT OF 1934, AS AMENDED. THESE FORWARD-LOOKING STATEMENTS INVOLVE A NUMBER OF RISKS AND UNCERTAINTIES, INCLUDING DEMAND FROM MAJOR CUSTOMERS, COMPETITION, CHANGES IN PRODUCT OR CUSTOMER MIX OR REVENUES, CHANGES IN PRODUCT COSTS AND OPERATING EXPENSES AND OTHER FACTORS DISCLOSED THROUGHOUT THIS REPORT. THE 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AND RESULTS OF OPERATION.</w:t>
      </w:r>
    </w:p>
    <w:p>
      <w:pPr>
        <w:spacing w:after="0" w:line="25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11" w:right="1440" w:bottom="1440" w:gutter="0" w:footer="0" w:header="0"/>
        </w:sectPr>
      </w:pPr>
    </w:p>
    <w:bookmarkStart w:id="10" w:name="page11"/>
    <w:bookmarkEnd w:id="10"/>
    <w:p>
      <w:pPr>
        <w:ind w:left="2520"/>
        <w:spacing w:after="0"/>
        <w:rPr>
          <w:sz w:val="20"/>
          <w:szCs w:val="20"/>
          <w:color w:val="auto"/>
        </w:rPr>
      </w:pPr>
      <w:r>
        <w:rPr>
          <w:rFonts w:ascii="Courier New" w:cs="Courier New" w:eastAsia="Courier New" w:hAnsi="Courier New"/>
          <w:sz w:val="16"/>
          <w:szCs w:val="16"/>
          <w:color w:val="auto"/>
        </w:rPr>
        <w:t>PART II. OTHER INFORMATION</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79" w:lineRule="exact"/>
        <w:rPr>
          <w:sz w:val="20"/>
          <w:szCs w:val="20"/>
          <w:color w:val="auto"/>
        </w:rPr>
      </w:pPr>
    </w:p>
    <w:p>
      <w:pPr>
        <w:ind w:right="2899"/>
        <w:spacing w:after="0" w:line="275" w:lineRule="auto"/>
        <w:rPr>
          <w:sz w:val="20"/>
          <w:szCs w:val="20"/>
          <w:color w:val="auto"/>
        </w:rPr>
      </w:pPr>
      <w:r>
        <w:rPr>
          <w:rFonts w:ascii="Courier New" w:cs="Courier New" w:eastAsia="Courier New" w:hAnsi="Courier New"/>
          <w:sz w:val="16"/>
          <w:szCs w:val="16"/>
          <w:color w:val="auto"/>
        </w:rPr>
        <w:t>As of the date of this filing, the Registrant was not involved in any pending legal proceedings to which the Registrant was a party or of which any property of the Registrant was the subject other than ordinary routine litigation incidental to their business, except as follows:</w:t>
      </w:r>
    </w:p>
    <w:p>
      <w:pPr>
        <w:spacing w:after="0" w:line="71" w:lineRule="exact"/>
        <w:rPr>
          <w:sz w:val="20"/>
          <w:szCs w:val="20"/>
          <w:color w:val="auto"/>
        </w:rPr>
      </w:pPr>
    </w:p>
    <w:p>
      <w:pPr>
        <w:ind w:left="460" w:right="2719"/>
        <w:spacing w:after="0" w:line="265" w:lineRule="auto"/>
        <w:rPr>
          <w:sz w:val="20"/>
          <w:szCs w:val="20"/>
          <w:color w:val="auto"/>
        </w:rPr>
      </w:pPr>
      <w:r>
        <w:rPr>
          <w:rFonts w:ascii="Courier New" w:cs="Courier New" w:eastAsia="Courier New" w:hAnsi="Courier New"/>
          <w:sz w:val="15"/>
          <w:szCs w:val="15"/>
          <w:color w:val="auto"/>
        </w:rPr>
        <w:t>LYNDE COMPANY WAREHOUSE FIRE. On March 1, 1995, the Company and its former subsidiary, The Lynde Company, were named as defendants in an action entitled DONNA M. COOKSEY, ET AL. V. HAWKINS CHEMICAL, INC. AND THE LYNDE COMPANY ("COOKSEY"). This action was certified as a partial class action in state district court in Hennepin County, Minnesota. The plaintiffs sought damages for personal injury and other damages alleged to have been caused by the alleged release of hazardous substances as a result of a fire at an office/warehouse facility used by The Lynde Company. The Registrant entered into a class settlement agreement with the class, pursuant to which the Registrant agreed to pay certain of the class' costs and expenses, as well as certain compensation to the class pursuant to a Matrix and Plan of Distribution which form a part of the settlement agreement (the "Settlement Agreement"). The district court gave final approval of the settlement.</w:t>
      </w:r>
    </w:p>
    <w:p>
      <w:pPr>
        <w:spacing w:after="0" w:line="86" w:lineRule="exact"/>
        <w:rPr>
          <w:sz w:val="20"/>
          <w:szCs w:val="20"/>
          <w:color w:val="auto"/>
        </w:rPr>
      </w:pPr>
    </w:p>
    <w:p>
      <w:pPr>
        <w:ind w:left="460" w:right="2819"/>
        <w:spacing w:after="0" w:line="263" w:lineRule="auto"/>
        <w:rPr>
          <w:sz w:val="20"/>
          <w:szCs w:val="20"/>
          <w:color w:val="auto"/>
        </w:rPr>
      </w:pPr>
      <w:r>
        <w:rPr>
          <w:rFonts w:ascii="Courier New" w:cs="Courier New" w:eastAsia="Courier New" w:hAnsi="Courier New"/>
          <w:sz w:val="15"/>
          <w:szCs w:val="15"/>
          <w:color w:val="auto"/>
        </w:rPr>
        <w:t>The Registrant's primary and umbrella insurers had denied a tender of the defense of the lawsuit and had denied any obligation to indemnify the Registrant for damages claimed by third parties in connection with the fire. On July 7, 1995, the Registrant commenced suits against The North River Insurance Company and the Westchester Fire Insurance Company, the primary and umbrella insurers, respectively, in the United States District Court for the District of Minnesota. On October 6, 1996, the Court entered an Order for Judgment against the two insurers declaring that they each owed the Registrant a duty to defend the Cooksey action, that the insurers had breached their duty to defend and that the Registrant was entitled to judgment against North River in the amount of $890,174 and against Westchester in the amount of $90,868 for fees and expenses incurred by the Registrant through October of 1996 in defending against the Cooksey action and in prosecuting the action against the two insurers. The two insurers appealed the judgments to the Eighth Circuit Court of Appeals, which affirmed the lower court judgments.</w:t>
      </w:r>
    </w:p>
    <w:p>
      <w:pPr>
        <w:spacing w:after="0" w:line="87" w:lineRule="exact"/>
        <w:rPr>
          <w:sz w:val="20"/>
          <w:szCs w:val="20"/>
          <w:color w:val="auto"/>
        </w:rPr>
      </w:pPr>
    </w:p>
    <w:p>
      <w:pPr>
        <w:ind w:left="460" w:right="2719"/>
        <w:spacing w:after="0" w:line="257" w:lineRule="auto"/>
        <w:rPr>
          <w:sz w:val="20"/>
          <w:szCs w:val="20"/>
          <w:color w:val="auto"/>
        </w:rPr>
      </w:pPr>
      <w:r>
        <w:rPr>
          <w:rFonts w:ascii="Courier New" w:cs="Courier New" w:eastAsia="Courier New" w:hAnsi="Courier New"/>
          <w:sz w:val="16"/>
          <w:szCs w:val="16"/>
          <w:color w:val="auto"/>
        </w:rPr>
        <w:t>During fiscal 1995, the Registrant recorded $750,000 to cover expected legal and settlement costs for this litigation and an additional $1,771,439 in fiscal 1997. Since the beginning of fiscal 1999, the Registrant has been reimbursed for substantially all of its settlement and litigation expenses. Hawkins' umbrella insurer has agreed to defend and indemnify Hawkins on remaining claims under the Settlement Agreement up to and in accordance with its policy limits of $5,000,000.</w:t>
      </w:r>
    </w:p>
    <w:p>
      <w:pPr>
        <w:spacing w:after="0" w:line="26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11" w:right="1440" w:bottom="1440" w:gutter="0" w:footer="0" w:header="0"/>
        </w:sectPr>
      </w:pPr>
    </w:p>
    <w:bookmarkStart w:id="11" w:name="page12"/>
    <w:bookmarkEnd w:id="11"/>
    <w:p>
      <w:pPr>
        <w:ind w:left="4"/>
        <w:spacing w:after="0"/>
        <w:tabs>
          <w:tab w:leader="none" w:pos="823"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79" w:lineRule="exact"/>
        <w:rPr>
          <w:sz w:val="20"/>
          <w:szCs w:val="20"/>
          <w:color w:val="auto"/>
        </w:rPr>
      </w:pPr>
    </w:p>
    <w:p>
      <w:pPr>
        <w:ind w:left="464" w:hanging="464"/>
        <w:spacing w:after="0"/>
        <w:tabs>
          <w:tab w:leader="none" w:pos="4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79" w:lineRule="exact"/>
        <w:rPr>
          <w:rFonts w:ascii="Courier New" w:cs="Courier New" w:eastAsia="Courier New" w:hAnsi="Courier New"/>
          <w:sz w:val="16"/>
          <w:szCs w:val="16"/>
          <w:color w:val="auto"/>
        </w:rPr>
      </w:pPr>
    </w:p>
    <w:p>
      <w:pPr>
        <w:ind w:left="464" w:right="2719"/>
        <w:spacing w:after="0" w:line="38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following exhibits are included with this Quarterly Report on Form 10-Q (or incorporated by reference) as required by Item 601 of Regulation S-K.</w:t>
      </w:r>
    </w:p>
    <w:p>
      <w:pPr>
        <w:sectPr>
          <w:pgSz w:w="11900" w:h="16838" w:orient="portrait"/>
          <w:cols w:equalWidth="0" w:num="1">
            <w:col w:w="10223"/>
          </w:cols>
          <w:pgMar w:left="236" w:top="811" w:right="1440" w:bottom="1440" w:gutter="0" w:footer="0" w:header="0"/>
        </w:sectPr>
      </w:pPr>
    </w:p>
    <w:p>
      <w:pPr>
        <w:spacing w:after="0" w:line="354" w:lineRule="exact"/>
        <w:rPr>
          <w:sz w:val="20"/>
          <w:szCs w:val="20"/>
          <w:color w:val="auto"/>
        </w:rPr>
      </w:pPr>
    </w:p>
    <w:p>
      <w:pPr>
        <w:ind w:left="1124"/>
        <w:spacing w:after="0"/>
        <w:rPr>
          <w:sz w:val="20"/>
          <w:szCs w:val="20"/>
          <w:color w:val="auto"/>
        </w:rPr>
      </w:pPr>
      <w:r>
        <w:rPr>
          <w:rFonts w:ascii="Courier New" w:cs="Courier New" w:eastAsia="Courier New" w:hAnsi="Courier New"/>
          <w:sz w:val="16"/>
          <w:szCs w:val="16"/>
          <w:color w:val="auto"/>
        </w:rPr>
        <w:t>Exhibit No.</w:t>
      </w:r>
    </w:p>
    <w:p>
      <w:pPr>
        <w:spacing w:after="0" w:line="27" w:lineRule="exact"/>
        <w:rPr>
          <w:sz w:val="20"/>
          <w:szCs w:val="20"/>
          <w:color w:val="auto"/>
        </w:rPr>
      </w:pPr>
    </w:p>
    <w:p>
      <w:pPr>
        <w:ind w:left="944"/>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right="2819"/>
        <w:spacing w:after="0" w:line="348" w:lineRule="auto"/>
        <w:rPr>
          <w:sz w:val="20"/>
          <w:szCs w:val="20"/>
          <w:color w:val="auto"/>
        </w:rPr>
      </w:pPr>
      <w:r>
        <w:rPr>
          <w:rFonts w:ascii="Courier New" w:cs="Courier New" w:eastAsia="Courier New" w:hAnsi="Courier New"/>
          <w:sz w:val="16"/>
          <w:szCs w:val="16"/>
          <w:color w:val="auto"/>
        </w:rPr>
        <w:t>Description of Exhibit ------------------------------------------</w:t>
      </w:r>
    </w:p>
    <w:p>
      <w:pPr>
        <w:spacing w:after="0" w:line="15" w:lineRule="exact"/>
        <w:rPr>
          <w:sz w:val="20"/>
          <w:szCs w:val="20"/>
          <w:color w:val="auto"/>
        </w:rPr>
      </w:pPr>
    </w:p>
    <w:p>
      <w:pPr>
        <w:sectPr>
          <w:pgSz w:w="11900" w:h="16838" w:orient="portrait"/>
          <w:cols w:equalWidth="0" w:num="2">
            <w:col w:w="2744" w:space="720"/>
            <w:col w:w="6759"/>
          </w:cols>
          <w:pgMar w:left="236" w:top="811" w:right="1440" w:bottom="1440" w:gutter="0" w:footer="0" w:header="0"/>
          <w:type w:val="continuous"/>
        </w:sectPr>
      </w:pPr>
    </w:p>
    <w:p>
      <w:pPr>
        <w:jc w:val="center"/>
        <w:ind w:left="644"/>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Financial Data Schedule</w:t>
      </w:r>
    </w:p>
    <w:p>
      <w:pPr>
        <w:spacing w:after="0" w:line="200" w:lineRule="exact"/>
        <w:rPr>
          <w:sz w:val="20"/>
          <w:szCs w:val="20"/>
          <w:color w:val="auto"/>
        </w:rPr>
      </w:pPr>
    </w:p>
    <w:p>
      <w:pPr>
        <w:sectPr>
          <w:pgSz w:w="11900" w:h="16838" w:orient="portrait"/>
          <w:cols w:equalWidth="0" w:num="2">
            <w:col w:w="2744" w:space="720"/>
            <w:col w:w="6759"/>
          </w:cols>
          <w:pgMar w:left="236" w:top="811" w:right="1440" w:bottom="1440" w:gutter="0" w:footer="0" w:header="0"/>
          <w:type w:val="continuous"/>
        </w:sectPr>
      </w:pPr>
    </w:p>
    <w:p>
      <w:pPr>
        <w:spacing w:after="0" w:line="17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 Reports on Form 8-K.</w:t>
      </w:r>
    </w:p>
    <w:p>
      <w:pPr>
        <w:spacing w:after="0" w:line="179" w:lineRule="exact"/>
        <w:rPr>
          <w:sz w:val="20"/>
          <w:szCs w:val="20"/>
          <w:color w:val="auto"/>
        </w:rPr>
      </w:pPr>
    </w:p>
    <w:p>
      <w:pPr>
        <w:ind w:left="4" w:right="3179" w:firstLine="469"/>
        <w:spacing w:after="0" w:line="348" w:lineRule="auto"/>
        <w:rPr>
          <w:sz w:val="20"/>
          <w:szCs w:val="20"/>
          <w:color w:val="auto"/>
        </w:rPr>
      </w:pPr>
      <w:r>
        <w:rPr>
          <w:rFonts w:ascii="Courier New" w:cs="Courier New" w:eastAsia="Courier New" w:hAnsi="Courier New"/>
          <w:sz w:val="16"/>
          <w:szCs w:val="16"/>
          <w:color w:val="auto"/>
        </w:rPr>
        <w:t>No reports on Form 8-K have been filed during the fiscal quarter ended December 31, 1998.</w:t>
      </w:r>
    </w:p>
    <w:p>
      <w:pPr>
        <w:spacing w:after="0" w:line="15"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SIGNATURE</w:t>
      </w:r>
    </w:p>
    <w:p>
      <w:pPr>
        <w:spacing w:after="0" w:line="179" w:lineRule="exact"/>
        <w:rPr>
          <w:sz w:val="20"/>
          <w:szCs w:val="20"/>
          <w:color w:val="auto"/>
        </w:rPr>
      </w:pPr>
    </w:p>
    <w:p>
      <w:pPr>
        <w:jc w:val="both"/>
        <w:ind w:left="4" w:right="3479"/>
        <w:spacing w:after="0" w:line="29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58" w:lineRule="exact"/>
        <w:rPr>
          <w:sz w:val="20"/>
          <w:szCs w:val="20"/>
          <w:color w:val="auto"/>
        </w:rPr>
      </w:pPr>
    </w:p>
    <w:p>
      <w:pPr>
        <w:ind w:left="3844"/>
        <w:spacing w:after="0"/>
        <w:rPr>
          <w:sz w:val="20"/>
          <w:szCs w:val="20"/>
          <w:color w:val="auto"/>
        </w:rPr>
      </w:pPr>
      <w:r>
        <w:rPr>
          <w:rFonts w:ascii="Courier New" w:cs="Courier New" w:eastAsia="Courier New" w:hAnsi="Courier New"/>
          <w:sz w:val="16"/>
          <w:szCs w:val="16"/>
          <w:color w:val="auto"/>
        </w:rPr>
        <w:t>HAWKINS CHEMICAL, INC.</w:t>
      </w:r>
    </w:p>
    <w:p>
      <w:pPr>
        <w:spacing w:after="0" w:line="179" w:lineRule="exact"/>
        <w:rPr>
          <w:sz w:val="20"/>
          <w:szCs w:val="20"/>
          <w:color w:val="auto"/>
        </w:rPr>
      </w:pPr>
    </w:p>
    <w:p>
      <w:pPr>
        <w:ind w:left="3384"/>
        <w:spacing w:after="0"/>
        <w:tabs>
          <w:tab w:leader="none" w:pos="4103" w:val="left"/>
        </w:tabs>
        <w:rPr>
          <w:sz w:val="20"/>
          <w:szCs w:val="20"/>
          <w:color w:val="auto"/>
        </w:rPr>
      </w:pPr>
      <w:r>
        <w:rPr>
          <w:rFonts w:ascii="Courier New" w:cs="Courier New" w:eastAsia="Courier New" w:hAnsi="Courier New"/>
          <w:sz w:val="16"/>
          <w:szCs w:val="16"/>
          <w:color w:val="auto"/>
        </w:rPr>
        <w:t>BY /s/</w:t>
      </w:r>
      <w:r>
        <w:rPr>
          <w:sz w:val="20"/>
          <w:szCs w:val="20"/>
          <w:color w:val="auto"/>
        </w:rPr>
        <w:tab/>
      </w:r>
      <w:r>
        <w:rPr>
          <w:rFonts w:ascii="Courier New" w:cs="Courier New" w:eastAsia="Courier New" w:hAnsi="Courier New"/>
          <w:sz w:val="15"/>
          <w:szCs w:val="15"/>
          <w:color w:val="auto"/>
        </w:rPr>
        <w:t>Howard M. Hawkins</w:t>
      </w:r>
    </w:p>
    <w:p>
      <w:pPr>
        <w:spacing w:after="0" w:line="27"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Howard M. Hawkins, Treasurer</w:t>
      </w:r>
    </w:p>
    <w:p>
      <w:pPr>
        <w:ind w:left="3664"/>
        <w:spacing w:after="0"/>
        <w:rPr>
          <w:sz w:val="20"/>
          <w:szCs w:val="20"/>
          <w:color w:val="auto"/>
        </w:rPr>
      </w:pPr>
      <w:r>
        <w:rPr>
          <w:rFonts w:ascii="Courier New" w:cs="Courier New" w:eastAsia="Courier New" w:hAnsi="Courier New"/>
          <w:sz w:val="15"/>
          <w:szCs w:val="15"/>
          <w:color w:val="auto"/>
        </w:rPr>
        <w:t>(Chief Financial and Accounting Officer)</w:t>
      </w:r>
    </w:p>
    <w:p>
      <w:pPr>
        <w:spacing w:after="0" w:line="163" w:lineRule="exact"/>
        <w:rPr>
          <w:sz w:val="20"/>
          <w:szCs w:val="20"/>
          <w:color w:val="auto"/>
        </w:rPr>
      </w:pPr>
    </w:p>
    <w:p>
      <w:pPr>
        <w:ind w:left="4"/>
        <w:spacing w:after="0"/>
        <w:tabs>
          <w:tab w:leader="none" w:pos="723" w:val="left"/>
        </w:tabs>
        <w:rPr>
          <w:sz w:val="20"/>
          <w:szCs w:val="20"/>
          <w:color w:val="auto"/>
        </w:rPr>
      </w:pPr>
      <w:r>
        <w:rPr>
          <w:rFonts w:ascii="Courier New" w:cs="Courier New" w:eastAsia="Courier New" w:hAnsi="Courier New"/>
          <w:sz w:val="16"/>
          <w:szCs w:val="16"/>
          <w:color w:val="auto"/>
        </w:rPr>
        <w:t>Dated:</w:t>
        <w:tab/>
        <w:t>February 12, 1999</w:t>
      </w:r>
    </w:p>
    <w:p>
      <w:pPr>
        <w:spacing w:after="0" w:line="36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3"/>
          </w:cols>
          <w:pgMar w:left="236" w:top="811" w:right="1440" w:bottom="1440" w:gutter="0" w:footer="0" w:header="0"/>
          <w:type w:val="continuous"/>
        </w:sectPr>
      </w:pPr>
    </w:p>
    <w:bookmarkStart w:id="12" w:name="page13"/>
    <w:bookmarkEnd w:id="12"/>
    <w:p>
      <w:pPr>
        <w:jc w:val="center"/>
        <w:ind w:right="2819"/>
        <w:spacing w:after="0"/>
        <w:rPr>
          <w:sz w:val="20"/>
          <w:szCs w:val="20"/>
          <w:color w:val="auto"/>
        </w:rPr>
      </w:pPr>
      <w:r>
        <w:rPr>
          <w:rFonts w:ascii="Courier New" w:cs="Courier New" w:eastAsia="Courier New" w:hAnsi="Courier New"/>
          <w:sz w:val="16"/>
          <w:szCs w:val="16"/>
          <w:color w:val="auto"/>
        </w:rPr>
        <w:t>EXHIBIT INDEX</w:t>
      </w:r>
    </w:p>
    <w:p>
      <w:pPr>
        <w:spacing w:after="0" w:line="179" w:lineRule="exact"/>
        <w:rPr>
          <w:sz w:val="20"/>
          <w:szCs w:val="20"/>
          <w:color w:val="auto"/>
        </w:rPr>
      </w:pPr>
    </w:p>
    <w:p>
      <w:pPr>
        <w:ind w:right="2819"/>
        <w:spacing w:after="0" w:line="348" w:lineRule="auto"/>
        <w:rPr>
          <w:sz w:val="20"/>
          <w:szCs w:val="20"/>
          <w:color w:val="auto"/>
        </w:rPr>
      </w:pPr>
      <w:r>
        <w:rPr>
          <w:rFonts w:ascii="Courier New" w:cs="Courier New" w:eastAsia="Courier New" w:hAnsi="Courier New"/>
          <w:sz w:val="16"/>
          <w:szCs w:val="16"/>
          <w:color w:val="auto"/>
        </w:rPr>
        <w:t>The following exhibits are included with this Quarterly Report on Form 10-Q (or incorporated by reference) as required by Item 601 of Regulation S-K.</w:t>
      </w:r>
    </w:p>
    <w:p>
      <w:pPr>
        <w:sectPr>
          <w:pgSz w:w="11900" w:h="16838" w:orient="portrait"/>
          <w:cols w:equalWidth="0" w:num="1">
            <w:col w:w="10219"/>
          </w:cols>
          <w:pgMar w:left="240" w:top="811" w:right="1440" w:bottom="1440" w:gutter="0" w:footer="0" w:header="0"/>
        </w:sectPr>
      </w:pPr>
    </w:p>
    <w:p>
      <w:pPr>
        <w:spacing w:after="0" w:line="376" w:lineRule="exact"/>
        <w:rPr>
          <w:sz w:val="20"/>
          <w:szCs w:val="20"/>
          <w:color w:val="auto"/>
        </w:rPr>
      </w:pPr>
    </w:p>
    <w:p>
      <w:pPr>
        <w:ind w:left="940" w:firstLine="188"/>
        <w:spacing w:after="0" w:line="348" w:lineRule="auto"/>
        <w:rPr>
          <w:sz w:val="20"/>
          <w:szCs w:val="20"/>
          <w:color w:val="auto"/>
        </w:rPr>
      </w:pPr>
      <w:r>
        <w:rPr>
          <w:rFonts w:ascii="Courier New" w:cs="Courier New" w:eastAsia="Courier New" w:hAnsi="Courier New"/>
          <w:sz w:val="16"/>
          <w:szCs w:val="16"/>
          <w:color w:val="auto"/>
        </w:rPr>
        <w:t>Exhibit No. -----------------</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Description of Exhibit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Page No.</w:t>
      </w:r>
    </w:p>
    <w:p>
      <w:pPr>
        <w:spacing w:after="0" w:line="2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t>
      </w:r>
    </w:p>
    <w:p>
      <w:pPr>
        <w:spacing w:after="0" w:line="162" w:lineRule="exact"/>
        <w:rPr>
          <w:sz w:val="20"/>
          <w:szCs w:val="20"/>
          <w:color w:val="auto"/>
        </w:rPr>
      </w:pPr>
    </w:p>
    <w:p>
      <w:pPr>
        <w:sectPr>
          <w:pgSz w:w="11900" w:h="16838" w:orient="portrait"/>
          <w:cols w:equalWidth="0" w:num="3">
            <w:col w:w="2520" w:space="380"/>
            <w:col w:w="3000" w:space="280"/>
            <w:col w:w="4039"/>
          </w:cols>
          <w:pgMar w:left="240" w:top="811" w:right="1440" w:bottom="1440" w:gutter="0" w:footer="0" w:header="0"/>
          <w:type w:val="continuous"/>
        </w:sectPr>
      </w:pPr>
    </w:p>
    <w:p>
      <w:pPr>
        <w:ind w:left="160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ectPr>
          <w:pgSz w:w="11900" w:h="16838" w:orient="portrait"/>
          <w:cols w:equalWidth="0" w:num="3">
            <w:col w:w="2180" w:space="720"/>
            <w:col w:w="2840" w:space="720"/>
            <w:col w:w="3759"/>
          </w:cols>
          <w:pgMar w:left="240" w:top="81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811" w:right="1440" w:bottom="1440" w:gutter="0" w:footer="0" w:header="0"/>
          <w:type w:val="continuous"/>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5</w:t>
      </w:r>
    </w:p>
    <w:p>
      <w:pPr>
        <w:spacing w:after="0" w:line="360"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3-MOS</w:t>
      </w:r>
    </w:p>
    <w:p>
      <w:pPr>
        <w:spacing w:after="0" w:line="26"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OCT-03-1999</w:t>
      </w:r>
    </w:p>
    <w:p>
      <w:pPr>
        <w:ind w:left="2620"/>
        <w:spacing w:after="0"/>
        <w:rPr>
          <w:sz w:val="20"/>
          <w:szCs w:val="20"/>
          <w:color w:val="auto"/>
        </w:rPr>
      </w:pPr>
      <w:r>
        <w:rPr>
          <w:rFonts w:ascii="Courier New" w:cs="Courier New" w:eastAsia="Courier New" w:hAnsi="Courier New"/>
          <w:sz w:val="16"/>
          <w:szCs w:val="16"/>
          <w:color w:val="auto"/>
        </w:rPr>
        <w:t>SEP-28-1998</w:t>
      </w:r>
    </w:p>
    <w:p>
      <w:pPr>
        <w:ind w:left="2800"/>
        <w:spacing w:after="0"/>
        <w:rPr>
          <w:sz w:val="20"/>
          <w:szCs w:val="20"/>
          <w:color w:val="auto"/>
        </w:rPr>
      </w:pPr>
      <w:r>
        <w:rPr>
          <w:rFonts w:ascii="Courier New" w:cs="Courier New" w:eastAsia="Courier New" w:hAnsi="Courier New"/>
          <w:sz w:val="16"/>
          <w:szCs w:val="16"/>
          <w:color w:val="auto"/>
        </w:rPr>
        <w:t>DEC-31-1998</w:t>
      </w:r>
    </w:p>
    <w:p>
      <w:pPr>
        <w:ind w:left="3560"/>
        <w:spacing w:after="0"/>
        <w:rPr>
          <w:sz w:val="20"/>
          <w:szCs w:val="20"/>
          <w:color w:val="auto"/>
        </w:rPr>
      </w:pPr>
      <w:r>
        <w:rPr>
          <w:rFonts w:ascii="Courier New" w:cs="Courier New" w:eastAsia="Courier New" w:hAnsi="Courier New"/>
          <w:sz w:val="16"/>
          <w:szCs w:val="16"/>
          <w:color w:val="auto"/>
        </w:rPr>
        <w:t>1,531,790</w:t>
      </w:r>
    </w:p>
    <w:p>
      <w:pPr>
        <w:ind w:left="2900"/>
        <w:spacing w:after="0"/>
        <w:rPr>
          <w:sz w:val="20"/>
          <w:szCs w:val="20"/>
          <w:color w:val="auto"/>
        </w:rPr>
      </w:pPr>
      <w:r>
        <w:rPr>
          <w:rFonts w:ascii="Courier New" w:cs="Courier New" w:eastAsia="Courier New" w:hAnsi="Courier New"/>
          <w:sz w:val="16"/>
          <w:szCs w:val="16"/>
          <w:color w:val="auto"/>
        </w:rPr>
        <w:t>17,714,489</w:t>
      </w:r>
    </w:p>
    <w:p>
      <w:pPr>
        <w:ind w:left="2800"/>
        <w:spacing w:after="0"/>
        <w:rPr>
          <w:sz w:val="20"/>
          <w:szCs w:val="20"/>
          <w:color w:val="auto"/>
        </w:rPr>
      </w:pPr>
      <w:r>
        <w:rPr>
          <w:rFonts w:ascii="Courier New" w:cs="Courier New" w:eastAsia="Courier New" w:hAnsi="Courier New"/>
          <w:sz w:val="16"/>
          <w:szCs w:val="16"/>
          <w:color w:val="auto"/>
        </w:rPr>
        <w:t>10,230,616</w:t>
      </w:r>
    </w:p>
    <w:p>
      <w:pPr>
        <w:ind w:left="3180"/>
        <w:spacing w:after="0"/>
        <w:rPr>
          <w:sz w:val="20"/>
          <w:szCs w:val="20"/>
          <w:color w:val="auto"/>
        </w:rPr>
      </w:pPr>
      <w:r>
        <w:rPr>
          <w:rFonts w:ascii="Courier New" w:cs="Courier New" w:eastAsia="Courier New" w:hAnsi="Courier New"/>
          <w:sz w:val="16"/>
          <w:szCs w:val="16"/>
          <w:color w:val="auto"/>
        </w:rPr>
        <w:t>376,743</w:t>
      </w:r>
    </w:p>
    <w:p>
      <w:pPr>
        <w:ind w:left="3080"/>
        <w:spacing w:after="0"/>
        <w:rPr>
          <w:sz w:val="20"/>
          <w:szCs w:val="20"/>
          <w:color w:val="auto"/>
        </w:rPr>
      </w:pPr>
      <w:r>
        <w:rPr>
          <w:rFonts w:ascii="Courier New" w:cs="Courier New" w:eastAsia="Courier New" w:hAnsi="Courier New"/>
          <w:sz w:val="16"/>
          <w:szCs w:val="16"/>
          <w:color w:val="auto"/>
        </w:rPr>
        <w:t>9,288,062</w:t>
      </w:r>
    </w:p>
    <w:p>
      <w:pPr>
        <w:ind w:left="2520"/>
        <w:spacing w:after="0"/>
        <w:rPr>
          <w:sz w:val="20"/>
          <w:szCs w:val="20"/>
          <w:color w:val="auto"/>
        </w:rPr>
      </w:pPr>
      <w:r>
        <w:rPr>
          <w:rFonts w:ascii="Courier New" w:cs="Courier New" w:eastAsia="Courier New" w:hAnsi="Courier New"/>
          <w:sz w:val="16"/>
          <w:szCs w:val="16"/>
          <w:color w:val="auto"/>
        </w:rPr>
        <w:t>40,306,386</w:t>
      </w:r>
    </w:p>
    <w:p>
      <w:pPr>
        <w:ind w:left="3460"/>
        <w:spacing w:after="0"/>
        <w:rPr>
          <w:sz w:val="20"/>
          <w:szCs w:val="20"/>
          <w:color w:val="auto"/>
        </w:rPr>
      </w:pPr>
      <w:r>
        <w:rPr>
          <w:rFonts w:ascii="Courier New" w:cs="Courier New" w:eastAsia="Courier New" w:hAnsi="Courier New"/>
          <w:sz w:val="16"/>
          <w:szCs w:val="16"/>
          <w:color w:val="auto"/>
        </w:rPr>
        <w:t>33,173,779</w:t>
      </w:r>
    </w:p>
    <w:p>
      <w:pPr>
        <w:ind w:left="2720"/>
        <w:spacing w:after="0"/>
        <w:rPr>
          <w:sz w:val="20"/>
          <w:szCs w:val="20"/>
          <w:color w:val="auto"/>
        </w:rPr>
      </w:pPr>
      <w:r>
        <w:rPr>
          <w:rFonts w:ascii="Courier New" w:cs="Courier New" w:eastAsia="Courier New" w:hAnsi="Courier New"/>
          <w:sz w:val="16"/>
          <w:szCs w:val="16"/>
          <w:color w:val="auto"/>
        </w:rPr>
        <w:t>14,486,563</w:t>
      </w:r>
    </w:p>
    <w:p>
      <w:pPr>
        <w:ind w:left="2720"/>
        <w:spacing w:after="0"/>
        <w:rPr>
          <w:sz w:val="20"/>
          <w:szCs w:val="20"/>
          <w:color w:val="auto"/>
        </w:rPr>
      </w:pPr>
      <w:r>
        <w:rPr>
          <w:rFonts w:ascii="Courier New" w:cs="Courier New" w:eastAsia="Courier New" w:hAnsi="Courier New"/>
          <w:sz w:val="16"/>
          <w:szCs w:val="16"/>
          <w:color w:val="auto"/>
        </w:rPr>
        <w:t>64,927,103</w:t>
      </w:r>
    </w:p>
    <w:p>
      <w:pPr>
        <w:ind w:left="2140"/>
        <w:spacing w:after="0"/>
        <w:rPr>
          <w:sz w:val="20"/>
          <w:szCs w:val="20"/>
          <w:color w:val="auto"/>
        </w:rPr>
      </w:pPr>
      <w:r>
        <w:rPr>
          <w:rFonts w:ascii="Courier New" w:cs="Courier New" w:eastAsia="Courier New" w:hAnsi="Courier New"/>
          <w:sz w:val="16"/>
          <w:szCs w:val="16"/>
          <w:color w:val="auto"/>
        </w:rPr>
        <w:t>7,975,352</w:t>
      </w:r>
    </w:p>
    <w:p>
      <w:pPr>
        <w:ind w:left="3640"/>
        <w:spacing w:after="0"/>
        <w:rPr>
          <w:sz w:val="20"/>
          <w:szCs w:val="20"/>
          <w:color w:val="auto"/>
        </w:rPr>
      </w:pPr>
      <w:r>
        <w:rPr>
          <w:rFonts w:ascii="Courier New" w:cs="Courier New" w:eastAsia="Courier New" w:hAnsi="Courier New"/>
          <w:sz w:val="16"/>
          <w:szCs w:val="16"/>
          <w:color w:val="auto"/>
        </w:rPr>
        <w:t>328,040</w:t>
      </w:r>
    </w:p>
    <w:p>
      <w:pPr>
        <w:ind w:left="2900"/>
        <w:spacing w:after="0"/>
        <w:rPr>
          <w:sz w:val="20"/>
          <w:szCs w:val="20"/>
          <w:color w:val="auto"/>
        </w:rPr>
      </w:pPr>
      <w:r>
        <w:rPr>
          <w:rFonts w:ascii="Courier New" w:cs="Courier New" w:eastAsia="Courier New" w:hAnsi="Courier New"/>
          <w:sz w:val="16"/>
          <w:szCs w:val="16"/>
          <w:color w:val="auto"/>
        </w:rPr>
        <w:t>0</w:t>
      </w:r>
    </w:p>
    <w:p>
      <w:pPr>
        <w:ind w:left="3840"/>
        <w:spacing w:after="0"/>
        <w:rPr>
          <w:sz w:val="20"/>
          <w:szCs w:val="20"/>
          <w:color w:val="auto"/>
        </w:rPr>
      </w:pPr>
      <w:r>
        <w:rPr>
          <w:rFonts w:ascii="Courier New" w:cs="Courier New" w:eastAsia="Courier New" w:hAnsi="Courier New"/>
          <w:sz w:val="16"/>
          <w:szCs w:val="16"/>
          <w:color w:val="auto"/>
        </w:rPr>
        <w:t>0</w:t>
      </w:r>
    </w:p>
    <w:p>
      <w:pPr>
        <w:ind w:left="3560"/>
        <w:spacing w:after="0"/>
        <w:rPr>
          <w:sz w:val="20"/>
          <w:szCs w:val="20"/>
          <w:color w:val="auto"/>
        </w:rPr>
      </w:pPr>
      <w:r>
        <w:rPr>
          <w:rFonts w:ascii="Courier New" w:cs="Courier New" w:eastAsia="Courier New" w:hAnsi="Courier New"/>
          <w:sz w:val="16"/>
          <w:szCs w:val="16"/>
          <w:color w:val="auto"/>
        </w:rPr>
        <w:t>566,152</w:t>
      </w:r>
    </w:p>
    <w:p>
      <w:pPr>
        <w:ind w:left="3080"/>
        <w:spacing w:after="0"/>
        <w:rPr>
          <w:sz w:val="20"/>
          <w:szCs w:val="20"/>
          <w:color w:val="auto"/>
        </w:rPr>
      </w:pPr>
      <w:r>
        <w:rPr>
          <w:rFonts w:ascii="Courier New" w:cs="Courier New" w:eastAsia="Courier New" w:hAnsi="Courier New"/>
          <w:sz w:val="16"/>
          <w:szCs w:val="16"/>
          <w:color w:val="auto"/>
        </w:rPr>
        <w:t>55,044,059</w:t>
      </w:r>
    </w:p>
    <w:p>
      <w:pPr>
        <w:ind w:left="1400"/>
        <w:spacing w:after="0"/>
        <w:rPr>
          <w:sz w:val="20"/>
          <w:szCs w:val="20"/>
          <w:color w:val="auto"/>
        </w:rPr>
      </w:pPr>
      <w:r>
        <w:rPr>
          <w:rFonts w:ascii="Courier New" w:cs="Courier New" w:eastAsia="Courier New" w:hAnsi="Courier New"/>
          <w:sz w:val="16"/>
          <w:szCs w:val="16"/>
          <w:color w:val="auto"/>
        </w:rPr>
        <w:t>64,927,103</w:t>
      </w:r>
    </w:p>
    <w:p>
      <w:pPr>
        <w:ind w:left="3360"/>
        <w:spacing w:after="0"/>
        <w:rPr>
          <w:sz w:val="20"/>
          <w:szCs w:val="20"/>
          <w:color w:val="auto"/>
        </w:rPr>
      </w:pPr>
      <w:r>
        <w:rPr>
          <w:rFonts w:ascii="Courier New" w:cs="Courier New" w:eastAsia="Courier New" w:hAnsi="Courier New"/>
          <w:sz w:val="16"/>
          <w:szCs w:val="16"/>
          <w:color w:val="auto"/>
        </w:rPr>
        <w:t>23,311,125</w:t>
      </w:r>
    </w:p>
    <w:p>
      <w:pPr>
        <w:ind w:left="2520"/>
        <w:spacing w:after="0"/>
        <w:rPr>
          <w:sz w:val="20"/>
          <w:szCs w:val="20"/>
          <w:color w:val="auto"/>
        </w:rPr>
      </w:pPr>
      <w:r>
        <w:rPr>
          <w:rFonts w:ascii="Courier New" w:cs="Courier New" w:eastAsia="Courier New" w:hAnsi="Courier New"/>
          <w:sz w:val="16"/>
          <w:szCs w:val="16"/>
          <w:color w:val="auto"/>
        </w:rPr>
        <w:t>23,311,125</w:t>
      </w:r>
    </w:p>
    <w:p>
      <w:pPr>
        <w:jc w:val="right"/>
        <w:ind w:right="5619"/>
        <w:spacing w:after="0"/>
        <w:rPr>
          <w:sz w:val="20"/>
          <w:szCs w:val="20"/>
          <w:color w:val="auto"/>
        </w:rPr>
      </w:pPr>
      <w:r>
        <w:rPr>
          <w:rFonts w:ascii="Courier New" w:cs="Courier New" w:eastAsia="Courier New" w:hAnsi="Courier New"/>
          <w:sz w:val="16"/>
          <w:szCs w:val="16"/>
          <w:color w:val="auto"/>
        </w:rPr>
        <w:t>18,123,717</w:t>
      </w:r>
    </w:p>
    <w:p>
      <w:pPr>
        <w:ind w:left="2800"/>
        <w:spacing w:after="0"/>
        <w:rPr>
          <w:sz w:val="20"/>
          <w:szCs w:val="20"/>
          <w:color w:val="auto"/>
        </w:rPr>
      </w:pPr>
      <w:r>
        <w:rPr>
          <w:rFonts w:ascii="Courier New" w:cs="Courier New" w:eastAsia="Courier New" w:hAnsi="Courier New"/>
          <w:sz w:val="16"/>
          <w:szCs w:val="16"/>
          <w:color w:val="auto"/>
        </w:rPr>
        <w:t>18,123,717</w:t>
      </w:r>
    </w:p>
    <w:p>
      <w:pPr>
        <w:ind w:left="3360"/>
        <w:spacing w:after="0"/>
        <w:rPr>
          <w:sz w:val="20"/>
          <w:szCs w:val="20"/>
          <w:color w:val="auto"/>
        </w:rPr>
      </w:pPr>
      <w:r>
        <w:rPr>
          <w:rFonts w:ascii="Courier New" w:cs="Courier New" w:eastAsia="Courier New" w:hAnsi="Courier New"/>
          <w:sz w:val="16"/>
          <w:szCs w:val="16"/>
          <w:color w:val="auto"/>
        </w:rPr>
        <w:t>0</w:t>
      </w:r>
    </w:p>
    <w:p>
      <w:pPr>
        <w:ind w:left="3360"/>
        <w:spacing w:after="0"/>
        <w:rPr>
          <w:sz w:val="20"/>
          <w:szCs w:val="20"/>
          <w:color w:val="auto"/>
        </w:rPr>
      </w:pPr>
      <w:r>
        <w:rPr>
          <w:rFonts w:ascii="Courier New" w:cs="Courier New" w:eastAsia="Courier New" w:hAnsi="Courier New"/>
          <w:sz w:val="16"/>
          <w:szCs w:val="16"/>
          <w:color w:val="auto"/>
        </w:rPr>
        <w:t>0</w:t>
      </w:r>
    </w:p>
    <w:p>
      <w:pPr>
        <w:ind w:left="2800"/>
        <w:spacing w:after="0"/>
        <w:rPr>
          <w:sz w:val="20"/>
          <w:szCs w:val="20"/>
          <w:color w:val="auto"/>
        </w:rPr>
      </w:pPr>
      <w:r>
        <w:rPr>
          <w:rFonts w:ascii="Courier New" w:cs="Courier New" w:eastAsia="Courier New" w:hAnsi="Courier New"/>
          <w:sz w:val="16"/>
          <w:szCs w:val="16"/>
          <w:color w:val="auto"/>
        </w:rPr>
        <w:t>9,232</w:t>
      </w:r>
    </w:p>
    <w:p>
      <w:pPr>
        <w:ind w:left="2720"/>
        <w:spacing w:after="0"/>
        <w:rPr>
          <w:sz w:val="20"/>
          <w:szCs w:val="20"/>
          <w:color w:val="auto"/>
        </w:rPr>
      </w:pPr>
      <w:r>
        <w:rPr>
          <w:rFonts w:ascii="Courier New" w:cs="Courier New" w:eastAsia="Courier New" w:hAnsi="Courier New"/>
          <w:sz w:val="16"/>
          <w:szCs w:val="16"/>
          <w:color w:val="auto"/>
        </w:rPr>
        <w:t>5,719,634</w:t>
      </w:r>
    </w:p>
    <w:p>
      <w:pPr>
        <w:ind w:left="3000"/>
        <w:spacing w:after="0"/>
        <w:rPr>
          <w:sz w:val="20"/>
          <w:szCs w:val="20"/>
          <w:color w:val="auto"/>
        </w:rPr>
      </w:pPr>
      <w:r>
        <w:rPr>
          <w:rFonts w:ascii="Courier New" w:cs="Courier New" w:eastAsia="Courier New" w:hAnsi="Courier New"/>
          <w:sz w:val="16"/>
          <w:szCs w:val="16"/>
          <w:color w:val="auto"/>
        </w:rPr>
        <w:t>2,293,400</w:t>
      </w:r>
    </w:p>
    <w:p>
      <w:pPr>
        <w:ind w:left="2340"/>
        <w:spacing w:after="0"/>
        <w:rPr>
          <w:sz w:val="20"/>
          <w:szCs w:val="20"/>
          <w:color w:val="auto"/>
        </w:rPr>
      </w:pPr>
      <w:r>
        <w:rPr>
          <w:rFonts w:ascii="Courier New" w:cs="Courier New" w:eastAsia="Courier New" w:hAnsi="Courier New"/>
          <w:sz w:val="16"/>
          <w:szCs w:val="16"/>
          <w:color w:val="auto"/>
        </w:rPr>
        <w:t>3,426,234</w:t>
      </w:r>
    </w:p>
    <w:p>
      <w:pPr>
        <w:ind w:left="3560"/>
        <w:spacing w:after="0"/>
        <w:rPr>
          <w:sz w:val="20"/>
          <w:szCs w:val="20"/>
          <w:color w:val="auto"/>
        </w:rPr>
      </w:pPr>
      <w:r>
        <w:rPr>
          <w:rFonts w:ascii="Courier New" w:cs="Courier New" w:eastAsia="Courier New" w:hAnsi="Courier New"/>
          <w:sz w:val="16"/>
          <w:szCs w:val="16"/>
          <w:color w:val="auto"/>
        </w:rPr>
        <w:t>0</w:t>
      </w:r>
    </w:p>
    <w:p>
      <w:pPr>
        <w:ind w:left="3460"/>
        <w:spacing w:after="0"/>
        <w:rPr>
          <w:sz w:val="20"/>
          <w:szCs w:val="20"/>
          <w:color w:val="auto"/>
        </w:rPr>
      </w:pPr>
      <w:r>
        <w:rPr>
          <w:rFonts w:ascii="Courier New" w:cs="Courier New" w:eastAsia="Courier New" w:hAnsi="Courier New"/>
          <w:sz w:val="16"/>
          <w:szCs w:val="16"/>
          <w:color w:val="auto"/>
        </w:rPr>
        <w:t>0</w:t>
      </w:r>
    </w:p>
    <w:p>
      <w:pPr>
        <w:ind w:left="4020"/>
        <w:spacing w:after="0"/>
        <w:rPr>
          <w:sz w:val="20"/>
          <w:szCs w:val="20"/>
          <w:color w:val="auto"/>
        </w:rPr>
      </w:pPr>
      <w:r>
        <w:rPr>
          <w:rFonts w:ascii="Courier New" w:cs="Courier New" w:eastAsia="Courier New" w:hAnsi="Courier New"/>
          <w:sz w:val="16"/>
          <w:szCs w:val="16"/>
          <w:color w:val="auto"/>
        </w:rPr>
        <w:t>0</w:t>
      </w:r>
    </w:p>
    <w:p>
      <w:pPr>
        <w:ind w:left="3000"/>
        <w:spacing w:after="0"/>
        <w:rPr>
          <w:sz w:val="20"/>
          <w:szCs w:val="20"/>
          <w:color w:val="auto"/>
        </w:rPr>
      </w:pPr>
      <w:r>
        <w:rPr>
          <w:rFonts w:ascii="Courier New" w:cs="Courier New" w:eastAsia="Courier New" w:hAnsi="Courier New"/>
          <w:sz w:val="16"/>
          <w:szCs w:val="16"/>
          <w:color w:val="auto"/>
        </w:rPr>
        <w:t>3,426,234</w:t>
      </w:r>
    </w:p>
    <w:p>
      <w:pPr>
        <w:ind w:left="3460"/>
        <w:spacing w:after="0"/>
        <w:rPr>
          <w:sz w:val="20"/>
          <w:szCs w:val="20"/>
          <w:color w:val="auto"/>
        </w:rPr>
      </w:pPr>
      <w:r>
        <w:rPr>
          <w:rFonts w:ascii="Courier New" w:cs="Courier New" w:eastAsia="Courier New" w:hAnsi="Courier New"/>
          <w:sz w:val="16"/>
          <w:szCs w:val="16"/>
          <w:color w:val="auto"/>
        </w:rPr>
        <w:t>.30</w:t>
      </w:r>
    </w:p>
    <w:p>
      <w:pPr>
        <w:ind w:left="3460"/>
        <w:spacing w:after="0"/>
        <w:rPr>
          <w:sz w:val="20"/>
          <w:szCs w:val="20"/>
          <w:color w:val="auto"/>
        </w:rPr>
      </w:pPr>
      <w:r>
        <w:rPr>
          <w:rFonts w:ascii="Courier New" w:cs="Courier New" w:eastAsia="Courier New" w:hAnsi="Courier New"/>
          <w:sz w:val="16"/>
          <w:szCs w:val="16"/>
          <w:color w:val="auto"/>
        </w:rPr>
        <w:t>.30</w:t>
      </w:r>
    </w:p>
    <w:sectPr>
      <w:pgSz w:w="11900" w:h="16838" w:orient="portrait"/>
      <w:cols w:equalWidth="0" w:num="1">
        <w:col w:w="10119"/>
      </w:cols>
      <w:pgMar w:left="34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2020-02-22T10:53:39Z</dcterms:created>
  <dcterms:modified xsi:type="dcterms:W3CDTF">2020-02-22T10:53:39Z</dcterms:modified>
</cp:coreProperties>
</file>