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4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jc w:val="right"/>
              <w:ind w:right="56"/>
              <w:spacing w:after="0"/>
              <w:rPr>
                <w:sz w:val="20"/>
                <w:szCs w:val="20"/>
                <w:color w:val="auto"/>
              </w:rPr>
            </w:pPr>
            <w:r>
              <w:rPr>
                <w:rFonts w:ascii="Arial" w:cs="Arial" w:eastAsia="Arial" w:hAnsi="Arial"/>
                <w:sz w:val="18"/>
                <w:szCs w:val="18"/>
                <w:color w:val="auto"/>
              </w:rPr>
              <w:t>Date of Report (Date of earliest event reported)</w:t>
            </w:r>
          </w:p>
        </w:tc>
        <w:tc>
          <w:tcPr>
            <w:tcW w:w="4660" w:type="dxa"/>
            <w:vAlign w:val="bottom"/>
          </w:tcPr>
          <w:p>
            <w:pPr>
              <w:ind w:left="80"/>
              <w:spacing w:after="0"/>
              <w:rPr>
                <w:sz w:val="20"/>
                <w:szCs w:val="20"/>
                <w:color w:val="auto"/>
              </w:rPr>
            </w:pPr>
            <w:r>
              <w:rPr>
                <w:rFonts w:ascii="Arial" w:cs="Arial" w:eastAsia="Arial" w:hAnsi="Arial"/>
                <w:sz w:val="18"/>
                <w:szCs w:val="18"/>
                <w:b w:val="1"/>
                <w:bCs w:val="1"/>
                <w:color w:val="auto"/>
              </w:rPr>
              <w:t>February 19, 2004</w:t>
            </w:r>
          </w:p>
        </w:tc>
        <w:tc>
          <w:tcPr>
            <w:tcW w:w="20" w:type="dxa"/>
            <w:vAlign w:val="bottom"/>
          </w:tcPr>
          <w:p>
            <w:pPr>
              <w:spacing w:after="0"/>
              <w:rPr>
                <w:sz w:val="20"/>
                <w:szCs w:val="20"/>
                <w:color w:val="auto"/>
              </w:rPr>
            </w:pPr>
          </w:p>
        </w:tc>
      </w:tr>
      <w:tr>
        <w:trPr>
          <w:trHeight w:val="566"/>
        </w:trPr>
        <w:tc>
          <w:tcPr>
            <w:tcW w:w="3780" w:type="dxa"/>
            <w:vAlign w:val="bottom"/>
          </w:tcPr>
          <w:p>
            <w:pPr>
              <w:spacing w:after="0"/>
              <w:rPr>
                <w:sz w:val="24"/>
                <w:szCs w:val="24"/>
                <w:color w:val="auto"/>
              </w:rPr>
            </w:pPr>
          </w:p>
        </w:tc>
        <w:tc>
          <w:tcPr>
            <w:tcW w:w="2980" w:type="dxa"/>
            <w:vAlign w:val="bottom"/>
          </w:tcPr>
          <w:p>
            <w:pPr>
              <w:jc w:val="center"/>
              <w:ind w:left="796"/>
              <w:spacing w:after="0"/>
              <w:rPr>
                <w:sz w:val="20"/>
                <w:szCs w:val="20"/>
                <w:color w:val="auto"/>
              </w:rPr>
            </w:pPr>
            <w:r>
              <w:rPr>
                <w:rFonts w:ascii="Arial" w:cs="Arial" w:eastAsia="Arial" w:hAnsi="Arial"/>
                <w:sz w:val="32"/>
                <w:szCs w:val="32"/>
                <w:b w:val="1"/>
                <w:bCs w:val="1"/>
                <w:color w:val="auto"/>
                <w:w w:val="94"/>
              </w:rPr>
              <w:t>Hawkins, Inc.</w:t>
            </w:r>
          </w:p>
        </w:tc>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780" w:type="dxa"/>
            <w:vAlign w:val="bottom"/>
          </w:tcPr>
          <w:p>
            <w:pPr>
              <w:spacing w:after="0"/>
              <w:rPr>
                <w:sz w:val="20"/>
                <w:szCs w:val="20"/>
                <w:color w:val="auto"/>
              </w:rPr>
            </w:pPr>
          </w:p>
        </w:tc>
        <w:tc>
          <w:tcPr>
            <w:tcW w:w="7640" w:type="dxa"/>
            <w:vAlign w:val="bottom"/>
            <w:gridSpan w:val="2"/>
          </w:tcPr>
          <w:p>
            <w:pPr>
              <w:jc w:val="center"/>
              <w:ind w:right="3670"/>
              <w:spacing w:after="0"/>
              <w:rPr>
                <w:sz w:val="20"/>
                <w:szCs w:val="20"/>
                <w:color w:val="auto"/>
              </w:rPr>
            </w:pPr>
            <w:r>
              <w:rPr>
                <w:rFonts w:ascii="Arial" w:cs="Arial" w:eastAsia="Arial" w:hAnsi="Arial"/>
                <w:sz w:val="18"/>
                <w:szCs w:val="18"/>
                <w:color w:val="auto"/>
                <w:w w:val="90"/>
              </w:rPr>
              <w:t>(Exact name of registrant as specified in its charter)</w:t>
            </w:r>
          </w:p>
        </w:tc>
        <w:tc>
          <w:tcPr>
            <w:tcW w:w="20" w:type="dxa"/>
            <w:vAlign w:val="bottom"/>
          </w:tcPr>
          <w:p>
            <w:pPr>
              <w:spacing w:after="0"/>
              <w:rPr>
                <w:sz w:val="20"/>
                <w:szCs w:val="20"/>
                <w:color w:val="auto"/>
              </w:rPr>
            </w:pPr>
          </w:p>
        </w:tc>
      </w:tr>
      <w:tr>
        <w:trPr>
          <w:trHeight w:val="418"/>
        </w:trPr>
        <w:tc>
          <w:tcPr>
            <w:tcW w:w="37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Minnesota</w:t>
            </w:r>
          </w:p>
        </w:tc>
        <w:tc>
          <w:tcPr>
            <w:tcW w:w="2980" w:type="dxa"/>
            <w:vAlign w:val="bottom"/>
          </w:tcPr>
          <w:p>
            <w:pPr>
              <w:jc w:val="center"/>
              <w:ind w:left="776"/>
              <w:spacing w:after="0"/>
              <w:rPr>
                <w:sz w:val="20"/>
                <w:szCs w:val="20"/>
                <w:color w:val="auto"/>
              </w:rPr>
            </w:pPr>
            <w:r>
              <w:rPr>
                <w:rFonts w:ascii="Arial" w:cs="Arial" w:eastAsia="Arial" w:hAnsi="Arial"/>
                <w:sz w:val="18"/>
                <w:szCs w:val="18"/>
                <w:b w:val="1"/>
                <w:bCs w:val="1"/>
                <w:color w:val="auto"/>
                <w:w w:val="89"/>
              </w:rPr>
              <w:t>0-7647</w:t>
            </w:r>
          </w:p>
        </w:tc>
        <w:tc>
          <w:tcPr>
            <w:tcW w:w="466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41-0771293</w:t>
            </w:r>
          </w:p>
        </w:tc>
        <w:tc>
          <w:tcPr>
            <w:tcW w:w="20" w:type="dxa"/>
            <w:vAlign w:val="bottom"/>
          </w:tcPr>
          <w:p>
            <w:pPr>
              <w:spacing w:after="0"/>
              <w:rPr>
                <w:sz w:val="24"/>
                <w:szCs w:val="24"/>
                <w:color w:val="auto"/>
              </w:rPr>
            </w:pPr>
          </w:p>
        </w:tc>
      </w:tr>
      <w:tr>
        <w:trPr>
          <w:trHeight w:val="216"/>
        </w:trPr>
        <w:tc>
          <w:tcPr>
            <w:tcW w:w="3780" w:type="dxa"/>
            <w:vAlign w:val="bottom"/>
          </w:tcPr>
          <w:p>
            <w:pPr>
              <w:jc w:val="center"/>
              <w:ind w:right="10"/>
              <w:spacing w:after="0"/>
              <w:rPr>
                <w:sz w:val="20"/>
                <w:szCs w:val="20"/>
                <w:color w:val="auto"/>
              </w:rPr>
            </w:pPr>
            <w:r>
              <w:rPr>
                <w:rFonts w:ascii="Arial" w:cs="Arial" w:eastAsia="Arial" w:hAnsi="Arial"/>
                <w:sz w:val="18"/>
                <w:szCs w:val="18"/>
                <w:color w:val="auto"/>
                <w:w w:val="91"/>
              </w:rPr>
              <w:t>(State or other jurisdiction</w:t>
            </w:r>
          </w:p>
        </w:tc>
        <w:tc>
          <w:tcPr>
            <w:tcW w:w="2980" w:type="dxa"/>
            <w:vAlign w:val="bottom"/>
          </w:tcPr>
          <w:p>
            <w:pPr>
              <w:jc w:val="center"/>
              <w:ind w:left="776"/>
              <w:spacing w:after="0"/>
              <w:rPr>
                <w:sz w:val="20"/>
                <w:szCs w:val="20"/>
                <w:color w:val="auto"/>
              </w:rPr>
            </w:pPr>
            <w:r>
              <w:rPr>
                <w:rFonts w:ascii="Arial" w:cs="Arial" w:eastAsia="Arial" w:hAnsi="Arial"/>
                <w:sz w:val="18"/>
                <w:szCs w:val="18"/>
                <w:color w:val="auto"/>
                <w:w w:val="92"/>
              </w:rPr>
              <w:t>(Commission File Number)</w:t>
            </w:r>
          </w:p>
        </w:tc>
        <w:tc>
          <w:tcPr>
            <w:tcW w:w="4660" w:type="dxa"/>
            <w:vAlign w:val="bottom"/>
          </w:tcPr>
          <w:p>
            <w:pPr>
              <w:jc w:val="center"/>
              <w:ind w:left="910"/>
              <w:spacing w:after="0"/>
              <w:rPr>
                <w:sz w:val="20"/>
                <w:szCs w:val="20"/>
                <w:color w:val="auto"/>
              </w:rPr>
            </w:pPr>
            <w:r>
              <w:rPr>
                <w:rFonts w:ascii="Arial" w:cs="Arial" w:eastAsia="Arial" w:hAnsi="Arial"/>
                <w:sz w:val="18"/>
                <w:szCs w:val="18"/>
                <w:color w:val="auto"/>
                <w:w w:val="93"/>
              </w:rPr>
              <w:t>(IRS Employer</w:t>
            </w:r>
          </w:p>
        </w:tc>
        <w:tc>
          <w:tcPr>
            <w:tcW w:w="20" w:type="dxa"/>
            <w:vAlign w:val="bottom"/>
          </w:tcPr>
          <w:p>
            <w:pPr>
              <w:spacing w:after="0"/>
              <w:rPr>
                <w:sz w:val="18"/>
                <w:szCs w:val="18"/>
                <w:color w:val="auto"/>
              </w:rPr>
            </w:pPr>
          </w:p>
        </w:tc>
      </w:tr>
      <w:tr>
        <w:trPr>
          <w:trHeight w:val="230"/>
        </w:trPr>
        <w:tc>
          <w:tcPr>
            <w:tcW w:w="3780" w:type="dxa"/>
            <w:vAlign w:val="bottom"/>
          </w:tcPr>
          <w:p>
            <w:pPr>
              <w:jc w:val="center"/>
              <w:ind w:right="10"/>
              <w:spacing w:after="0"/>
              <w:rPr>
                <w:sz w:val="20"/>
                <w:szCs w:val="20"/>
                <w:color w:val="auto"/>
              </w:rPr>
            </w:pPr>
            <w:r>
              <w:rPr>
                <w:rFonts w:ascii="Arial" w:cs="Arial" w:eastAsia="Arial" w:hAnsi="Arial"/>
                <w:sz w:val="18"/>
                <w:szCs w:val="18"/>
                <w:color w:val="auto"/>
                <w:w w:val="95"/>
              </w:rPr>
              <w:t>of incorporation)</w:t>
            </w:r>
          </w:p>
        </w:tc>
        <w:tc>
          <w:tcPr>
            <w:tcW w:w="2980" w:type="dxa"/>
            <w:vAlign w:val="bottom"/>
          </w:tcPr>
          <w:p>
            <w:pPr>
              <w:spacing w:after="0"/>
              <w:rPr>
                <w:sz w:val="20"/>
                <w:szCs w:val="20"/>
                <w:color w:val="auto"/>
              </w:rPr>
            </w:pPr>
          </w:p>
        </w:tc>
        <w:tc>
          <w:tcPr>
            <w:tcW w:w="4660" w:type="dxa"/>
            <w:vAlign w:val="bottom"/>
          </w:tcPr>
          <w:p>
            <w:pPr>
              <w:jc w:val="center"/>
              <w:ind w:left="910"/>
              <w:spacing w:after="0"/>
              <w:rPr>
                <w:sz w:val="20"/>
                <w:szCs w:val="20"/>
                <w:color w:val="auto"/>
              </w:rPr>
            </w:pPr>
            <w:r>
              <w:rPr>
                <w:rFonts w:ascii="Arial" w:cs="Arial" w:eastAsia="Arial" w:hAnsi="Arial"/>
                <w:sz w:val="18"/>
                <w:szCs w:val="18"/>
                <w:color w:val="auto"/>
                <w:w w:val="95"/>
              </w:rPr>
              <w:t>Identification No.)</w:t>
            </w:r>
          </w:p>
        </w:tc>
        <w:tc>
          <w:tcPr>
            <w:tcW w:w="20" w:type="dxa"/>
            <w:vAlign w:val="bottom"/>
          </w:tcPr>
          <w:p>
            <w:pPr>
              <w:spacing w:after="0"/>
              <w:rPr>
                <w:sz w:val="20"/>
                <w:szCs w:val="20"/>
                <w:color w:val="auto"/>
              </w:rPr>
            </w:pPr>
          </w:p>
        </w:tc>
      </w:tr>
      <w:tr>
        <w:trPr>
          <w:trHeight w:val="414"/>
        </w:trPr>
        <w:tc>
          <w:tcPr>
            <w:tcW w:w="3780" w:type="dxa"/>
            <w:vAlign w:val="bottom"/>
          </w:tcPr>
          <w:p>
            <w:pPr>
              <w:jc w:val="center"/>
              <w:ind w:left="590"/>
              <w:spacing w:after="0"/>
              <w:rPr>
                <w:sz w:val="20"/>
                <w:szCs w:val="20"/>
                <w:color w:val="auto"/>
              </w:rPr>
            </w:pPr>
            <w:r>
              <w:rPr>
                <w:rFonts w:ascii="Arial" w:cs="Arial" w:eastAsia="Arial" w:hAnsi="Arial"/>
                <w:sz w:val="18"/>
                <w:szCs w:val="18"/>
                <w:b w:val="1"/>
                <w:bCs w:val="1"/>
                <w:color w:val="auto"/>
                <w:w w:val="89"/>
              </w:rPr>
              <w:t>3100 East Hennepin Avenue</w:t>
            </w:r>
          </w:p>
        </w:tc>
        <w:tc>
          <w:tcPr>
            <w:tcW w:w="29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3780" w:type="dxa"/>
            <w:vAlign w:val="bottom"/>
          </w:tcPr>
          <w:p>
            <w:pPr>
              <w:jc w:val="center"/>
              <w:ind w:left="590"/>
              <w:spacing w:after="0"/>
              <w:rPr>
                <w:sz w:val="20"/>
                <w:szCs w:val="20"/>
                <w:color w:val="auto"/>
              </w:rPr>
            </w:pPr>
            <w:r>
              <w:rPr>
                <w:rFonts w:ascii="Arial" w:cs="Arial" w:eastAsia="Arial" w:hAnsi="Arial"/>
                <w:sz w:val="18"/>
                <w:szCs w:val="18"/>
                <w:b w:val="1"/>
                <w:bCs w:val="1"/>
                <w:color w:val="auto"/>
                <w:w w:val="94"/>
              </w:rPr>
              <w:t>Minneapolis, MN</w:t>
            </w:r>
          </w:p>
        </w:tc>
        <w:tc>
          <w:tcPr>
            <w:tcW w:w="2980" w:type="dxa"/>
            <w:vAlign w:val="bottom"/>
          </w:tcPr>
          <w:p>
            <w:pPr>
              <w:spacing w:after="0"/>
              <w:rPr>
                <w:sz w:val="19"/>
                <w:szCs w:val="19"/>
                <w:color w:val="auto"/>
              </w:rPr>
            </w:pPr>
          </w:p>
        </w:tc>
        <w:tc>
          <w:tcPr>
            <w:tcW w:w="4660" w:type="dxa"/>
            <w:vAlign w:val="bottom"/>
          </w:tcPr>
          <w:p>
            <w:pPr>
              <w:jc w:val="right"/>
              <w:ind w:right="1450"/>
              <w:spacing w:after="0"/>
              <w:rPr>
                <w:sz w:val="20"/>
                <w:szCs w:val="20"/>
                <w:color w:val="auto"/>
              </w:rPr>
            </w:pPr>
            <w:r>
              <w:rPr>
                <w:rFonts w:ascii="Arial" w:cs="Arial" w:eastAsia="Arial" w:hAnsi="Arial"/>
                <w:sz w:val="18"/>
                <w:szCs w:val="18"/>
                <w:b w:val="1"/>
                <w:bCs w:val="1"/>
                <w:color w:val="auto"/>
              </w:rPr>
              <w:t>55413</w:t>
            </w:r>
          </w:p>
        </w:tc>
        <w:tc>
          <w:tcPr>
            <w:tcW w:w="20" w:type="dxa"/>
            <w:vAlign w:val="bottom"/>
          </w:tcPr>
          <w:p>
            <w:pPr>
              <w:spacing w:after="0"/>
              <w:rPr>
                <w:sz w:val="19"/>
                <w:szCs w:val="19"/>
                <w:color w:val="auto"/>
              </w:rPr>
            </w:pPr>
          </w:p>
        </w:tc>
      </w:tr>
      <w:tr>
        <w:trPr>
          <w:trHeight w:val="230"/>
        </w:trPr>
        <w:tc>
          <w:tcPr>
            <w:tcW w:w="3780" w:type="dxa"/>
            <w:vAlign w:val="bottom"/>
          </w:tcPr>
          <w:p>
            <w:pPr>
              <w:jc w:val="center"/>
              <w:ind w:left="590"/>
              <w:spacing w:after="0"/>
              <w:rPr>
                <w:sz w:val="20"/>
                <w:szCs w:val="20"/>
                <w:color w:val="auto"/>
              </w:rPr>
            </w:pPr>
            <w:r>
              <w:rPr>
                <w:rFonts w:ascii="Arial" w:cs="Arial" w:eastAsia="Arial" w:hAnsi="Arial"/>
                <w:sz w:val="18"/>
                <w:szCs w:val="18"/>
                <w:color w:val="auto"/>
                <w:w w:val="92"/>
              </w:rPr>
              <w:t>(Address of principal executive offices)</w:t>
            </w:r>
          </w:p>
        </w:tc>
        <w:tc>
          <w:tcPr>
            <w:tcW w:w="2980" w:type="dxa"/>
            <w:vAlign w:val="bottom"/>
          </w:tcPr>
          <w:p>
            <w:pPr>
              <w:spacing w:after="0"/>
              <w:rPr>
                <w:sz w:val="20"/>
                <w:szCs w:val="20"/>
                <w:color w:val="auto"/>
              </w:rPr>
            </w:pPr>
          </w:p>
        </w:tc>
        <w:tc>
          <w:tcPr>
            <w:tcW w:w="4660" w:type="dxa"/>
            <w:vAlign w:val="bottom"/>
          </w:tcPr>
          <w:p>
            <w:pPr>
              <w:jc w:val="center"/>
              <w:ind w:left="1050"/>
              <w:spacing w:after="0"/>
              <w:rPr>
                <w:sz w:val="20"/>
                <w:szCs w:val="20"/>
                <w:color w:val="auto"/>
              </w:rPr>
            </w:pPr>
            <w:r>
              <w:rPr>
                <w:rFonts w:ascii="Arial" w:cs="Arial" w:eastAsia="Arial" w:hAnsi="Arial"/>
                <w:sz w:val="18"/>
                <w:szCs w:val="18"/>
                <w:color w:val="auto"/>
                <w:w w:val="94"/>
              </w:rPr>
              <w:t>(Zip Code)</w:t>
            </w:r>
          </w:p>
        </w:tc>
        <w:tc>
          <w:tcPr>
            <w:tcW w:w="20" w:type="dxa"/>
            <w:vAlign w:val="bottom"/>
          </w:tcPr>
          <w:p>
            <w:pPr>
              <w:spacing w:after="0"/>
              <w:rPr>
                <w:sz w:val="20"/>
                <w:szCs w:val="20"/>
                <w:color w:val="auto"/>
              </w:rPr>
            </w:pPr>
          </w:p>
        </w:tc>
      </w:tr>
      <w:tr>
        <w:trPr>
          <w:trHeight w:val="432"/>
        </w:trPr>
        <w:tc>
          <w:tcPr>
            <w:tcW w:w="3780" w:type="dxa"/>
            <w:vAlign w:val="bottom"/>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c>
          <w:tcPr>
            <w:tcW w:w="2980" w:type="dxa"/>
            <w:vAlign w:val="bottom"/>
          </w:tcPr>
          <w:p>
            <w:pPr>
              <w:jc w:val="right"/>
              <w:ind w:right="1616"/>
              <w:spacing w:after="0"/>
              <w:rPr>
                <w:sz w:val="20"/>
                <w:szCs w:val="20"/>
                <w:color w:val="auto"/>
              </w:rPr>
            </w:pPr>
            <w:r>
              <w:rPr>
                <w:rFonts w:ascii="Arial" w:cs="Arial" w:eastAsia="Arial" w:hAnsi="Arial"/>
                <w:sz w:val="18"/>
                <w:szCs w:val="18"/>
                <w:b w:val="1"/>
                <w:bCs w:val="1"/>
                <w:color w:val="auto"/>
              </w:rPr>
              <w:t>(612) 331-6910</w:t>
            </w:r>
          </w:p>
        </w:tc>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378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tcPr>
          <w:p>
            <w:pPr>
              <w:spacing w:after="0"/>
              <w:rPr>
                <w:sz w:val="21"/>
                <w:szCs w:val="21"/>
                <w:color w:val="auto"/>
              </w:rPr>
            </w:pPr>
          </w:p>
        </w:tc>
        <w:tc>
          <w:tcPr>
            <w:tcW w:w="46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88"/>
        </w:trPr>
        <w:tc>
          <w:tcPr>
            <w:tcW w:w="3780" w:type="dxa"/>
            <w:vAlign w:val="bottom"/>
            <w:tcBorders>
              <w:bottom w:val="single" w:sz="8" w:color="auto"/>
            </w:tcBorders>
          </w:tcPr>
          <w:p>
            <w:pPr>
              <w:spacing w:after="0"/>
              <w:rPr>
                <w:sz w:val="7"/>
                <w:szCs w:val="7"/>
                <w:color w:val="auto"/>
              </w:rPr>
            </w:pPr>
          </w:p>
        </w:tc>
        <w:tc>
          <w:tcPr>
            <w:tcW w:w="2980" w:type="dxa"/>
            <w:vAlign w:val="bottom"/>
            <w:tcBorders>
              <w:bottom w:val="single" w:sz="8" w:color="auto"/>
            </w:tcBorders>
          </w:tcPr>
          <w:p>
            <w:pPr>
              <w:spacing w:after="0"/>
              <w:rPr>
                <w:sz w:val="7"/>
                <w:szCs w:val="7"/>
                <w:color w:val="auto"/>
              </w:rPr>
            </w:pPr>
          </w:p>
        </w:tc>
        <w:tc>
          <w:tcPr>
            <w:tcW w:w="46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321"/>
        </w:trPr>
        <w:tc>
          <w:tcPr>
            <w:tcW w:w="378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46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Exhibits.</w:t>
      </w:r>
    </w:p>
    <w:p>
      <w:pPr>
        <w:spacing w:after="0" w:line="229" w:lineRule="exact"/>
        <w:rPr>
          <w:sz w:val="24"/>
          <w:szCs w:val="24"/>
          <w:color w:val="auto"/>
        </w:rPr>
      </w:pPr>
    </w:p>
    <w:p>
      <w:pPr>
        <w:ind w:left="340"/>
        <w:spacing w:after="0"/>
        <w:tabs>
          <w:tab w:leader="none" w:pos="720" w:val="left"/>
        </w:tabs>
        <w:rPr>
          <w:sz w:val="20"/>
          <w:szCs w:val="20"/>
          <w:color w:val="auto"/>
        </w:rPr>
      </w:pPr>
      <w:r>
        <w:rPr>
          <w:rFonts w:ascii="Arial" w:cs="Arial" w:eastAsia="Arial" w:hAnsi="Arial"/>
          <w:sz w:val="18"/>
          <w:szCs w:val="18"/>
          <w:color w:val="auto"/>
        </w:rPr>
        <w:t>99</w:t>
        <w:tab/>
        <w:t>Press Release dated February 19, 2004</w:t>
      </w:r>
    </w:p>
    <w:p>
      <w:pPr>
        <w:spacing w:after="0" w:line="221"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ind w:right="80" w:firstLine="648"/>
        <w:spacing w:after="0" w:line="264" w:lineRule="auto"/>
        <w:rPr>
          <w:sz w:val="20"/>
          <w:szCs w:val="20"/>
          <w:color w:val="auto"/>
        </w:rPr>
      </w:pPr>
      <w:r>
        <w:rPr>
          <w:rFonts w:ascii="Arial" w:cs="Arial" w:eastAsia="Arial" w:hAnsi="Arial"/>
          <w:sz w:val="18"/>
          <w:szCs w:val="18"/>
          <w:color w:val="auto"/>
        </w:rPr>
        <w:t>On February 19, 2004, Hawkins, Inc. (“Hawkins”) reached a tentative settlement of its previously announced litigation relating to its pharmaceutical business. See Hawkins’ press release dated February 19, 2004, which is furnished as Exhibit 99 hereto and incorporated by reference in this Current Report on Form 8-K.</w:t>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360" w:type="dxa"/>
            <w:vAlign w:val="bottom"/>
            <w:gridSpan w:val="5"/>
          </w:tcPr>
          <w:p>
            <w:pPr>
              <w:ind w:left="300"/>
              <w:spacing w:after="0"/>
              <w:rPr>
                <w:sz w:val="20"/>
                <w:szCs w:val="20"/>
                <w:color w:val="auto"/>
              </w:rPr>
            </w:pPr>
            <w:r>
              <w:rPr>
                <w:rFonts w:ascii="Arial" w:cs="Arial" w:eastAsia="Arial" w:hAnsi="Arial"/>
                <w:sz w:val="18"/>
                <w:szCs w:val="18"/>
                <w:color w:val="auto"/>
              </w:rPr>
              <w:t>HAWKINS, INC.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060" w:type="dxa"/>
            <w:vAlign w:val="bottom"/>
            <w:gridSpan w:val="4"/>
          </w:tcPr>
          <w:p>
            <w:pPr>
              <w:spacing w:after="0"/>
              <w:rPr>
                <w:sz w:val="20"/>
                <w:szCs w:val="20"/>
                <w:color w:val="auto"/>
              </w:rPr>
            </w:pPr>
            <w:r>
              <w:rPr>
                <w:rFonts w:ascii="Arial" w:cs="Arial" w:eastAsia="Arial" w:hAnsi="Arial"/>
                <w:sz w:val="18"/>
                <w:szCs w:val="18"/>
                <w:color w:val="auto"/>
              </w:rPr>
              <w:t>Date: February 20, 2004</w:t>
            </w:r>
          </w:p>
        </w:tc>
        <w:tc>
          <w:tcPr>
            <w:tcW w:w="560" w:type="dxa"/>
            <w:vAlign w:val="bottom"/>
          </w:tcPr>
          <w:p>
            <w:pPr>
              <w:ind w:left="30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570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color w:val="auto"/>
              </w:rPr>
              <w:t>/s/ Marvin E. Dee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00" w:type="dxa"/>
            <w:vAlign w:val="bottom"/>
            <w:gridSpan w:val="3"/>
          </w:tcPr>
          <w:p>
            <w:pPr>
              <w:ind w:left="140"/>
              <w:spacing w:after="0" w:line="195" w:lineRule="exact"/>
              <w:rPr>
                <w:sz w:val="20"/>
                <w:szCs w:val="20"/>
                <w:color w:val="auto"/>
              </w:rPr>
            </w:pPr>
            <w:r>
              <w:rPr>
                <w:rFonts w:ascii="Arial" w:cs="Arial" w:eastAsia="Arial" w:hAnsi="Arial"/>
                <w:sz w:val="18"/>
                <w:szCs w:val="18"/>
                <w:color w:val="auto"/>
              </w:rPr>
              <w:t>Marvin E. Dee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gridSpan w:val="3"/>
          </w:tcPr>
          <w:p>
            <w:pPr>
              <w:ind w:left="140"/>
              <w:spacing w:after="0"/>
              <w:rPr>
                <w:sz w:val="20"/>
                <w:szCs w:val="20"/>
                <w:color w:val="auto"/>
              </w:rPr>
            </w:pPr>
            <w:r>
              <w:rPr>
                <w:rFonts w:ascii="Arial" w:cs="Arial" w:eastAsia="Arial" w:hAnsi="Arial"/>
                <w:sz w:val="18"/>
                <w:szCs w:val="18"/>
                <w:color w:val="auto"/>
              </w:rPr>
              <w:t>Vice President, Chief Financial Officer,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gridSpan w:val="3"/>
          </w:tcPr>
          <w:p>
            <w:pPr>
              <w:ind w:left="220"/>
              <w:spacing w:after="0"/>
              <w:rPr>
                <w:sz w:val="20"/>
                <w:szCs w:val="20"/>
                <w:color w:val="auto"/>
              </w:rPr>
            </w:pPr>
            <w:r>
              <w:rPr>
                <w:rFonts w:ascii="Arial" w:cs="Arial" w:eastAsia="Arial" w:hAnsi="Arial"/>
                <w:sz w:val="18"/>
                <w:szCs w:val="18"/>
                <w:color w:val="auto"/>
              </w:rPr>
              <w:t>Secretary and Treasurer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00" w:type="dxa"/>
            <w:vAlign w:val="bottom"/>
            <w:gridSpan w:val="2"/>
          </w:tcPr>
          <w:p>
            <w:pPr>
              <w:jc w:val="center"/>
              <w:ind w:right="2230"/>
              <w:spacing w:after="0"/>
              <w:rPr>
                <w:sz w:val="20"/>
                <w:szCs w:val="20"/>
                <w:color w:val="auto"/>
              </w:rPr>
            </w:pPr>
            <w:r>
              <w:rPr>
                <w:rFonts w:ascii="Arial" w:cs="Arial" w:eastAsia="Arial" w:hAnsi="Arial"/>
                <w:sz w:val="18"/>
                <w:szCs w:val="18"/>
                <w:color w:val="auto"/>
                <w:w w:val="99"/>
              </w:rPr>
              <w:t>3</w:t>
            </w:r>
          </w:p>
        </w:tc>
        <w:tc>
          <w:tcPr>
            <w:tcW w:w="2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800" w:type="dxa"/>
            <w:vAlign w:val="bottom"/>
            <w:tcBorders>
              <w:bottom w:val="single" w:sz="8" w:color="808080"/>
            </w:tcBorders>
          </w:tcPr>
          <w:p>
            <w:pPr>
              <w:spacing w:after="0"/>
              <w:rPr>
                <w:sz w:val="9"/>
                <w:szCs w:val="9"/>
                <w:color w:val="auto"/>
              </w:rPr>
            </w:pPr>
          </w:p>
        </w:tc>
        <w:tc>
          <w:tcPr>
            <w:tcW w:w="3060" w:type="dxa"/>
            <w:vAlign w:val="bottom"/>
            <w:tcBorders>
              <w:bottom w:val="single" w:sz="8" w:color="808080"/>
            </w:tcBorders>
            <w:gridSpan w:val="3"/>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2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360" w:type="dxa"/>
            <w:vAlign w:val="bottom"/>
            <w:gridSpan w:val="5"/>
          </w:tcPr>
          <w:p>
            <w:pPr>
              <w:jc w:val="center"/>
              <w:ind w:right="4959"/>
              <w:spacing w:after="0"/>
              <w:rPr>
                <w:sz w:val="20"/>
                <w:szCs w:val="20"/>
                <w:color w:val="auto"/>
              </w:rPr>
            </w:pPr>
            <w:r>
              <w:rPr>
                <w:rFonts w:ascii="Arial" w:cs="Arial" w:eastAsia="Arial" w:hAnsi="Arial"/>
                <w:sz w:val="18"/>
                <w:szCs w:val="18"/>
                <w:b w:val="1"/>
                <w:bCs w:val="1"/>
                <w:color w:val="auto"/>
                <w:w w:val="91"/>
              </w:rPr>
              <w:t>Index to Exhibits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3800" w:type="dxa"/>
            <w:vAlign w:val="bottom"/>
            <w:vMerge w:val="restart"/>
          </w:tcPr>
          <w:p>
            <w:pPr>
              <w:ind w:left="3080"/>
              <w:spacing w:after="0"/>
              <w:rPr>
                <w:sz w:val="20"/>
                <w:szCs w:val="20"/>
                <w:color w:val="auto"/>
              </w:rPr>
            </w:pPr>
            <w:r>
              <w:rPr>
                <w:rFonts w:ascii="Arial" w:cs="Arial" w:eastAsia="Arial" w:hAnsi="Arial"/>
                <w:sz w:val="14"/>
                <w:szCs w:val="14"/>
                <w:b w:val="1"/>
                <w:bCs w:val="1"/>
                <w:color w:val="auto"/>
                <w:w w:val="90"/>
              </w:rPr>
              <w:t>Description</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Method of Filing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4"/>
                <w:szCs w:val="14"/>
                <w:color w:val="auto"/>
              </w:rPr>
            </w:pPr>
          </w:p>
        </w:tc>
        <w:tc>
          <w:tcPr>
            <w:tcW w:w="38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19"/>
                <w:szCs w:val="19"/>
                <w:color w:val="auto"/>
              </w:rPr>
            </w:pPr>
          </w:p>
        </w:tc>
        <w:tc>
          <w:tcPr>
            <w:tcW w:w="3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February 19, 2004</w:t>
            </w: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Electronic Transmission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00" w:type="dxa"/>
            <w:vAlign w:val="bottom"/>
            <w:gridSpan w:val="2"/>
          </w:tcPr>
          <w:p>
            <w:pPr>
              <w:jc w:val="center"/>
              <w:ind w:right="2230"/>
              <w:spacing w:after="0"/>
              <w:rPr>
                <w:sz w:val="20"/>
                <w:szCs w:val="20"/>
                <w:color w:val="auto"/>
              </w:rPr>
            </w:pPr>
            <w:r>
              <w:rPr>
                <w:rFonts w:ascii="Arial" w:cs="Arial" w:eastAsia="Arial" w:hAnsi="Arial"/>
                <w:sz w:val="18"/>
                <w:szCs w:val="18"/>
                <w:color w:val="auto"/>
                <w:w w:val="99"/>
              </w:rPr>
              <w:t>4</w:t>
            </w:r>
          </w:p>
        </w:tc>
        <w:tc>
          <w:tcPr>
            <w:tcW w:w="2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8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-1300480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85" w:right="219" w:bottom="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marvin.dee@hawkinsinc.com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Jennifer A. Weichert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Weichert Financial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651/686-9751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weichertfr@aol.com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ANNOUNCES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TENTATIVE LITIGATION SETTLEMENT</w:t>
      </w:r>
    </w:p>
    <w:p>
      <w:pPr>
        <w:spacing w:after="0" w:line="200" w:lineRule="exact"/>
        <w:rPr>
          <w:sz w:val="20"/>
          <w:szCs w:val="20"/>
          <w:color w:val="auto"/>
        </w:rPr>
      </w:pPr>
    </w:p>
    <w:p>
      <w:pPr>
        <w:spacing w:after="0" w:line="22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Minneapolis, MN, February 19, 2004 – Hawkins, Inc. (Nasdaq: HWKN) today announced that it had reached a tentative settlement of its previously announced litigation relating to its pharmaceutical business. Under the lawsuit, the plaintiffs were seeking damages relating to claims arising from the alleged mislabeling of certain inventory purchased by the Company as part of an acquisition in May 2000. Pursuant to the terms of the tentative settlement, the Company did not admit or deny any of the allegations of the complaint, as agreed to in the resolution of this matter.</w:t>
      </w:r>
    </w:p>
    <w:p>
      <w:pPr>
        <w:spacing w:after="0" w:line="17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Under the terms of the tentative settlement agreement, the uninsured portion of the payments that Hawkins would be responsible for is approximately $3.0 million (approximately $1.9 million or $0.19 per share after tax). The settlement is subject to court approval, which is expected within the next 45 days. Hawkins will pursue reimbursement of the settlement from third parties.</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Hawkins, Inc. is a highly focused regional company, which provides a full range of bulk industrial products complemented with the technical competence and ingenuity to formulate and blend specialty chemicals. The Company sells and services related products and equipment to safely dispense chemicals in highly controlled environments.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Hawkins is headquartered in Minneapolis, Minnesota. The Company operates fourteen facilities in Iowa, Illinois, Minnesota, Montana, Nebraska, South and North Dakota and Wisconsin and services customers in Upper Michigan and Wyoming as well.</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The discussion above contains forward-looking statements within the meaning of the Private Securities Litigation Reform Act of 1995. These statements by their nature involve substantial risks and uncertainties as described by Hawkins’ periodic filings. Actual results may differ materially depending on a variety of factors, including, but not limited to the following: the achievement of Hawkins’ projected operating results, the achievement of efficient volume production and related sales revenue, and the ability of Hawkins to identify and successfully pursue other business opportunities. Additional information with respect to the risks and uncertainties faced by Hawkins may be found in, and the prior discussion is qualified in its entirety by, the Risk Factors contained in the Company’s filings with the Securities and Exchange Commission including Hawkins’ Report on Form 10-K for the period ended March 30, 2003, Forms 10-Q, and other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2019-12-13T01:38:48Z</dcterms:created>
  <dcterms:modified xsi:type="dcterms:W3CDTF">2019-12-13T01:38:48Z</dcterms:modified>
</cp:coreProperties>
</file>