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Proxy Statement Pursuant to Section 14(a) of the Securities</w:t>
      </w:r>
    </w:p>
    <w:p>
      <w:pPr>
        <w:spacing w:after="0" w:line="14" w:lineRule="exact"/>
        <w:rPr>
          <w:sz w:val="24"/>
          <w:szCs w:val="24"/>
          <w:color w:val="auto"/>
        </w:rPr>
      </w:pPr>
    </w:p>
    <w:p>
      <w:pPr>
        <w:ind w:left="3540"/>
        <w:spacing w:after="0"/>
        <w:tabs>
          <w:tab w:leader="none" w:pos="7800" w:val="left"/>
        </w:tabs>
        <w:rPr>
          <w:sz w:val="20"/>
          <w:szCs w:val="20"/>
          <w:color w:val="auto"/>
        </w:rPr>
      </w:pPr>
      <w:r>
        <w:rPr>
          <w:rFonts w:ascii="Arial" w:cs="Arial" w:eastAsia="Arial" w:hAnsi="Arial"/>
          <w:sz w:val="22"/>
          <w:szCs w:val="22"/>
          <w:b w:val="1"/>
          <w:bCs w:val="1"/>
          <w:color w:val="auto"/>
        </w:rPr>
        <w:t>Exchange Act of 1934 (Amendment No.</w:t>
      </w:r>
      <w:r>
        <w:rPr>
          <w:sz w:val="20"/>
          <w:szCs w:val="20"/>
          <w:color w:val="auto"/>
        </w:rPr>
        <w:tab/>
      </w:r>
      <w:r>
        <w:rPr>
          <w:rFonts w:ascii="Arial" w:cs="Arial" w:eastAsia="Arial" w:hAnsi="Arial"/>
          <w:sz w:val="22"/>
          <w:szCs w:val="22"/>
          <w:b w:val="1"/>
          <w:bCs w:val="1"/>
          <w:color w:val="auto"/>
        </w:rPr>
        <w:t>)</w:t>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right="5120" w:firstLine="8"/>
        <w:spacing w:after="0" w:line="270"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240.14a-11(c) or Section 240.14a-12.</w:t>
      </w:r>
    </w:p>
    <w:p>
      <w:pPr>
        <w:spacing w:after="0" w:line="151" w:lineRule="exact"/>
        <w:rPr>
          <w:sz w:val="24"/>
          <w:szCs w:val="24"/>
          <w:color w:val="auto"/>
        </w:rPr>
      </w:pPr>
    </w:p>
    <w:p>
      <w:pPr>
        <w:jc w:val="center"/>
        <w:ind w:right="-119"/>
        <w:spacing w:after="0"/>
        <w:rPr>
          <w:sz w:val="20"/>
          <w:szCs w:val="20"/>
          <w:color w:val="auto"/>
        </w:rPr>
      </w:pPr>
      <w:r>
        <w:rPr>
          <w:rFonts w:ascii="Arial" w:cs="Arial" w:eastAsia="Arial" w:hAnsi="Arial"/>
          <w:sz w:val="24"/>
          <w:szCs w:val="24"/>
          <w:b w:val="1"/>
          <w:bCs w:val="1"/>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2592705</wp:posOffset>
            </wp:positionH>
            <wp:positionV relativeFrom="paragraph">
              <wp:posOffset>-10795</wp:posOffset>
            </wp:positionV>
            <wp:extent cx="2071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1370" cy="8890"/>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7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320"/>
          </w:cols>
          <w:pgMar w:left="240" w:top="219" w:right="33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626110"/>
                    </a:xfrm>
                    <a:prstGeom prst="rect">
                      <a:avLst/>
                    </a:prstGeom>
                    <a:noFill/>
                  </pic:spPr>
                </pic:pic>
              </a:graphicData>
            </a:graphic>
          </wp:anchor>
        </w:drawing>
        <w:t>HAWKINS, INC.</w:t>
      </w:r>
    </w:p>
    <w:p>
      <w:pPr>
        <w:spacing w:after="0" w:line="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Minneapolis, Minnesota 55413</w:t>
      </w: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To Be Held August 2,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Meeting of Shareholders of Hawkins, Inc. will be held at the Midland Hills Country Club, 2001 Fulham Street, Roseville, Minnesota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Thursday, August 2, 2012, at 3:00 p.m., Central Time, for the following purposes:</w:t>
      </w:r>
    </w:p>
    <w:p>
      <w:pPr>
        <w:spacing w:after="0" w:line="84" w:lineRule="exact"/>
        <w:rPr>
          <w:sz w:val="20"/>
          <w:szCs w:val="20"/>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seven directors;</w:t>
      </w:r>
    </w:p>
    <w:p>
      <w:pPr>
        <w:spacing w:after="0" w:line="90" w:lineRule="exact"/>
        <w:rPr>
          <w:rFonts w:ascii="Arial" w:cs="Arial" w:eastAsia="Arial" w:hAnsi="Arial"/>
          <w:sz w:val="18"/>
          <w:szCs w:val="18"/>
          <w:color w:val="auto"/>
        </w:rPr>
      </w:pPr>
    </w:p>
    <w:p>
      <w:pPr>
        <w:ind w:left="460" w:firstLine="443"/>
        <w:spacing w:after="0" w:line="268" w:lineRule="auto"/>
        <w:tabs>
          <w:tab w:leader="none" w:pos="1074"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advise in a non-binding vote to approve the compensation of our executive officers as disclosed in the attached proxy statement, or a “say-on-pay” vote.</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Board of Directors has fixed the close of business on June 11, 2012 as the record date for determining the shareholders entitled to vote at the Annual Meeting. Accordingly, only shareholders of record at the close of business on that date will be entitled to vote. Our transfer books will not be closed.</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41478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RICHARD G. ERSTAD, </w:t>
      </w:r>
      <w:r>
        <w:rPr>
          <w:rFonts w:ascii="Arial" w:cs="Arial" w:eastAsia="Arial" w:hAnsi="Arial"/>
          <w:sz w:val="18"/>
          <w:szCs w:val="18"/>
          <w:i w:val="1"/>
          <w:iCs w:val="1"/>
          <w:color w:val="auto"/>
        </w:rPr>
        <w:t>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June 27, 2012</w:t>
      </w:r>
    </w:p>
    <w:p>
      <w:pPr>
        <w:spacing w:after="0" w:line="165"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260"/>
          </w:cols>
          <w:pgMar w:left="240" w:top="1178" w:right="39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STATEMENT</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HAWKINS, INC.</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27, 2012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following proxy statement is furnished in connection with the solicitation of proxies by our Board of Directors to be voted at the Annual Meeting of Shareholders (the “Annual Meeting”) to be held on Thursday, August 2, 2012 at the Midland Hills Country Club, 2001 Fulham Street, Roseville, Minnesota, at 3:00 p.m., Central Time, and at any adjournments of such meeting. Distribution of this Proxy Statement and proxy to shareholders began on or about June 27, 2012.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SOLICITATION</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REVOCATION AND VOTING OF PROXY</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 (1) delivering a written notice expressly revoking the proxy to our Secretary at our offices, (2) signing and forwarding to us at our offices a later dated proxy, or (3) attending the Annual Meeting and casting his or her votes personally.</w:t>
      </w:r>
    </w:p>
    <w:p>
      <w:pPr>
        <w:spacing w:after="0" w:line="6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However, abstentions will not be taken into account in determining the approval of any of the proposals and will have the effect of casting a negative vote. If a shareholder (including a broker) does not give authority to a proxy to vote, or withholds authority to vote on a certain proposal, then the shareholder’s shares will not be considered present or entitled to vote on that proposal.</w:t>
      </w:r>
    </w:p>
    <w:p>
      <w:pPr>
        <w:spacing w:after="0" w:line="3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If you hold your shares in street name and do not provide voting instructions to your broker, your broker has authority under New York Stock Exchange rules to vote those shares for or against “routine” proposals, such as an amendment and restatement of our articles of incorporation. Brokers cannot vote on their customers’ behalf on “non-routine” proposals such as the approval of an equity compensation plan or the election of directors.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39" w:lineRule="exact"/>
        <w:rPr>
          <w:sz w:val="20"/>
          <w:szCs w:val="20"/>
          <w:color w:val="auto"/>
        </w:rPr>
      </w:pPr>
    </w:p>
    <w:p>
      <w:pPr>
        <w:jc w:val="both"/>
        <w:ind w:right="340" w:firstLine="456"/>
        <w:spacing w:after="0" w:line="256" w:lineRule="auto"/>
        <w:rPr>
          <w:sz w:val="20"/>
          <w:szCs w:val="20"/>
          <w:color w:val="auto"/>
        </w:rPr>
      </w:pPr>
      <w:r>
        <w:rPr>
          <w:rFonts w:ascii="Arial" w:cs="Arial" w:eastAsia="Arial" w:hAnsi="Arial"/>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ectPr>
          <w:pgSz w:w="11900" w:h="16838" w:orient="portrait"/>
          <w:cols w:equalWidth="0" w:num="1">
            <w:col w:w="11420"/>
          </w:cols>
          <w:pgMar w:left="240" w:top="2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SHARES AND VOTING RIGHTS</w:t>
      </w:r>
    </w:p>
    <w:p>
      <w:pPr>
        <w:spacing w:after="0" w:line="9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At the close of business on June 11, 2012, the record date, there were 10,500,238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ONE—ELECTION OF DIRECTORS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At the Annual Meeting, seven persons are to be elected to our Board of Directors, each to hold office for the ensuing year and until his successor is duly elected and qualified. Our By-laws provide for a Board of Directors of not fewer than three nor more than eleven directors. Our Board of Directors currently consists of seven directors, as established by resolution of our Board of Directors. Our By-laws provide that the nominees must be elected by the affirmative vote of the holders of a majority of the voting power of the shares represented at the meeting (whether in person or by proxy). Abstentions and withhold votes have the effect of a vote against the nominees.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has nominated James A. Faulconbridge, Patrick H. Hawkins, Duane M. Jergenson, John S. McKeon, Daryl I. Skaar, James 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Thompson and Jeffrey L. Wright for election to the Board of Directors.</w:t>
      </w:r>
    </w:p>
    <w:p>
      <w:pPr>
        <w:spacing w:after="0" w:line="78"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OUR BOARD OF DIRECTORS RECOMMENDS THAT SHAREHOLDERS VOTE “FOR” THE ELECTION OF ALL NOMINEES FOR DIRECTOR.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Directors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directors have served as our directors continuously since the year indicated below. The following information, as of June 1, 2012, including the principal occupation or employment of each director nominee, has been furnished to us by the respective director nominees. All positions are with our Company unless otherwise noted.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1800" w:type="dxa"/>
            <w:vAlign w:val="bottom"/>
            <w:vMerge w:val="restart"/>
          </w:tcPr>
          <w:p>
            <w:pPr>
              <w:spacing w:after="0"/>
              <w:rPr>
                <w:sz w:val="14"/>
                <w:szCs w:val="14"/>
                <w:color w:val="auto"/>
              </w:rPr>
            </w:pPr>
          </w:p>
        </w:tc>
        <w:tc>
          <w:tcPr>
            <w:tcW w:w="3040" w:type="dxa"/>
            <w:vAlign w:val="bottom"/>
          </w:tcPr>
          <w:p>
            <w:pPr>
              <w:spacing w:after="0"/>
              <w:rPr>
                <w:sz w:val="14"/>
                <w:szCs w:val="14"/>
                <w:color w:val="auto"/>
              </w:rPr>
            </w:pPr>
          </w:p>
        </w:tc>
        <w:tc>
          <w:tcPr>
            <w:tcW w:w="232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90"/>
              </w:rPr>
              <w:t>Principal Occupation or Employment</w:t>
            </w:r>
          </w:p>
        </w:tc>
        <w:tc>
          <w:tcPr>
            <w:tcW w:w="264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2320" w:type="dxa"/>
            <w:vAlign w:val="bottom"/>
            <w:tcBorders>
              <w:bottom w:val="single" w:sz="8" w:color="auto"/>
            </w:tcBorders>
            <w:vMerge w:val="continue"/>
          </w:tcPr>
          <w:p>
            <w:pPr>
              <w:spacing w:after="0"/>
              <w:rPr>
                <w:sz w:val="14"/>
                <w:szCs w:val="14"/>
                <w:color w:val="auto"/>
              </w:rPr>
            </w:pPr>
          </w:p>
        </w:tc>
        <w:tc>
          <w:tcPr>
            <w:tcW w:w="2640" w:type="dxa"/>
            <w:vAlign w:val="bottom"/>
            <w:vMerge w:val="continue"/>
          </w:tcPr>
          <w:p>
            <w:pPr>
              <w:spacing w:after="0"/>
              <w:rPr>
                <w:sz w:val="14"/>
                <w:szCs w:val="14"/>
                <w:color w:val="auto"/>
              </w:rPr>
            </w:pPr>
          </w:p>
        </w:tc>
        <w:tc>
          <w:tcPr>
            <w:tcW w:w="5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75"/>
              </w:rPr>
              <w:t>Age</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81"/>
        </w:trPr>
        <w:tc>
          <w:tcPr>
            <w:tcW w:w="23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John S. McKeon</w:t>
            </w:r>
          </w:p>
        </w:tc>
        <w:tc>
          <w:tcPr>
            <w:tcW w:w="8000" w:type="dxa"/>
            <w:vAlign w:val="bottom"/>
            <w:tcBorders>
              <w:top w:val="single" w:sz="8" w:color="CCEEFF"/>
            </w:tcBorders>
            <w:gridSpan w:val="3"/>
            <w:shd w:val="clear" w:color="auto" w:fill="CCEEFF"/>
          </w:tcPr>
          <w:p>
            <w:pPr>
              <w:ind w:left="620"/>
              <w:spacing w:after="0" w:line="182" w:lineRule="exact"/>
              <w:rPr>
                <w:sz w:val="20"/>
                <w:szCs w:val="20"/>
                <w:color w:val="auto"/>
              </w:rPr>
            </w:pPr>
            <w:r>
              <w:rPr>
                <w:rFonts w:ascii="Arial" w:cs="Arial" w:eastAsia="Arial" w:hAnsi="Arial"/>
                <w:sz w:val="18"/>
                <w:szCs w:val="18"/>
                <w:color w:val="auto"/>
                <w:w w:val="98"/>
              </w:rPr>
              <w:t>Chairman of the Board since 2005; Retired; President and Chief Operating Officer of ConAgra</w:t>
            </w:r>
          </w:p>
        </w:tc>
        <w:tc>
          <w:tcPr>
            <w:tcW w:w="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67</w:t>
            </w: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1984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Foods, Inc. Venture Development Group from 2003 to 2005; President and Chief Operating Officer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8"/>
              </w:rPr>
              <w:t>of ConAgra Foods Snack Group (formerly Golden Valley Microwave Foods, Inc.) from 1993 to</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80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w w:val="93"/>
              </w:rPr>
              <w:t>2003; President of McKeon Associates, Inc. (corporate finance consulting) from 1991 to 1993; Vice</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President of Northstar Industries, Inc. from 1976 to 1990.</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spacing w:after="0"/>
              <w:rPr>
                <w:sz w:val="20"/>
                <w:szCs w:val="20"/>
                <w:color w:val="auto"/>
              </w:rPr>
            </w:pPr>
            <w:r>
              <w:rPr>
                <w:rFonts w:ascii="Arial" w:cs="Arial" w:eastAsia="Arial" w:hAnsi="Arial"/>
                <w:sz w:val="18"/>
                <w:szCs w:val="18"/>
                <w:color w:val="auto"/>
              </w:rPr>
              <w:t>Patrick H. Hawkins</w:t>
            </w: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rPr>
              <w:t>Chief Executive Officer since 2011; President since 2010; Business Director — Food and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w w:val="91"/>
              </w:rPr>
              <w:t>Pharmaceuticals from 2009-2010; Business Manager — Food and Co-Extrusion Products from 2007-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rPr>
              <w:t>2009; Sales Representative — Food Ingredients from 2002-2009; various positions with the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rPr>
              <w:t>Company from 1992 to 2002.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Faulconbridge</w:t>
            </w:r>
          </w:p>
        </w:tc>
        <w:tc>
          <w:tcPr>
            <w:tcW w:w="800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President of Karges-Faulconbridge, Inc. (engineering and technical services) since 1996.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30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w w:val="96"/>
              </w:rPr>
              <w:t>Retired; Vice President of Operations of Taylor Corporation from 1985 to 1999; various positions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65</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0" w:type="dxa"/>
            <w:vAlign w:val="bottom"/>
            <w:gridSpan w:val="3"/>
          </w:tcPr>
          <w:p>
            <w:pPr>
              <w:ind w:left="620"/>
              <w:spacing w:after="0"/>
              <w:rPr>
                <w:sz w:val="20"/>
                <w:szCs w:val="20"/>
                <w:color w:val="auto"/>
              </w:rPr>
            </w:pPr>
            <w:r>
              <w:rPr>
                <w:rFonts w:ascii="Arial" w:cs="Arial" w:eastAsia="Arial" w:hAnsi="Arial"/>
                <w:sz w:val="18"/>
                <w:szCs w:val="18"/>
                <w:color w:val="auto"/>
              </w:rPr>
              <w:t>with Taylor Corporation from 1966 to 1985.</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360" w:type="dxa"/>
            <w:vAlign w:val="bottom"/>
            <w:gridSpan w:val="2"/>
          </w:tcPr>
          <w:p>
            <w:pPr>
              <w:ind w:left="3380"/>
              <w:spacing w:after="0"/>
              <w:rPr>
                <w:sz w:val="20"/>
                <w:szCs w:val="20"/>
                <w:color w:val="auto"/>
              </w:rPr>
            </w:pPr>
            <w:r>
              <w:rPr>
                <w:rFonts w:ascii="Arial" w:cs="Arial" w:eastAsia="Arial" w:hAnsi="Arial"/>
                <w:sz w:val="18"/>
                <w:szCs w:val="18"/>
                <w:color w:val="auto"/>
              </w:rPr>
              <w:t>2</w:t>
            </w: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166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0"/>
              </w:rPr>
              <w:t>Principal Occupation or Employment</w:t>
            </w:r>
          </w:p>
        </w:tc>
        <w:tc>
          <w:tcPr>
            <w:tcW w:w="266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Director</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3180" w:type="dxa"/>
            <w:vAlign w:val="bottom"/>
          </w:tcPr>
          <w:p>
            <w:pPr>
              <w:spacing w:after="0"/>
              <w:rPr>
                <w:sz w:val="14"/>
                <w:szCs w:val="14"/>
                <w:color w:val="auto"/>
              </w:rPr>
            </w:pPr>
          </w:p>
        </w:tc>
        <w:tc>
          <w:tcPr>
            <w:tcW w:w="2300" w:type="dxa"/>
            <w:vAlign w:val="bottom"/>
            <w:tcBorders>
              <w:bottom w:val="single" w:sz="8" w:color="auto"/>
            </w:tcBorders>
            <w:vMerge w:val="continue"/>
          </w:tcPr>
          <w:p>
            <w:pPr>
              <w:spacing w:after="0"/>
              <w:rPr>
                <w:sz w:val="14"/>
                <w:szCs w:val="14"/>
                <w:color w:val="auto"/>
              </w:rPr>
            </w:pPr>
          </w:p>
        </w:tc>
        <w:tc>
          <w:tcPr>
            <w:tcW w:w="2660" w:type="dxa"/>
            <w:vAlign w:val="bottom"/>
            <w:vMerge w:val="continue"/>
          </w:tcPr>
          <w:p>
            <w:pPr>
              <w:spacing w:after="0"/>
              <w:rPr>
                <w:sz w:val="14"/>
                <w:szCs w:val="14"/>
                <w:color w:val="auto"/>
              </w:rPr>
            </w:pPr>
          </w:p>
        </w:tc>
        <w:tc>
          <w:tcPr>
            <w:tcW w:w="5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75"/>
              </w:rPr>
              <w:t>Age</w:t>
            </w:r>
          </w:p>
        </w:tc>
        <w:tc>
          <w:tcPr>
            <w:tcW w:w="580" w:type="dxa"/>
            <w:vAlign w:val="bottom"/>
            <w:gridSpan w:val="2"/>
          </w:tcPr>
          <w:p>
            <w:pPr>
              <w:jc w:val="right"/>
              <w:ind w:right="180"/>
              <w:spacing w:after="0" w:line="148" w:lineRule="exact"/>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81"/>
        </w:trPr>
        <w:tc>
          <w:tcPr>
            <w:tcW w:w="21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Daryl I. Skaar</w:t>
            </w:r>
          </w:p>
        </w:tc>
        <w:tc>
          <w:tcPr>
            <w:tcW w:w="8140" w:type="dxa"/>
            <w:vAlign w:val="bottom"/>
            <w:tcBorders>
              <w:top w:val="single" w:sz="8" w:color="CCEEFF"/>
            </w:tcBorders>
            <w:gridSpan w:val="3"/>
            <w:shd w:val="clear" w:color="auto" w:fill="CCEEFF"/>
          </w:tcPr>
          <w:p>
            <w:pPr>
              <w:ind w:left="740"/>
              <w:spacing w:after="0" w:line="182" w:lineRule="exact"/>
              <w:rPr>
                <w:sz w:val="20"/>
                <w:szCs w:val="20"/>
                <w:color w:val="auto"/>
              </w:rPr>
            </w:pPr>
            <w:r>
              <w:rPr>
                <w:rFonts w:ascii="Arial" w:cs="Arial" w:eastAsia="Arial" w:hAnsi="Arial"/>
                <w:sz w:val="18"/>
                <w:szCs w:val="18"/>
                <w:color w:val="auto"/>
                <w:w w:val="94"/>
              </w:rPr>
              <w:t>Retired; Vice President and Chief Procurement Officer of Lucent Technologies from 1997 to 2000;</w:t>
            </w:r>
          </w:p>
        </w:tc>
        <w:tc>
          <w:tcPr>
            <w:tcW w:w="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70</w:t>
            </w:r>
          </w:p>
        </w:tc>
        <w:tc>
          <w:tcPr>
            <w:tcW w:w="3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2001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8"/>
              </w:rPr>
              <w:t>various positions at 3M from 1965 to 1997, most recently as Vice President of Purchasing and</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Packaging Engineering.</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160" w:type="dxa"/>
            <w:vAlign w:val="bottom"/>
            <w:gridSpan w:val="2"/>
          </w:tcPr>
          <w:p>
            <w:pPr>
              <w:spacing w:after="0"/>
              <w:rPr>
                <w:sz w:val="20"/>
                <w:szCs w:val="20"/>
                <w:color w:val="auto"/>
              </w:rPr>
            </w:pPr>
            <w:r>
              <w:rPr>
                <w:rFonts w:ascii="Arial" w:cs="Arial" w:eastAsia="Arial" w:hAnsi="Arial"/>
                <w:sz w:val="18"/>
                <w:szCs w:val="18"/>
                <w:color w:val="auto"/>
              </w:rPr>
              <w:t>James T. Thompson</w:t>
            </w:r>
          </w:p>
        </w:tc>
        <w:tc>
          <w:tcPr>
            <w:tcW w:w="8140" w:type="dxa"/>
            <w:vAlign w:val="bottom"/>
            <w:gridSpan w:val="3"/>
          </w:tcPr>
          <w:p>
            <w:pPr>
              <w:ind w:left="740"/>
              <w:spacing w:after="0"/>
              <w:rPr>
                <w:sz w:val="20"/>
                <w:szCs w:val="20"/>
                <w:color w:val="auto"/>
              </w:rPr>
            </w:pPr>
            <w:r>
              <w:rPr>
                <w:rFonts w:ascii="Arial" w:cs="Arial" w:eastAsia="Arial" w:hAnsi="Arial"/>
                <w:sz w:val="18"/>
                <w:szCs w:val="18"/>
                <w:color w:val="auto"/>
                <w:w w:val="93"/>
              </w:rPr>
              <w:t>Retired; Executive Vice President—Commercial of The Mosaic Company from 2004 to 2007; board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61</w:t>
            </w: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140" w:type="dxa"/>
            <w:vAlign w:val="bottom"/>
            <w:gridSpan w:val="3"/>
          </w:tcPr>
          <w:p>
            <w:pPr>
              <w:ind w:left="740"/>
              <w:spacing w:after="0"/>
              <w:rPr>
                <w:sz w:val="20"/>
                <w:szCs w:val="20"/>
                <w:color w:val="auto"/>
              </w:rPr>
            </w:pPr>
            <w:r>
              <w:rPr>
                <w:rFonts w:ascii="Arial" w:cs="Arial" w:eastAsia="Arial" w:hAnsi="Arial"/>
                <w:sz w:val="18"/>
                <w:szCs w:val="18"/>
                <w:color w:val="auto"/>
                <w:w w:val="94"/>
              </w:rPr>
              <w:t>member, Sims Metal Management since 2009; various positions at Cargill, Inc. from 1974 to 2004,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140" w:type="dxa"/>
            <w:vAlign w:val="bottom"/>
            <w:gridSpan w:val="3"/>
          </w:tcPr>
          <w:p>
            <w:pPr>
              <w:ind w:left="740"/>
              <w:spacing w:after="0"/>
              <w:rPr>
                <w:sz w:val="20"/>
                <w:szCs w:val="20"/>
                <w:color w:val="auto"/>
              </w:rPr>
            </w:pPr>
            <w:r>
              <w:rPr>
                <w:rFonts w:ascii="Arial" w:cs="Arial" w:eastAsia="Arial" w:hAnsi="Arial"/>
                <w:sz w:val="18"/>
                <w:szCs w:val="18"/>
                <w:color w:val="auto"/>
              </w:rPr>
              <w:t>most recently as President of Cargill Steel from 1996 to 2004.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L. Wright</w:t>
            </w: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2"/>
              </w:rPr>
              <w:t>G&amp;K Services, Inc. – Chief Financial Officer since 1999, Executive Vice President and Director since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5"/>
              </w:rPr>
              <w:t>May 2009, Senior Vice President from 2004 to 2009, Treasurer and Secretary from 1999 to 2003;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2"/>
              </w:rPr>
              <w:t>BMC Industries, Inc. – Treasurer from 1998 to 1999, Controller from 1996 to 1998; various positions</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93"/>
              </w:rPr>
              <w:t>at Employee Benefit Plans, Inc. from 1993 to 1996, most recently as Vice President and Treasurer;</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814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employed by Arthur Andersen &amp; Co. from 1984 to 1993.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executive officers, or director nominees.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 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62" w:lineRule="exact"/>
        <w:rPr>
          <w:sz w:val="20"/>
          <w:szCs w:val="20"/>
          <w:color w:val="auto"/>
        </w:rPr>
      </w:pPr>
    </w:p>
    <w:p>
      <w:pPr>
        <w:ind w:left="660" w:right="4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Mr. McKeon </w:t>
      </w:r>
      <w:r>
        <w:rPr>
          <w:rFonts w:ascii="Arial" w:cs="Arial" w:eastAsia="Arial" w:hAnsi="Arial"/>
          <w:sz w:val="18"/>
          <w:szCs w:val="18"/>
          <w:color w:val="auto"/>
        </w:rPr>
        <w:t>has been our Chairman of the Board since 2005 and has extensive experience in management, manufacturing and corporate finance, having</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and Chief Operating Officer of ConAgra Foods, Inc. Venture Development Group. His knowledge of our Company and its business is also valuable in formulating and executing our business plans and growth strategies.</w:t>
      </w:r>
    </w:p>
    <w:p>
      <w:pPr>
        <w:spacing w:after="0" w:line="59" w:lineRule="exact"/>
        <w:rPr>
          <w:rFonts w:ascii="Arial" w:cs="Arial" w:eastAsia="Arial" w:hAnsi="Arial"/>
          <w:sz w:val="18"/>
          <w:szCs w:val="18"/>
          <w:color w:val="auto"/>
        </w:rPr>
      </w:pPr>
    </w:p>
    <w:p>
      <w:pPr>
        <w:ind w:left="660" w:right="600" w:hanging="206"/>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Mr. Hawkins </w:t>
      </w:r>
      <w:r>
        <w:rPr>
          <w:rFonts w:ascii="Arial" w:cs="Arial" w:eastAsia="Arial" w:hAnsi="Arial"/>
          <w:sz w:val="16"/>
          <w:szCs w:val="16"/>
          <w:color w:val="auto"/>
        </w:rPr>
        <w:t>was appointed as our Chief Executive Officer in 2011. Mr. Hawkins has been with the Company for nearly 20 years, giving him an</w:t>
      </w:r>
      <w:r>
        <w:rPr>
          <w:rFonts w:ascii="Arial" w:cs="Arial" w:eastAsia="Arial" w:hAnsi="Arial"/>
          <w:sz w:val="16"/>
          <w:szCs w:val="16"/>
          <w:i w:val="1"/>
          <w:iCs w:val="1"/>
          <w:color w:val="auto"/>
        </w:rPr>
        <w:t xml:space="preserve"> </w:t>
      </w:r>
      <w:r>
        <w:rPr>
          <w:rFonts w:ascii="Arial" w:cs="Arial" w:eastAsia="Arial" w:hAnsi="Arial"/>
          <w:sz w:val="16"/>
          <w:szCs w:val="16"/>
          <w:color w:val="auto"/>
        </w:rPr>
        <w:t>intimate knowledge of our Company and its business and a deep passion for our Company’s continued success.</w:t>
      </w:r>
    </w:p>
    <w:p>
      <w:pPr>
        <w:spacing w:after="0" w:line="4" w:lineRule="exact"/>
        <w:rPr>
          <w:rFonts w:ascii="Arial" w:cs="Arial" w:eastAsia="Arial" w:hAnsi="Arial"/>
          <w:sz w:val="16"/>
          <w:szCs w:val="16"/>
          <w:color w:val="auto"/>
        </w:rPr>
      </w:pPr>
    </w:p>
    <w:p>
      <w:pPr>
        <w:jc w:val="both"/>
        <w:ind w:left="660" w:right="280" w:hanging="206"/>
        <w:spacing w:after="0" w:line="357"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Mr. Faulconbridge </w:t>
      </w:r>
      <w:r>
        <w:rPr>
          <w:rFonts w:ascii="Arial" w:cs="Arial" w:eastAsia="Arial" w:hAnsi="Arial"/>
          <w:sz w:val="15"/>
          <w:szCs w:val="15"/>
          <w:color w:val="auto"/>
        </w:rPr>
        <w:t>is a principal of Karges-Faulconbridge, Inc., an engineering and technical services firm that services a broad variety of industries,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the ethanol industry. His background provides the Company with technical expertise and insight into ethanol and other industries we serve.</w:t>
      </w:r>
    </w:p>
    <w:p>
      <w:pPr>
        <w:ind w:left="660" w:right="340" w:hanging="206"/>
        <w:spacing w:after="0" w:line="33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Mr. Jergenson </w:t>
      </w:r>
      <w:r>
        <w:rPr>
          <w:rFonts w:ascii="Arial" w:cs="Arial" w:eastAsia="Arial" w:hAnsi="Arial"/>
          <w:sz w:val="16"/>
          <w:szCs w:val="16"/>
          <w:color w:val="auto"/>
        </w:rPr>
        <w:t>has been on our Board for 16 years. His operations management experience with Taylor Corporation, one of the largest privately held</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in the United States, provides valuable perspective and insight as our Company seeks and implements growth opportunities.</w:t>
      </w:r>
    </w:p>
    <w:p>
      <w:pPr>
        <w:spacing w:after="0" w:line="4" w:lineRule="exact"/>
        <w:rPr>
          <w:rFonts w:ascii="Arial" w:cs="Arial" w:eastAsia="Arial" w:hAnsi="Arial"/>
          <w:sz w:val="16"/>
          <w:szCs w:val="16"/>
          <w:color w:val="auto"/>
        </w:rPr>
      </w:pPr>
    </w:p>
    <w:p>
      <w:pPr>
        <w:ind w:left="660" w:right="60" w:hanging="20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Mr. Skaar </w:t>
      </w:r>
      <w:r>
        <w:rPr>
          <w:rFonts w:ascii="Arial" w:cs="Arial" w:eastAsia="Arial" w:hAnsi="Arial"/>
          <w:sz w:val="18"/>
          <w:szCs w:val="18"/>
          <w:color w:val="auto"/>
        </w:rPr>
        <w:t>has extensive experience in purchasing and procurement for large public companies, having served as Vice President and Chief Procurement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at Lucent Technologies and Vice President of Purchasing and Packing Engineering at 3M. This experience is valuable given the large number of products we must buy to operate our business.</w:t>
      </w:r>
    </w:p>
    <w:p>
      <w:pPr>
        <w:spacing w:after="0" w:line="59" w:lineRule="exact"/>
        <w:rPr>
          <w:rFonts w:ascii="Arial" w:cs="Arial" w:eastAsia="Arial" w:hAnsi="Arial"/>
          <w:sz w:val="18"/>
          <w:szCs w:val="18"/>
          <w:color w:val="auto"/>
        </w:rPr>
      </w:pPr>
    </w:p>
    <w:p>
      <w:pPr>
        <w:ind w:left="660" w:right="300" w:hanging="206"/>
        <w:spacing w:after="0" w:line="335" w:lineRule="auto"/>
        <w:tabs>
          <w:tab w:leader="none" w:pos="66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Mr. Thompson </w:t>
      </w:r>
      <w:r>
        <w:rPr>
          <w:rFonts w:ascii="Arial" w:cs="Arial" w:eastAsia="Arial" w:hAnsi="Arial"/>
          <w:sz w:val="15"/>
          <w:szCs w:val="15"/>
          <w:color w:val="auto"/>
        </w:rPr>
        <w:t>has experience with major manufacturing and commodity companies having served 30 years at Cargill, Inc., including eight years as</w:t>
      </w:r>
      <w:r>
        <w:rPr>
          <w:rFonts w:ascii="Arial" w:cs="Arial" w:eastAsia="Arial" w:hAnsi="Arial"/>
          <w:sz w:val="15"/>
          <w:szCs w:val="15"/>
          <w:i w:val="1"/>
          <w:iCs w:val="1"/>
          <w:color w:val="auto"/>
        </w:rPr>
        <w:t xml:space="preserve"> </w:t>
      </w:r>
      <w:r>
        <w:rPr>
          <w:rFonts w:ascii="Arial" w:cs="Arial" w:eastAsia="Arial" w:hAnsi="Arial"/>
          <w:sz w:val="15"/>
          <w:szCs w:val="15"/>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3" w:right="239" w:bottom="1440" w:gutter="0" w:footer="0" w:header="0"/>
        </w:sectPr>
      </w:pPr>
    </w:p>
    <w:bookmarkStart w:id="5" w:name="page6"/>
    <w:bookmarkEnd w:id="5"/>
    <w:p>
      <w:pPr>
        <w:ind w:left="660" w:right="500" w:hanging="206"/>
        <w:spacing w:after="0" w:line="306"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Mr. Wright </w:t>
      </w:r>
      <w:r>
        <w:rPr>
          <w:rFonts w:ascii="Arial" w:cs="Arial" w:eastAsia="Arial" w:hAnsi="Arial"/>
          <w:sz w:val="16"/>
          <w:szCs w:val="16"/>
          <w:color w:val="auto"/>
        </w:rPr>
        <w:t>has extensive public company finance and audit experience, serving as Chief Financial Officer of G&amp;K Services, Inc. and having been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employed by Arthur Andersen &amp; Co. He also has public company board experience, serving as a director of G&amp;K Services, Inc. His background provides us with valuable financial and accounting experience as well as public company board experience.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Board of Directors has determined that, of the director nominees, each of Messrs. Faulconbridge, Jergenson, McKeon, Skaar, Thompson and Wright are “Independent Directors” as that term is defined under the applicable listing standards of the NASDAQ Stock Market. Accordingly, a majority of our directors are independent. In connection with its determination of independence, our Board of Directors determined that Mr. Wright’s director and officer positions with G&amp;K Services, Inc., which is a customer of and supplier of services to the Company, did not constitute a relationship that would interfere with Mr. Wright’s exercise of independent judgment in carrying out the responsibilities of a director of our Company. All of our transactions with G&amp;K Services, Inc. during the most recent completed fiscal year were conducted on arms-length terms in the ordinary course of business, and the amount of the transactions represents less than one-tenth of one percent of the annual revenues of both G&amp;K Services, Inc. and our Company.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Board of Directors held five meetings during the fiscal year ended April 1, 2012, hereinafter referred to as “fiscal 2012.” All directors attended at least 75% of the meetings of our Board of Directors and the committees on which they served. All directors attended our Annual Meeting of Shareholders in 2011. Our Board of Directors encourages, but does not require, director attendance at annual meetings of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 of the Board of Directors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Audit Committee, which consists of Jeffrey L. Wright (Chair), James A. Faulconbridge,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2012.</w:t>
      </w:r>
    </w:p>
    <w:p>
      <w:pPr>
        <w:spacing w:after="0" w:line="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are “audit committee financial experts,” as the term is defined by regulations promulgated by the Securities and Exchange Commission (SEC).</w:t>
      </w:r>
    </w:p>
    <w:p>
      <w:pPr>
        <w:spacing w:after="0" w:line="62"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responsibilities of the Audit Committee are set forth in the Audit Committee Charter. A current copy of the charter is available on our website (www.hawkinsinc.com).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Compensation Committee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Compensation Committee, which consists of James T. Thompson (Chair), Duane M. Jergenson, Daryl I. Skaar, and Jeffrey L. Wright, is responsible for establishing compensation policies for our Company and for reviewing and setting compensation for our executive officers. The Compensation Committee held five meetings during fiscal 2012.</w:t>
      </w:r>
    </w:p>
    <w:p>
      <w:pPr>
        <w:spacing w:after="0" w:line="59"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 .</w:t>
      </w:r>
    </w:p>
    <w:p>
      <w:pPr>
        <w:spacing w:after="0" w:line="2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Compensation Committee retained independent compensation consultant McLagan, formerly Amalfi Consulting, to provide the Compensation Committee with independent advice regarding industry practices and peer company compensation programs for fiscal 2012. No member of the Board of Directors or any executive officer has any affiliation with McLagan. McLagan provides no other services to the Company, and has reported directly to the chair of the Compensation Committee. McLagan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2012. In determining the competitiveness of such compensation, the Compensation Committee reviewed survey data prepared by McLagan.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39"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2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responsibilities of the Compensation Committee are set forth in the Compensation Committee Charter. A current copy of the charter is available on our website (www.hawkinsinc.com).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and Nominating Committee</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2012. The responsibilities of the Governance and Nominating Committee are set forth in the Governance and Nominating Committee Charter. A current copy of the charter is available on our website (www.hawkinsinc.com).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Process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7" w:name="page8"/>
    <w:bookmarkEnd w:id="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risk oversight, and risk management is a factor the Board and the Governance and Nominating Committee consider when determining which directors serve on the Audit Committee. Accordingly, management has reported to the Audit Committee on various risk management matters during fiscal 2012.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Directors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Shareholders can contact the full Board of Directors, the independent directors as a group or any of the individual directors by writing to our Secretary at 3100 East Hennepin Avenue, Minneapolis, Minnesota 55413. All communications will be compiled by the Secretary and submitted to the addressees on a periodic basis.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Audit Committee has (i) reviewed and discussed our audited financial statements for fiscal 2012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3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Based on the review and discussions described above, the Audit Committee recommended to our Board of Directors that our audited financial statements be included in our Annual Report on Form 10-K for fiscal 2012 for filing with the SEC.</w:t>
      </w:r>
    </w:p>
    <w:p>
      <w:pPr>
        <w:spacing w:after="0" w:line="51" w:lineRule="exact"/>
        <w:rPr>
          <w:sz w:val="20"/>
          <w:szCs w:val="20"/>
          <w:color w:val="auto"/>
        </w:rPr>
      </w:pPr>
    </w:p>
    <w:p>
      <w:pPr>
        <w:ind w:left="3080"/>
        <w:spacing w:after="0"/>
        <w:tabs>
          <w:tab w:leader="none" w:pos="5200" w:val="left"/>
          <w:tab w:leader="none" w:pos="7320" w:val="left"/>
        </w:tabs>
        <w:rPr>
          <w:sz w:val="20"/>
          <w:szCs w:val="20"/>
          <w:color w:val="auto"/>
        </w:rPr>
      </w:pPr>
      <w:r>
        <w:rPr>
          <w:rFonts w:ascii="Arial" w:cs="Arial" w:eastAsia="Arial" w:hAnsi="Arial"/>
          <w:sz w:val="18"/>
          <w:szCs w:val="18"/>
          <w:i w:val="1"/>
          <w:iCs w:val="1"/>
          <w:color w:val="auto"/>
        </w:rPr>
        <w:t>Jeffrey L. Wright (Chair)</w:t>
      </w:r>
      <w:r>
        <w:rPr>
          <w:sz w:val="20"/>
          <w:szCs w:val="20"/>
          <w:color w:val="auto"/>
        </w:rPr>
        <w:tab/>
      </w:r>
      <w:r>
        <w:rPr>
          <w:rFonts w:ascii="Arial" w:cs="Arial" w:eastAsia="Arial" w:hAnsi="Arial"/>
          <w:sz w:val="18"/>
          <w:szCs w:val="18"/>
          <w:i w:val="1"/>
          <w:iCs w:val="1"/>
          <w:color w:val="auto"/>
        </w:rPr>
        <w:t>James A. Faulconbridge</w:t>
      </w:r>
      <w:r>
        <w:rPr>
          <w:sz w:val="20"/>
          <w:szCs w:val="20"/>
          <w:color w:val="auto"/>
        </w:rPr>
        <w:tab/>
      </w:r>
      <w:r>
        <w:rPr>
          <w:rFonts w:ascii="Arial" w:cs="Arial" w:eastAsia="Arial" w:hAnsi="Arial"/>
          <w:sz w:val="16"/>
          <w:szCs w:val="16"/>
          <w:i w:val="1"/>
          <w:iCs w:val="1"/>
          <w:color w:val="auto"/>
        </w:rPr>
        <w:t>Daryl I. Skaar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Audit Committee of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REGISTERED PUBLIC ACCOUNTING FIRM’S FEES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aggregate fees billed to us by our independent registered public accounting firm, KPMG LLP, for services rendered during fiscal 2012 and fiscal 2011. The Audit Committee pre-approved 100% of the services described below.</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89"/>
              </w:rPr>
              <w:t>Description of Fees</w:t>
            </w:r>
          </w:p>
        </w:tc>
        <w:tc>
          <w:tcPr>
            <w:tcW w:w="72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Fiscal 2012</w:t>
            </w:r>
          </w:p>
        </w:tc>
        <w:tc>
          <w:tcPr>
            <w:tcW w:w="62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Fiscal 2011</w:t>
            </w:r>
          </w:p>
        </w:tc>
        <w:tc>
          <w:tcPr>
            <w:tcW w:w="0" w:type="dxa"/>
            <w:vAlign w:val="bottom"/>
          </w:tcPr>
          <w:p>
            <w:pPr>
              <w:spacing w:after="0"/>
              <w:rPr>
                <w:sz w:val="1"/>
                <w:szCs w:val="1"/>
                <w:color w:val="auto"/>
              </w:rPr>
            </w:pPr>
          </w:p>
        </w:tc>
      </w:tr>
      <w:tr>
        <w:trPr>
          <w:trHeight w:val="168"/>
        </w:trPr>
        <w:tc>
          <w:tcPr>
            <w:tcW w:w="1180" w:type="dxa"/>
            <w:vAlign w:val="bottom"/>
            <w:tcBorders>
              <w:bottom w:val="single" w:sz="8" w:color="auto"/>
            </w:tcBorders>
            <w:vMerge w:val="continue"/>
          </w:tcPr>
          <w:p>
            <w:pPr>
              <w:spacing w:after="0"/>
              <w:rPr>
                <w:sz w:val="14"/>
                <w:szCs w:val="14"/>
                <w:color w:val="auto"/>
              </w:rPr>
            </w:pPr>
          </w:p>
        </w:tc>
        <w:tc>
          <w:tcPr>
            <w:tcW w:w="7260" w:type="dxa"/>
            <w:vAlign w:val="bottom"/>
          </w:tcPr>
          <w:p>
            <w:pPr>
              <w:spacing w:after="0"/>
              <w:rPr>
                <w:sz w:val="14"/>
                <w:szCs w:val="14"/>
                <w:color w:val="auto"/>
              </w:rPr>
            </w:pPr>
          </w:p>
        </w:tc>
        <w:tc>
          <w:tcPr>
            <w:tcW w:w="68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7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03"/>
        </w:trPr>
        <w:tc>
          <w:tcPr>
            <w:tcW w:w="1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7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$246,000</w:t>
            </w: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$267,300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Tax Fees (a)</w:t>
            </w:r>
          </w:p>
        </w:tc>
        <w:tc>
          <w:tcPr>
            <w:tcW w:w="7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100,880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tax preparation and consulting fees.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discussion and analysis describes our compensation objectives and policies and the compensation awarded to the following executive officers (our “named executive officers”) during fiscal 2012:</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Patrick H. Hawkins, Chief Executive Officer and President;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Kathleen P. Pepski, Vice President, Chief Financial Officer and Treasurer;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Richard G. Erstad, Vice President, General Counsel and Secretary;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Keenan A. Paulson, Vice President – Water Treatment Group;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John R. Sevenich, Vice President – Industrial Group.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significant incentives relative to both superior current business results as well as personal performance, and a long-term incentive plan that motivates long-term performance and aligns business objectives with the interests of our shareholders. During fiscal 2012, our compensation committee made no significant changes to its executive compensation policies or to the structure of our executive compensation program, having taken into account, among other things, the fact that the holders of over 97% of the shares voted at our 2011 annual meeting of shareholders approved, on an advisory basis, the compensation of our named executive officers as disclosed in the proxy statement for that annual meeting.</w:t>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9" w:name="page10"/>
    <w:bookmarkEnd w:id="9"/>
    <w:p>
      <w:pPr>
        <w:ind w:right="10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overall corporate profitability in fiscal 2012 increased from fiscal 2011 levels. Pre-tax income from continuing operations was $35.3 million for fiscal 2012, as compared to $32.3 million for fiscal 2011. As a result, our named executive officers received above-target payouts under the corporate performance measures under our annual non-equity incentive compensation arrangement and earned above the targeted number of restricted shares under the performance-based restricted stock units granted for fiscal 2012 as described below. The corporate performance measures for fiscal 2012 were consolidated net income before taxes, which includes discontinued operations.</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Gross profit for our Industrial segment was $40.4 million for fiscal 2012, as compared to $36.9 million for fiscal 2011. Gross profit for our Water Treatment segment was $25.5 million for fiscal 2012, as compared to $25.0 million for fiscal 2011. While gross profits were up over the prior year for both the Industrial and Water Treatment segments, the Compensation Committee set an operating measure of business unit profitability as the target for the business unit performance portion of the non-equity incentive compensation arrangement and the results of that operating measure fell below target. As a result, our Vice President—Water Treatment Group and Vice President—Industrial Group received below-target payouts under the business unit performance measures under our annual non-equity incentive compensation arrangement.</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Determining Executive Compensation for Fiscal 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 for the last fiscal year consisted of the following elements:</w:t>
      </w:r>
    </w:p>
    <w:p>
      <w:pPr>
        <w:spacing w:after="0" w:line="90"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non-equity incentive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contributions to long-term benefit plans,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benefits.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Compensation Committee does not benchmark the total compensation or any element of compensation to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and information on compensation programs of companies offering products similar to ours and from companies of comparable size to us that the Compensation Committee used in determining the compensation received by our executives during fiscal 2012. McLagan provided no other services to the Company in fiscal 2012. The Compensation Committee did not select the companies that McLagan included in its sample, although it did have input into the criteria used by McLagan in the selection process.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0" w:name="page11"/>
    <w:bookmarkEnd w:id="10"/>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Elements of Executive Officer Compensation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Base Salary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connection with his promotion to the position of Chief Executive Officer, Mr. Hawkins received a 16% increase in base salary. In June 2011, the Compensation Committee approved increases in the base salaries of the other named executive officers between 0% and 4.3% based on its evaluation of the competitive information available to it. The base salaries paid to our executive officers during the last three completed fiscal years are listed in the Summary Compensation Table below.</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Annual Non-Equity Incentive Compensation</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2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5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fiscal 2012, the Compensation Committee designated financial factors, including a corporate financial performance measure and, for the executive in charge of such unit, business unit performance measures, as well as individual objectives for determining whether a cash incentive payment would be paid under the arrangement and in what amount.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annual cash incentive payment opportunities for our named executive officers were based on the following percentages of base salary for fiscal 2012:</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5"/>
              </w:rPr>
              <w:t>Threshold</w:t>
            </w:r>
          </w:p>
        </w:tc>
        <w:tc>
          <w:tcPr>
            <w:tcW w:w="234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8"/>
              </w:rPr>
              <w:t>Target</w:t>
            </w: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040" w:type="dxa"/>
            <w:vAlign w:val="bottom"/>
            <w:vMerge w:val="restart"/>
          </w:tcPr>
          <w:p>
            <w:pPr>
              <w:spacing w:after="0"/>
              <w:rPr>
                <w:sz w:val="12"/>
                <w:szCs w:val="12"/>
                <w:color w:val="auto"/>
              </w:rPr>
            </w:pPr>
          </w:p>
        </w:tc>
        <w:tc>
          <w:tcPr>
            <w:tcW w:w="23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234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88"/>
              </w:rPr>
              <w:t>Annual Cash</w:t>
            </w: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Annual Cash</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vMerge w:val="continue"/>
          </w:tcPr>
          <w:p>
            <w:pPr>
              <w:spacing w:after="0"/>
              <w:rPr>
                <w:sz w:val="12"/>
                <w:szCs w:val="12"/>
                <w:color w:val="auto"/>
              </w:rPr>
            </w:pPr>
          </w:p>
        </w:tc>
        <w:tc>
          <w:tcPr>
            <w:tcW w:w="4040" w:type="dxa"/>
            <w:vAlign w:val="bottom"/>
            <w:vMerge w:val="continue"/>
          </w:tcPr>
          <w:p>
            <w:pPr>
              <w:spacing w:after="0"/>
              <w:rPr>
                <w:sz w:val="12"/>
                <w:szCs w:val="12"/>
                <w:color w:val="auto"/>
              </w:rPr>
            </w:pPr>
          </w:p>
        </w:tc>
        <w:tc>
          <w:tcPr>
            <w:tcW w:w="2340" w:type="dxa"/>
            <w:vAlign w:val="bottom"/>
            <w:gridSpan w:val="2"/>
          </w:tcPr>
          <w:p>
            <w:pPr>
              <w:jc w:val="center"/>
              <w:ind w:right="1260"/>
              <w:spacing w:after="0" w:line="148" w:lineRule="exact"/>
              <w:rPr>
                <w:sz w:val="20"/>
                <w:szCs w:val="20"/>
                <w:color w:val="auto"/>
              </w:rPr>
            </w:pPr>
            <w:r>
              <w:rPr>
                <w:rFonts w:ascii="Arial" w:cs="Arial" w:eastAsia="Arial" w:hAnsi="Arial"/>
                <w:sz w:val="14"/>
                <w:szCs w:val="14"/>
                <w:b w:val="1"/>
                <w:bCs w:val="1"/>
                <w:color w:val="auto"/>
                <w:w w:val="87"/>
              </w:rPr>
              <w:t>Incentive Payment</w:t>
            </w:r>
          </w:p>
        </w:tc>
        <w:tc>
          <w:tcPr>
            <w:tcW w:w="2340" w:type="dxa"/>
            <w:vAlign w:val="bottom"/>
            <w:gridSpan w:val="2"/>
          </w:tcPr>
          <w:p>
            <w:pPr>
              <w:jc w:val="center"/>
              <w:ind w:right="1260"/>
              <w:spacing w:after="0" w:line="148" w:lineRule="exact"/>
              <w:rPr>
                <w:sz w:val="20"/>
                <w:szCs w:val="20"/>
                <w:color w:val="auto"/>
              </w:rPr>
            </w:pPr>
            <w:r>
              <w:rPr>
                <w:rFonts w:ascii="Arial" w:cs="Arial" w:eastAsia="Arial" w:hAnsi="Arial"/>
                <w:sz w:val="14"/>
                <w:szCs w:val="14"/>
                <w:b w:val="1"/>
                <w:bCs w:val="1"/>
                <w:color w:val="auto"/>
                <w:w w:val="87"/>
              </w:rPr>
              <w:t>Incentive Payment</w:t>
            </w:r>
          </w:p>
        </w:tc>
        <w:tc>
          <w:tcPr>
            <w:tcW w:w="12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Incentive Payment</w:t>
            </w:r>
          </w:p>
        </w:tc>
        <w:tc>
          <w:tcPr>
            <w:tcW w:w="0" w:type="dxa"/>
            <w:vAlign w:val="bottom"/>
          </w:tcPr>
          <w:p>
            <w:pPr>
              <w:spacing w:after="0"/>
              <w:rPr>
                <w:sz w:val="1"/>
                <w:szCs w:val="1"/>
                <w:color w:val="auto"/>
              </w:rPr>
            </w:pPr>
          </w:p>
        </w:tc>
      </w:tr>
      <w:tr>
        <w:trPr>
          <w:trHeight w:val="20"/>
        </w:trPr>
        <w:tc>
          <w:tcPr>
            <w:tcW w:w="4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080" w:type="dxa"/>
            <w:vAlign w:val="bottom"/>
            <w:shd w:val="clear" w:color="auto" w:fill="000000"/>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vMerge w:val="continue"/>
            <w:shd w:val="clear" w:color="auto" w:fill="CCEEFF"/>
          </w:tcPr>
          <w:p>
            <w:pPr>
              <w:spacing w:after="0"/>
              <w:rPr>
                <w:sz w:val="17"/>
                <w:szCs w:val="17"/>
                <w:color w:val="auto"/>
              </w:rPr>
            </w:pPr>
          </w:p>
        </w:tc>
        <w:tc>
          <w:tcPr>
            <w:tcW w:w="2340" w:type="dxa"/>
            <w:vAlign w:val="bottom"/>
            <w:gridSpan w:val="2"/>
            <w:shd w:val="clear" w:color="auto" w:fill="CCEEFF"/>
          </w:tcPr>
          <w:p>
            <w:pPr>
              <w:jc w:val="right"/>
              <w:ind w:right="1100"/>
              <w:spacing w:after="0" w:line="203" w:lineRule="exact"/>
              <w:rPr>
                <w:sz w:val="20"/>
                <w:szCs w:val="20"/>
                <w:color w:val="auto"/>
              </w:rPr>
            </w:pPr>
            <w:r>
              <w:rPr>
                <w:rFonts w:ascii="Arial" w:cs="Arial" w:eastAsia="Arial" w:hAnsi="Arial"/>
                <w:sz w:val="18"/>
                <w:szCs w:val="18"/>
                <w:color w:val="auto"/>
              </w:rPr>
              <w:t>30%</w:t>
            </w:r>
          </w:p>
        </w:tc>
        <w:tc>
          <w:tcPr>
            <w:tcW w:w="2340" w:type="dxa"/>
            <w:vAlign w:val="bottom"/>
            <w:gridSpan w:val="2"/>
            <w:shd w:val="clear" w:color="auto" w:fill="CCEEFF"/>
          </w:tcPr>
          <w:p>
            <w:pPr>
              <w:jc w:val="right"/>
              <w:ind w:right="1120"/>
              <w:spacing w:after="0" w:line="203" w:lineRule="exact"/>
              <w:rPr>
                <w:sz w:val="20"/>
                <w:szCs w:val="20"/>
                <w:color w:val="auto"/>
              </w:rPr>
            </w:pPr>
            <w:r>
              <w:rPr>
                <w:rFonts w:ascii="Arial" w:cs="Arial" w:eastAsia="Arial" w:hAnsi="Arial"/>
                <w:sz w:val="18"/>
                <w:szCs w:val="18"/>
                <w:color w:val="auto"/>
              </w:rPr>
              <w:t>60%</w:t>
            </w:r>
          </w:p>
        </w:tc>
        <w:tc>
          <w:tcPr>
            <w:tcW w:w="12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340" w:type="dxa"/>
            <w:vAlign w:val="bottom"/>
            <w:gridSpan w:val="2"/>
          </w:tcPr>
          <w:p>
            <w:pPr>
              <w:jc w:val="right"/>
              <w:ind w:right="1100"/>
              <w:spacing w:after="0"/>
              <w:rPr>
                <w:sz w:val="20"/>
                <w:szCs w:val="20"/>
                <w:color w:val="auto"/>
              </w:rPr>
            </w:pPr>
            <w:r>
              <w:rPr>
                <w:rFonts w:ascii="Arial" w:cs="Arial" w:eastAsia="Arial" w:hAnsi="Arial"/>
                <w:sz w:val="18"/>
                <w:szCs w:val="18"/>
                <w:color w:val="auto"/>
              </w:rPr>
              <w:t>20%</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23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15%</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Vice President—Water Treatment Group</w:t>
            </w:r>
          </w:p>
        </w:tc>
        <w:tc>
          <w:tcPr>
            <w:tcW w:w="2340" w:type="dxa"/>
            <w:vAlign w:val="bottom"/>
            <w:gridSpan w:val="2"/>
          </w:tcPr>
          <w:p>
            <w:pPr>
              <w:jc w:val="right"/>
              <w:ind w:right="1100"/>
              <w:spacing w:after="0"/>
              <w:rPr>
                <w:sz w:val="20"/>
                <w:szCs w:val="20"/>
                <w:color w:val="auto"/>
              </w:rPr>
            </w:pPr>
            <w:r>
              <w:rPr>
                <w:rFonts w:ascii="Arial" w:cs="Arial" w:eastAsia="Arial" w:hAnsi="Arial"/>
                <w:sz w:val="18"/>
                <w:szCs w:val="18"/>
                <w:color w:val="auto"/>
              </w:rPr>
              <w:t>20%</w:t>
            </w:r>
          </w:p>
        </w:tc>
        <w:tc>
          <w:tcPr>
            <w:tcW w:w="2340" w:type="dxa"/>
            <w:vAlign w:val="bottom"/>
            <w:gridSpan w:val="2"/>
          </w:tcPr>
          <w:p>
            <w:pPr>
              <w:jc w:val="right"/>
              <w:ind w:right="1120"/>
              <w:spacing w:after="0"/>
              <w:rPr>
                <w:sz w:val="20"/>
                <w:szCs w:val="20"/>
                <w:color w:val="auto"/>
              </w:rPr>
            </w:pPr>
            <w:r>
              <w:rPr>
                <w:rFonts w:ascii="Arial" w:cs="Arial" w:eastAsia="Arial" w:hAnsi="Arial"/>
                <w:sz w:val="18"/>
                <w:szCs w:val="18"/>
                <w:color w:val="auto"/>
              </w:rPr>
              <w:t>40%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President—Industrial Group</w:t>
            </w:r>
          </w:p>
        </w:tc>
        <w:tc>
          <w:tcPr>
            <w:tcW w:w="23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20%</w:t>
            </w:r>
          </w:p>
        </w:tc>
        <w:tc>
          <w:tcPr>
            <w:tcW w:w="23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40%</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Compensation Committee established the targets for each of the executive officers based on the relative scope of his or her responsibilities and resulting ability to impact the Company’s performance. The Compensation Committee established a higher target opportunity for the Chief Executive Officer to reflect his significant responsibilities regarding the creation and implementation of long-term strategic direction for the entire Company.</w:t>
      </w:r>
    </w:p>
    <w:p>
      <w:pPr>
        <w:spacing w:after="0" w:line="2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Compensation Committee determined that 80% of the annual cash incentive payment opportunities for our Chief Executive Officer, Chief Financial Officer and General Counsel for fiscal 2012 should be based upon Company-wide performance against the income targets to reflect their significant Company-wide responsibilities and resulting ability to impact the overall success of the Company. In addition, the Compensation Committee determined that 20% should be based upon meeting their individual objectives.</w:t>
      </w:r>
    </w:p>
    <w:p>
      <w:pPr>
        <w:spacing w:after="0" w:line="6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Compensation Committee determined that 40% of the annual cash incentive payment opportunities for Ms. Paulson and Mr. Sevenich for fiscal 2012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 w:name="page12"/>
    <w:bookmarkEnd w:id="11"/>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annual cash incentive payments are made unless the threshold level of 80% of the respective performance target is achieved. Performance between 80% and 100% of the respective target is awarded on a sliding scale from 50% of the target annual cash incentive payment for exactly achieving 80% of the performance target to 100% of the target annual cash incentive payment for achieving the respective target (</w:t>
      </w:r>
      <w:r>
        <w:rPr>
          <w:rFonts w:ascii="Arial" w:cs="Arial" w:eastAsia="Arial" w:hAnsi="Arial"/>
          <w:sz w:val="16"/>
          <w:szCs w:val="16"/>
          <w:i w:val="1"/>
          <w:iCs w:val="1"/>
          <w:color w:val="auto"/>
        </w:rPr>
        <w:t>e.g</w:t>
      </w:r>
      <w:r>
        <w:rPr>
          <w:rFonts w:ascii="Arial" w:cs="Arial" w:eastAsia="Arial" w:hAnsi="Arial"/>
          <w:sz w:val="16"/>
          <w:szCs w:val="16"/>
          <w:color w:val="auto"/>
        </w:rPr>
        <w:t>., 90% of performance target will lead to an award of 75% of the target annual cash incentive payment). Performance between 100% and 120% of the respective target is awarded on a sliding scale from 100% of the target annual cash incentive payment for exactly meeting the performance target to 200% of the target annual cash incentive payment for exceeding the performance target by 20% (e.g., 105% of performance target will lead to an award of 125% of the target annual cash incentive payment). Performance over 120% of the applicable performance target does not result in any additional annual cash incentive payment.</w:t>
      </w:r>
    </w:p>
    <w:p>
      <w:pPr>
        <w:spacing w:after="0" w:line="3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Corporate and Business Unit Financial Measures. </w:t>
      </w:r>
      <w:r>
        <w:rPr>
          <w:rFonts w:ascii="Arial" w:cs="Arial" w:eastAsia="Arial" w:hAnsi="Arial"/>
          <w:sz w:val="16"/>
          <w:szCs w:val="16"/>
          <w:color w:val="auto"/>
        </w:rPr>
        <w:t>The corporate performance portion of the annual cash incentive payment was based on our Company-wide results for fiscal 2012 as measured by consolidated income before taxes as compared to a targeted level of consolidated income before taxes for that period. The business unit performance portion of the incentive payment was based on an operational measure of business unit profitability for fiscal 2012 that measures product sales less the cost of materials including freight in and the freight costs to deliver the product to the customer as compared to a targeted measure for the respective business unit for that period. In each case, the targeted levels of performance were based on the level of anticipated performance that was derived from the Company’s annual operating plan.</w:t>
      </w:r>
    </w:p>
    <w:p>
      <w:pPr>
        <w:spacing w:after="0" w:line="2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Threshold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Maximum</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2"/>
              </w:rPr>
              <w:t>Financial Measure</w:t>
            </w:r>
          </w:p>
        </w:tc>
        <w:tc>
          <w:tcPr>
            <w:tcW w:w="3900" w:type="dxa"/>
            <w:vAlign w:val="bottom"/>
            <w:vMerge w:val="restart"/>
          </w:tcPr>
          <w:p>
            <w:pPr>
              <w:spacing w:after="0"/>
              <w:rPr>
                <w:sz w:val="12"/>
                <w:szCs w:val="12"/>
                <w:color w:val="auto"/>
              </w:rPr>
            </w:pPr>
          </w:p>
        </w:tc>
        <w:tc>
          <w:tcPr>
            <w:tcW w:w="14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Performance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Performance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0" w:type="dxa"/>
            <w:vAlign w:val="bottom"/>
          </w:tcPr>
          <w:p>
            <w:pPr>
              <w:spacing w:after="0"/>
              <w:rPr>
                <w:sz w:val="1"/>
                <w:szCs w:val="1"/>
                <w:color w:val="auto"/>
              </w:rPr>
            </w:pPr>
          </w:p>
        </w:tc>
      </w:tr>
      <w:tr>
        <w:trPr>
          <w:trHeight w:val="168"/>
        </w:trPr>
        <w:tc>
          <w:tcPr>
            <w:tcW w:w="1140" w:type="dxa"/>
            <w:vAlign w:val="bottom"/>
            <w:tcBorders>
              <w:bottom w:val="single" w:sz="8" w:color="auto"/>
            </w:tcBorders>
            <w:vMerge w:val="continue"/>
          </w:tcPr>
          <w:p>
            <w:pPr>
              <w:spacing w:after="0"/>
              <w:rPr>
                <w:sz w:val="14"/>
                <w:szCs w:val="14"/>
                <w:color w:val="auto"/>
              </w:rPr>
            </w:pPr>
          </w:p>
        </w:tc>
        <w:tc>
          <w:tcPr>
            <w:tcW w:w="3900" w:type="dxa"/>
            <w:vAlign w:val="bottom"/>
            <w:vMerge w:val="continue"/>
          </w:tcPr>
          <w:p>
            <w:pPr>
              <w:spacing w:after="0"/>
              <w:rPr>
                <w:sz w:val="14"/>
                <w:szCs w:val="14"/>
                <w:color w:val="auto"/>
              </w:rPr>
            </w:pPr>
          </w:p>
        </w:tc>
        <w:tc>
          <w:tcPr>
            <w:tcW w:w="14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9"/>
              </w:rPr>
              <w:t>Level</w:t>
            </w: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Level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3"/>
              </w:rPr>
              <w:t>Level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Achieved</w:t>
            </w:r>
          </w:p>
        </w:tc>
        <w:tc>
          <w:tcPr>
            <w:tcW w:w="0" w:type="dxa"/>
            <w:vAlign w:val="bottom"/>
          </w:tcPr>
          <w:p>
            <w:pPr>
              <w:spacing w:after="0"/>
              <w:rPr>
                <w:sz w:val="1"/>
                <w:szCs w:val="1"/>
                <w:color w:val="auto"/>
              </w:rPr>
            </w:pPr>
          </w:p>
        </w:tc>
      </w:tr>
      <w:tr>
        <w:trPr>
          <w:trHeight w:val="203"/>
        </w:trPr>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Consolidated Income Before Taxes</w:t>
            </w: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$ 29,076,800</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$ 36,346,000</w:t>
            </w: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43,615,200</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36,976,225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Water Treatment Group Operational Measure</w:t>
            </w:r>
          </w:p>
        </w:tc>
        <w:tc>
          <w:tcPr>
            <w:tcW w:w="14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$ 18,093,600</w:t>
            </w: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$ 22,617,000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27,140,400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22,536,776</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 Group Operational Measure</w:t>
            </w:r>
          </w:p>
        </w:tc>
        <w:tc>
          <w:tcPr>
            <w:tcW w:w="14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$ 37,856,000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$ 47,320,000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56,784,000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42,758,643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consolidated income before taxes was the best measure of overall corporate financial performance and that the operational measures were the best measures of business unit financial performance.</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Because our consolidated income before taxes modestly exceeded target level performance for the 2012 fiscal year, our named executive officers received 108.7% of the targeted payout under the corporate financial performance element of the annual cash incentive arrangement. Because business unit operational profitability performance was between threshold and target performance levels, Ms. Paulson received 99.1% and Mr. Sevenich received 75.9% of their respective targeted payouts under the applicable business unit financial measures. While the Compensation Committee has discretion to adjust the size of the final payouts under the program, it has not done so.</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Individual Objectives. </w:t>
      </w:r>
      <w:r>
        <w:rPr>
          <w:rFonts w:ascii="Arial" w:cs="Arial" w:eastAsia="Arial" w:hAnsi="Arial"/>
          <w:sz w:val="16"/>
          <w:szCs w:val="16"/>
          <w:color w:val="auto"/>
        </w:rPr>
        <w:t>The Compensation Committee established multiple individual objectives for each executive officer for the fiscal year. The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for our Chief Executive Officer included succession planning, strategic planning matters and integrating the newly acquired Vertex business. For our Chief Financial Officer, the individual objectives included supporting acquisition activities and acquisition integration matters. For our General Counsel, the individual objectives included litigation management and staff training matters. For our Vice President—Water Treatment Group, the individual objectives included business expansion initiatives and succession planning. For our Vice President—Industrial, the individual objectives included new product initiatives and supporting new site development matters. The Compensation Committee consulted with our Chief Executive Officer for his assessment of the degree to which the other executive officers had met their respective individual objectives and then made its own determination as to the appropriate level of payout under these measures for each of the executive officers.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2" w:name="page13"/>
    <w:bookmarkEnd w:id="12"/>
    <w:p>
      <w:pPr>
        <w:ind w:right="26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Achievement of individual objectives is more qualitative and subjective and Mr. Sevenich was awarded a target level annual cash incentive payment for individual objectives, Mr. Hawkins and Ms. Paulson each received 150% of the targeted annual cash incentive payment for individual objectives based on exceeding the targeted performance on their individual objectives, and Ms. Pepski and Mr. Erstad received 90% of the targeted annual cash payment for individual objectives.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equity incentive compensation program is designed to:</w:t>
      </w:r>
    </w:p>
    <w:p>
      <w:pPr>
        <w:spacing w:after="0" w:line="9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align the interests of the participants with those of our shareholders,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incentives for the retention of executive officers,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 minimum level of performance for payouts under certain of the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opportunity for increased payouts for performance in excess of established targets under certain of the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an equity incentive program comparable to those at competitive companies.</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fiscal 2012, as had been the case in fiscal 2011,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Company last granted stock option awards to named executive officers in fiscal 2010. The Compensation Committee determined, with the assistance of McLagan, to continue granting performance-based restricted stock units to our executives so that a significant portion of the executive’s compensation would be performance-based.</w:t>
      </w:r>
    </w:p>
    <w:p>
      <w:pPr>
        <w:spacing w:after="0" w:line="62"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fiscal 2012, each named executive officer’s targeted restricted stock unit grant was based on a percentage of the executive’s base salary, rather than a fixed number of units. These grants, made in June 2011, provided that each named executive officer would receive a number of restricted shares of our common stock based on the degree to which we achieved a pre-tax income goal for the fiscal year.</w:t>
      </w:r>
    </w:p>
    <w:p>
      <w:pPr>
        <w:spacing w:after="0" w:line="59"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actual number of restricted stock units that will vest and be settled on a one-for-basis in restricted shares is based on a sliding scale for pre-tax income above or below the target level, and is subject to minimum and maximum thresholds. For fiscal 2012, the pre-tax income target was set at $36,346,000, the same level as our target used for our non-equity incentive plan arrangement described above, while our actual performance was $36,976,225. If our pre-tax income were less than 80% of the target pre-tax income in fiscal 2012, then no executive officer would have received any restricted shares in settlement of performance-based restricted stock units. If our pre-tax income were between 80% and 100% of the target in fiscal 2012, then a number of restricted stock units would have vested and been settled in restricted shares based on a sliding scale between 50% and 100% of the target number of restricted stock units. If our pre-tax income were between 100% and 120% of the target in fiscal 2012, then a number of restricted stock units would have vested and been settled in restricted shares based on a sliding scale between 100% and 150% of the target number of restricted stock units. Because our pre-tax income was somewhat more than 100% of the target in fiscal 2012, the named executive officers each received restricted shares equal to 104% of the target number of restricted stock units.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Compensation Committee established the following performance-based restricted stock unit award amounts for the executive officers for fiscal 2012:</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Units</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6"/>
              </w:rPr>
              <w:t>Position</w:t>
            </w:r>
          </w:p>
        </w:tc>
        <w:tc>
          <w:tcPr>
            <w:tcW w:w="4080" w:type="dxa"/>
            <w:vAlign w:val="bottom"/>
            <w:vMerge w:val="restart"/>
          </w:tcPr>
          <w:p>
            <w:pPr>
              <w:spacing w:after="0"/>
              <w:rPr>
                <w:sz w:val="12"/>
                <w:szCs w:val="12"/>
                <w:color w:val="auto"/>
              </w:rPr>
            </w:pPr>
          </w:p>
        </w:tc>
        <w:tc>
          <w:tcPr>
            <w:tcW w:w="1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Target % of</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Actually</w:t>
            </w:r>
          </w:p>
        </w:tc>
        <w:tc>
          <w:tcPr>
            <w:tcW w:w="0" w:type="dxa"/>
            <w:vAlign w:val="bottom"/>
          </w:tcPr>
          <w:p>
            <w:pPr>
              <w:spacing w:after="0"/>
              <w:rPr>
                <w:sz w:val="1"/>
                <w:szCs w:val="1"/>
                <w:color w:val="auto"/>
              </w:rPr>
            </w:pPr>
          </w:p>
        </w:tc>
      </w:tr>
      <w:tr>
        <w:trPr>
          <w:trHeight w:val="153"/>
        </w:trPr>
        <w:tc>
          <w:tcPr>
            <w:tcW w:w="500" w:type="dxa"/>
            <w:vAlign w:val="bottom"/>
            <w:tcBorders>
              <w:bottom w:val="single" w:sz="8" w:color="auto"/>
            </w:tcBorders>
            <w:vMerge w:val="continue"/>
          </w:tcPr>
          <w:p>
            <w:pPr>
              <w:spacing w:after="0"/>
              <w:rPr>
                <w:sz w:val="12"/>
                <w:szCs w:val="12"/>
                <w:color w:val="auto"/>
              </w:rPr>
            </w:pPr>
          </w:p>
        </w:tc>
        <w:tc>
          <w:tcPr>
            <w:tcW w:w="4080" w:type="dxa"/>
            <w:vAlign w:val="bottom"/>
            <w:vMerge w:val="continue"/>
          </w:tcPr>
          <w:p>
            <w:pPr>
              <w:spacing w:after="0"/>
              <w:rPr>
                <w:sz w:val="12"/>
                <w:szCs w:val="12"/>
                <w:color w:val="auto"/>
              </w:rPr>
            </w:pPr>
          </w:p>
        </w:tc>
        <w:tc>
          <w:tcPr>
            <w:tcW w:w="14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Base Salary</w:t>
            </w:r>
          </w:p>
        </w:tc>
        <w:tc>
          <w:tcPr>
            <w:tcW w:w="1300" w:type="dxa"/>
            <w:vAlign w:val="bottom"/>
            <w:gridSpan w:val="2"/>
          </w:tcPr>
          <w:p>
            <w:pPr>
              <w:jc w:val="right"/>
              <w:ind w:right="720"/>
              <w:spacing w:after="0" w:line="148" w:lineRule="exact"/>
              <w:rPr>
                <w:sz w:val="20"/>
                <w:szCs w:val="20"/>
                <w:color w:val="auto"/>
              </w:rPr>
            </w:pPr>
            <w:r>
              <w:rPr>
                <w:rFonts w:ascii="Arial" w:cs="Arial" w:eastAsia="Arial" w:hAnsi="Arial"/>
                <w:sz w:val="14"/>
                <w:szCs w:val="14"/>
                <w:b w:val="1"/>
                <w:bCs w:val="1"/>
                <w:color w:val="auto"/>
                <w:w w:val="91"/>
              </w:rPr>
              <w:t>Minimum</w:t>
            </w:r>
          </w:p>
        </w:tc>
        <w:tc>
          <w:tcPr>
            <w:tcW w:w="11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Target</w:t>
            </w:r>
          </w:p>
        </w:tc>
        <w:tc>
          <w:tcPr>
            <w:tcW w:w="13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20"/>
        </w:trPr>
        <w:tc>
          <w:tcPr>
            <w:tcW w:w="45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CEO</w:t>
            </w: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gridSpan w:val="2"/>
            <w:vMerge w:val="continue"/>
            <w:shd w:val="clear" w:color="auto" w:fill="CCEEFF"/>
          </w:tcPr>
          <w:p>
            <w:pPr>
              <w:spacing w:after="0"/>
              <w:rPr>
                <w:sz w:val="17"/>
                <w:szCs w:val="17"/>
                <w:color w:val="auto"/>
              </w:rPr>
            </w:pPr>
          </w:p>
        </w:tc>
        <w:tc>
          <w:tcPr>
            <w:tcW w:w="1440" w:type="dxa"/>
            <w:vAlign w:val="bottom"/>
            <w:gridSpan w:val="2"/>
            <w:shd w:val="clear" w:color="auto" w:fill="CCEEFF"/>
          </w:tcPr>
          <w:p>
            <w:pPr>
              <w:jc w:val="center"/>
              <w:ind w:right="40"/>
              <w:spacing w:after="0" w:line="203" w:lineRule="exact"/>
              <w:rPr>
                <w:sz w:val="20"/>
                <w:szCs w:val="20"/>
                <w:color w:val="auto"/>
              </w:rPr>
            </w:pPr>
            <w:r>
              <w:rPr>
                <w:rFonts w:ascii="Arial" w:cs="Arial" w:eastAsia="Arial" w:hAnsi="Arial"/>
                <w:sz w:val="18"/>
                <w:szCs w:val="18"/>
                <w:color w:val="auto"/>
                <w:w w:val="88"/>
              </w:rPr>
              <w:t>90%</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4,133</w:t>
            </w:r>
          </w:p>
        </w:tc>
        <w:tc>
          <w:tcPr>
            <w:tcW w:w="72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8,265</w:t>
            </w:r>
          </w:p>
        </w:tc>
        <w:tc>
          <w:tcPr>
            <w:tcW w:w="70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12,398</w:t>
            </w:r>
          </w:p>
        </w:tc>
        <w:tc>
          <w:tcPr>
            <w:tcW w:w="72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60%</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2,123</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4,245</w:t>
            </w:r>
          </w:p>
        </w:tc>
        <w:tc>
          <w:tcPr>
            <w:tcW w:w="620" w:type="dxa"/>
            <w:vAlign w:val="bottom"/>
          </w:tcPr>
          <w:p>
            <w:pPr>
              <w:jc w:val="right"/>
              <w:spacing w:after="0"/>
              <w:rPr>
                <w:sz w:val="20"/>
                <w:szCs w:val="20"/>
                <w:color w:val="auto"/>
              </w:rPr>
            </w:pPr>
            <w:r>
              <w:rPr>
                <w:rFonts w:ascii="Arial" w:cs="Arial" w:eastAsia="Arial" w:hAnsi="Arial"/>
                <w:sz w:val="18"/>
                <w:szCs w:val="18"/>
                <w:color w:val="auto"/>
              </w:rPr>
              <w:t>6,368</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Counsel</w:t>
            </w:r>
          </w:p>
        </w:tc>
        <w:tc>
          <w:tcPr>
            <w:tcW w:w="14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60%</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1,990</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3,980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Vice President—Water Treatment Group</w:t>
            </w:r>
          </w:p>
        </w:tc>
        <w:tc>
          <w:tcPr>
            <w:tcW w:w="14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40%</w:t>
            </w: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1,371</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w w:val="97"/>
              </w:rPr>
              <w:t>2,742</w:t>
            </w:r>
          </w:p>
        </w:tc>
        <w:tc>
          <w:tcPr>
            <w:tcW w:w="620" w:type="dxa"/>
            <w:vAlign w:val="bottom"/>
          </w:tcPr>
          <w:p>
            <w:pPr>
              <w:jc w:val="right"/>
              <w:spacing w:after="0"/>
              <w:rPr>
                <w:sz w:val="20"/>
                <w:szCs w:val="20"/>
                <w:color w:val="auto"/>
              </w:rPr>
            </w:pPr>
            <w:r>
              <w:rPr>
                <w:rFonts w:ascii="Arial" w:cs="Arial" w:eastAsia="Arial" w:hAnsi="Arial"/>
                <w:sz w:val="18"/>
                <w:szCs w:val="18"/>
                <w:color w:val="auto"/>
              </w:rPr>
              <w:t>4,114</w:t>
            </w:r>
          </w:p>
        </w:tc>
        <w:tc>
          <w:tcPr>
            <w:tcW w:w="7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President—Industrial Group</w:t>
            </w:r>
          </w:p>
        </w:tc>
        <w:tc>
          <w:tcPr>
            <w:tcW w:w="14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60%</w:t>
            </w:r>
          </w:p>
        </w:tc>
        <w:tc>
          <w:tcPr>
            <w:tcW w:w="13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1,950</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3,899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7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5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11</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80" w:right="259" w:bottom="1440" w:gutter="0" w:footer="0" w:header="0"/>
        </w:sectPr>
      </w:pPr>
    </w:p>
    <w:bookmarkStart w:id="13" w:name="page14"/>
    <w:bookmarkEnd w:id="13"/>
    <w:p>
      <w:pPr>
        <w:ind w:right="10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Compensation Committee established the targeted performance-based restricted stock unit award for each of the executive officers based on a percentage of each officer’s base salary, divided by the closing stock price on the date of grant. The percentages were based the Compensation Committee’s assessment of the relative scope of his or her responsibilities and the resulting ability of the individual to impact the Company’s performance, as well as information provided by McLagan. The target percentage for Mr. Hawkins was increased to 90% in fiscal 2012 from 75% in fiscal 2011 reflecting his promotion to CEO. The target percentage for the grant to our Vice President—Water Treatment Group was reduced from 60% in the prior year, and the vesting period for any restricted shares to be received was reduced from two years to one year because she is approaching retirement age and may not remain with the company for the full three years required to vest a regular grant.</w:t>
      </w:r>
    </w:p>
    <w:p>
      <w:pPr>
        <w:spacing w:after="0" w:line="3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actual number of restricted shares issued to each of the executive officers was determined after our audited financial information became available for fiscal 2012. The restricted shares will vest 100% two years after the last day of fiscal 2012, with the exception of the grant to our Vice President—Water Treatment Group which vest one year after the last day of fiscal 2012. The restricted shares will terminate in their entirety if the executive officer departs the Company before the end of the vesting period other than in cases of death or disability.</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event of a change in control of the Company or other “fundamental change” as defined below, then the performance-based restricted stock unit award will vest immediately at 100% of its target if the Compensation Committee determines that the fundamental change will not result in the continuation of the performance-based restricted stock unit award. Any shares of restricted stock outstanding under performance-based restricted stock unit awards will also immediately vest. If a performance-based restricted stock unit award is continued after a fundamental change, but, in connection with the fundamental change, an executive is terminated without cause or resigns for good cause, then the performance-based restricted stock unit award and any restricted stock granted under the performance-based restricted stock unit award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42"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consummation of a corporate transaction, subject to certain exceptions;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person or group becomes the beneficial owner of more than 50% of the combined voting power of the Company, subject to certain exceptions; or</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continuing directors cease to constitute a majority of the members of our Board of Directors.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corporate transaction, a director of the Company, or who becomes a director after the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Contribution to Long-Term Benefit Plan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All of our executive officers participate in our Profit Sharing Plan, which is generally available to all other non-bargaining unit employees. Contributions to the Profit Sharing Plan by us on behalf of our executive officers have been a key component of our retention objectives since the contributed benefits initially vest over a six-year period.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4" w:name="page15"/>
    <w:bookmarkEnd w:id="14"/>
    <w:p>
      <w:pPr>
        <w:ind w:right="34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the plan, our executive officers participate on the same terms as all other eligible employees, with the annual compensation that was used to determine plan benefits being capped at $250,000 for fiscal 2012. This limit will be adjusted in future years under federal tax law for cost-of-living increases.</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our Profit Sharing Plan, we contributed a percentage of each eligible participant’s compensation to an account maintained for the participant under the plan. Participant accounts are credited with the appropriate gains or losses resulting from employee-directed investments made by the plan. During recent years, including fiscal 2012, we made contributions to this plan equal to 15% of each participant’s compensation, subject to the cap on the plan benefits. For fiscal 2012, we contributed $37,500 on behalf of each named executive officer.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Compensation Committee believes that we must offer a competitive benefits program to attract and retain our executive officers. During fiscal 2012, we provided medical and other health and welfare benefits to our executive officers that are generally available to our other employees. We currently permit any employee who retires after working for us for at least 25 years to continue to participate in our health insurance coverage until that person reaches the age of 65. The cost to the retired employee for that coverage is equivalent to the amount that the retiree would have been obligated to pay for the coverage under COBRA (the Consolidated Omnibus Budget Reconciliation Act). This policy is based on the importance we place on the retention of our employees, including our executive officers.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only perquisite we offer to our executive officers is the personal use of a company car.</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Agreements and Policies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Deductibility of Compensation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such compensation must generally be conditioned upon the satisfaction over a specified performance period of pre-established objective performance goals set by the Compensation Committee. The Compensation Committee believes that no named executive officer exceeded the $1.0 million limit during fiscal 2012.</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Risks Arising from Compensation Policies and Practices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59" w:lineRule="exact"/>
        <w:rPr>
          <w:sz w:val="20"/>
          <w:szCs w:val="20"/>
          <w:color w:val="auto"/>
        </w:rPr>
      </w:pPr>
    </w:p>
    <w:p>
      <w:pPr>
        <w:ind w:left="2320"/>
        <w:spacing w:after="0"/>
        <w:tabs>
          <w:tab w:leader="none" w:pos="4660" w:val="left"/>
          <w:tab w:leader="none" w:pos="6500" w:val="left"/>
          <w:tab w:leader="none" w:pos="7920" w:val="left"/>
        </w:tabs>
        <w:rPr>
          <w:sz w:val="20"/>
          <w:szCs w:val="20"/>
          <w:color w:val="auto"/>
        </w:rPr>
      </w:pPr>
      <w:r>
        <w:rPr>
          <w:rFonts w:ascii="Arial" w:cs="Arial" w:eastAsia="Arial" w:hAnsi="Arial"/>
          <w:sz w:val="18"/>
          <w:szCs w:val="18"/>
          <w:i w:val="1"/>
          <w:iCs w:val="1"/>
          <w:color w:val="auto"/>
        </w:rPr>
        <w:t>James T. Thompson (Chair)</w:t>
      </w:r>
      <w:r>
        <w:rPr>
          <w:sz w:val="20"/>
          <w:szCs w:val="20"/>
          <w:color w:val="auto"/>
        </w:rPr>
        <w:tab/>
      </w:r>
      <w:r>
        <w:rPr>
          <w:rFonts w:ascii="Arial" w:cs="Arial" w:eastAsia="Arial" w:hAnsi="Arial"/>
          <w:sz w:val="18"/>
          <w:szCs w:val="18"/>
          <w:i w:val="1"/>
          <w:iCs w:val="1"/>
          <w:color w:val="auto"/>
        </w:rPr>
        <w:t>Duane M. Jergenson</w:t>
      </w:r>
      <w:r>
        <w:rPr>
          <w:sz w:val="20"/>
          <w:szCs w:val="20"/>
          <w:color w:val="auto"/>
        </w:rPr>
        <w:tab/>
      </w:r>
      <w:r>
        <w:rPr>
          <w:rFonts w:ascii="Arial" w:cs="Arial" w:eastAsia="Arial" w:hAnsi="Arial"/>
          <w:sz w:val="18"/>
          <w:szCs w:val="18"/>
          <w:i w:val="1"/>
          <w:iCs w:val="1"/>
          <w:color w:val="auto"/>
        </w:rPr>
        <w:t>Daryl I. Skaar</w:t>
      </w:r>
      <w:r>
        <w:rPr>
          <w:sz w:val="20"/>
          <w:szCs w:val="20"/>
          <w:color w:val="auto"/>
        </w:rPr>
        <w:tab/>
      </w:r>
      <w:r>
        <w:rPr>
          <w:rFonts w:ascii="Arial" w:cs="Arial" w:eastAsia="Arial" w:hAnsi="Arial"/>
          <w:sz w:val="15"/>
          <w:szCs w:val="15"/>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Compensation Committee of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Summary Compensation Table</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sets forth the compensation of our Chief Executive Officer, Chief Financial Officer and the three other highest paid executive officers (collectively, the “named executive officers”).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Non-Equity</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Awards</w:t>
            </w:r>
          </w:p>
        </w:tc>
        <w:tc>
          <w:tcPr>
            <w:tcW w:w="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Option</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7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($)(a)</w:t>
            </w: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rPr>
              <w:t>(b)</w:t>
            </w:r>
          </w:p>
        </w:tc>
        <w:tc>
          <w:tcPr>
            <w:tcW w:w="76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($)(a)</w:t>
            </w:r>
          </w:p>
        </w:tc>
        <w:tc>
          <w:tcPr>
            <w:tcW w:w="104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($)(c)</w:t>
            </w:r>
          </w:p>
        </w:tc>
        <w:tc>
          <w:tcPr>
            <w:tcW w:w="104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rPr>
              <w:t>($)(d)</w:t>
            </w:r>
          </w:p>
        </w:tc>
        <w:tc>
          <w:tcPr>
            <w:tcW w:w="620" w:type="dxa"/>
            <w:vAlign w:val="bottom"/>
          </w:tcPr>
          <w:p>
            <w:pPr>
              <w:jc w:val="right"/>
              <w:ind w:right="155"/>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2012</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2"/>
              </w:rPr>
              <w:t>317,500</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292,500</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228,025</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47,015</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885,040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Chief Executive Officer and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280,000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210,068</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158,107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39,572</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687,747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President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2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248,667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150,240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105,104</w:t>
            </w:r>
          </w:p>
        </w:tc>
        <w:tc>
          <w:tcPr>
            <w:tcW w:w="820" w:type="dxa"/>
            <w:vAlign w:val="bottom"/>
          </w:tcPr>
          <w:p>
            <w:pPr>
              <w:jc w:val="right"/>
              <w:spacing w:after="0"/>
              <w:rPr>
                <w:sz w:val="20"/>
                <w:szCs w:val="20"/>
                <w:color w:val="auto"/>
              </w:rPr>
            </w:pPr>
            <w:r>
              <w:rPr>
                <w:rFonts w:ascii="Arial" w:cs="Arial" w:eastAsia="Arial" w:hAnsi="Arial"/>
                <w:sz w:val="18"/>
                <w:szCs w:val="18"/>
                <w:color w:val="auto"/>
              </w:rPr>
              <w:t>46,485</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550,496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i w:val="1"/>
                <w:iCs w:val="1"/>
                <w:color w:val="auto"/>
              </w:rPr>
              <w:t>Vice President, Chief Financial</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238,125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143,994</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108,416</w:t>
            </w:r>
          </w:p>
        </w:tc>
        <w:tc>
          <w:tcPr>
            <w:tcW w:w="820" w:type="dxa"/>
            <w:vAlign w:val="bottom"/>
          </w:tcPr>
          <w:p>
            <w:pPr>
              <w:jc w:val="right"/>
              <w:spacing w:after="0"/>
              <w:rPr>
                <w:sz w:val="20"/>
                <w:szCs w:val="20"/>
                <w:color w:val="auto"/>
              </w:rPr>
            </w:pPr>
            <w:r>
              <w:rPr>
                <w:rFonts w:ascii="Arial" w:cs="Arial" w:eastAsia="Arial" w:hAnsi="Arial"/>
                <w:sz w:val="18"/>
                <w:szCs w:val="18"/>
                <w:color w:val="auto"/>
              </w:rPr>
              <w:t>45,938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536,473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ind w:left="220"/>
              <w:spacing w:after="0"/>
              <w:rPr>
                <w:sz w:val="20"/>
                <w:szCs w:val="20"/>
                <w:color w:val="auto"/>
              </w:rPr>
            </w:pPr>
            <w:r>
              <w:rPr>
                <w:rFonts w:ascii="Arial" w:cs="Arial" w:eastAsia="Arial" w:hAnsi="Arial"/>
                <w:sz w:val="18"/>
                <w:szCs w:val="18"/>
                <w:i w:val="1"/>
                <w:iCs w:val="1"/>
                <w:color w:val="auto"/>
              </w:rPr>
              <w:t>Officer and Treasurer</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212,652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46,427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40,412</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156,600</w:t>
            </w:r>
          </w:p>
        </w:tc>
        <w:tc>
          <w:tcPr>
            <w:tcW w:w="820" w:type="dxa"/>
            <w:vAlign w:val="bottom"/>
          </w:tcPr>
          <w:p>
            <w:pPr>
              <w:jc w:val="right"/>
              <w:spacing w:after="0"/>
              <w:rPr>
                <w:sz w:val="20"/>
                <w:szCs w:val="20"/>
                <w:color w:val="auto"/>
              </w:rPr>
            </w:pPr>
            <w:r>
              <w:rPr>
                <w:rFonts w:ascii="Arial" w:cs="Arial" w:eastAsia="Arial" w:hAnsi="Arial"/>
                <w:sz w:val="18"/>
                <w:szCs w:val="18"/>
                <w:color w:val="auto"/>
              </w:rPr>
              <w:t>43,678</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499,769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233,125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140,850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50,573</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498,449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Vice President, General Counsel</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223,417</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135,012</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76,230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484,193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and Secretary</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203,000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46,427</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40,412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411,549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8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10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2012</w:t>
            </w:r>
          </w:p>
        </w:tc>
        <w:tc>
          <w:tcPr>
            <w:tcW w:w="2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241,365</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97,055</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109,782</w:t>
            </w:r>
          </w:p>
        </w:tc>
        <w:tc>
          <w:tcPr>
            <w:tcW w:w="820" w:type="dxa"/>
            <w:vAlign w:val="bottom"/>
          </w:tcPr>
          <w:p>
            <w:pPr>
              <w:jc w:val="right"/>
              <w:spacing w:after="0"/>
              <w:rPr>
                <w:sz w:val="20"/>
                <w:szCs w:val="20"/>
                <w:color w:val="auto"/>
              </w:rPr>
            </w:pPr>
            <w:r>
              <w:rPr>
                <w:rFonts w:ascii="Arial" w:cs="Arial" w:eastAsia="Arial" w:hAnsi="Arial"/>
                <w:sz w:val="18"/>
                <w:szCs w:val="18"/>
                <w:color w:val="auto"/>
              </w:rPr>
              <w:t>51,940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500,142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i w:val="1"/>
                <w:iCs w:val="1"/>
                <w:color w:val="auto"/>
              </w:rPr>
              <w:t>Vice President – Water</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2011</w:t>
            </w:r>
          </w:p>
        </w:tc>
        <w:tc>
          <w:tcPr>
            <w:tcW w:w="20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233,292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141,000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89,228</w:t>
            </w:r>
          </w:p>
        </w:tc>
        <w:tc>
          <w:tcPr>
            <w:tcW w:w="820" w:type="dxa"/>
            <w:vAlign w:val="bottom"/>
          </w:tcPr>
          <w:p>
            <w:pPr>
              <w:jc w:val="right"/>
              <w:spacing w:after="0"/>
              <w:rPr>
                <w:sz w:val="20"/>
                <w:szCs w:val="20"/>
                <w:color w:val="auto"/>
              </w:rPr>
            </w:pPr>
            <w:r>
              <w:rPr>
                <w:rFonts w:ascii="Arial" w:cs="Arial" w:eastAsia="Arial" w:hAnsi="Arial"/>
                <w:sz w:val="18"/>
                <w:szCs w:val="18"/>
                <w:color w:val="auto"/>
              </w:rPr>
              <w:t>49,548</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gridSpan w:val="2"/>
          </w:tcPr>
          <w:p>
            <w:pPr>
              <w:ind w:left="220"/>
              <w:spacing w:after="0"/>
              <w:rPr>
                <w:sz w:val="20"/>
                <w:szCs w:val="20"/>
                <w:color w:val="auto"/>
              </w:rPr>
            </w:pPr>
            <w:r>
              <w:rPr>
                <w:rFonts w:ascii="Arial" w:cs="Arial" w:eastAsia="Arial" w:hAnsi="Arial"/>
                <w:sz w:val="18"/>
                <w:szCs w:val="18"/>
                <w:i w:val="1"/>
                <w:iCs w:val="1"/>
                <w:color w:val="auto"/>
              </w:rPr>
              <w:t>Treatment Group</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w w:val="84"/>
              </w:rPr>
              <w:t>2010</w:t>
            </w:r>
          </w:p>
        </w:tc>
        <w:tc>
          <w:tcPr>
            <w:tcW w:w="20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212,208</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46,427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40,412</w:t>
            </w: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139,676</w:t>
            </w:r>
          </w:p>
        </w:tc>
        <w:tc>
          <w:tcPr>
            <w:tcW w:w="820" w:type="dxa"/>
            <w:vAlign w:val="bottom"/>
          </w:tcPr>
          <w:p>
            <w:pPr>
              <w:jc w:val="right"/>
              <w:spacing w:after="0"/>
              <w:rPr>
                <w:sz w:val="20"/>
                <w:szCs w:val="20"/>
                <w:color w:val="auto"/>
              </w:rPr>
            </w:pPr>
            <w:r>
              <w:rPr>
                <w:rFonts w:ascii="Arial" w:cs="Arial" w:eastAsia="Arial" w:hAnsi="Arial"/>
                <w:sz w:val="18"/>
                <w:szCs w:val="18"/>
                <w:color w:val="auto"/>
              </w:rPr>
              <w:t>39,492</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471,390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4"/>
              </w:rPr>
              <w:t>2012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138,000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495,160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Vice President – Industrial Group</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224,750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127,192</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198,853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46,427</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40,412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145,440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38,834</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469,966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represent the aggregate grant date fair value of awards made each fiscal year, as computed in accordance with Financial Accounting Standards Board (FASB) Accounting Standards Codification (ASC) Topic 718. See Note 9, Profit Sharing and Employee Stock Ownership Plans, to our audited financial statements included in our Annual Report on Form 10-K for fiscal 2012 for a description of our accounting for these awards and the assumptions used in valuing the awards.</w:t>
      </w:r>
    </w:p>
    <w:p>
      <w:pPr>
        <w:spacing w:after="0" w:line="35" w:lineRule="exact"/>
        <w:rPr>
          <w:rFonts w:ascii="Arial" w:cs="Arial" w:eastAsia="Arial" w:hAnsi="Arial"/>
          <w:sz w:val="18"/>
          <w:szCs w:val="18"/>
          <w:color w:val="auto"/>
        </w:rPr>
      </w:pPr>
    </w:p>
    <w:p>
      <w:pPr>
        <w:ind w:left="460" w:right="60" w:hanging="452"/>
        <w:spacing w:after="0" w:line="30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values of the performance-based restricted unit awards granted in fiscal 2012, assuming the highest level of performance conditions are achieved, are set forth below.</w:t>
      </w:r>
    </w:p>
    <w:p>
      <w:pPr>
        <w:spacing w:after="0" w:line="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6740" w:type="dxa"/>
            <w:vAlign w:val="bottom"/>
          </w:tcPr>
          <w:p>
            <w:pPr>
              <w:spacing w:after="0"/>
              <w:rPr>
                <w:sz w:val="15"/>
                <w:szCs w:val="15"/>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Amount Reported</w:t>
            </w:r>
          </w:p>
        </w:tc>
        <w:tc>
          <w:tcPr>
            <w:tcW w:w="56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7"/>
              </w:rPr>
              <w:t>Maximum Amount</w:t>
            </w:r>
          </w:p>
        </w:tc>
      </w:tr>
      <w:tr>
        <w:trPr>
          <w:trHeight w:val="203"/>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Mr. Hawkins</w:t>
            </w: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292,500</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438,750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Ms. Pepski</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150,240</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225,360</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Erstad</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140,850</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211,275</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Ms. Paulson</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97,055</w:t>
            </w:r>
          </w:p>
        </w:tc>
        <w:tc>
          <w:tcPr>
            <w:tcW w:w="8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145,583</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Sevenich</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138,000</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207,000</w:t>
            </w:r>
          </w:p>
        </w:tc>
        <w:tc>
          <w:tcPr>
            <w:tcW w:w="100" w:type="dxa"/>
            <w:vAlign w:val="bottom"/>
            <w:shd w:val="clear" w:color="auto" w:fill="CCEEFF"/>
          </w:tcPr>
          <w:p>
            <w:pPr>
              <w:spacing w:after="0"/>
              <w:rPr>
                <w:sz w:val="18"/>
                <w:szCs w:val="18"/>
                <w:color w:val="auto"/>
              </w:rPr>
            </w:pPr>
          </w:p>
        </w:tc>
      </w:tr>
    </w:tbl>
    <w:p>
      <w:pPr>
        <w:spacing w:after="0" w:line="73" w:lineRule="exact"/>
        <w:rPr>
          <w:sz w:val="20"/>
          <w:szCs w:val="20"/>
          <w:color w:val="auto"/>
        </w:rPr>
      </w:pPr>
    </w:p>
    <w:p>
      <w:pPr>
        <w:ind w:left="460" w:hanging="452"/>
        <w:spacing w:after="0" w:line="259"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2012 were paid in fiscal 2013 after we completed our annual audit.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reported for fiscal 2012 include: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Contributions of $37,500 to our Profit Sharing Plan by the Company on behalf of each of each of our named executive officers.</w:t>
      </w:r>
    </w:p>
    <w:p>
      <w:pPr>
        <w:spacing w:after="0" w:line="90" w:lineRule="exact"/>
        <w:rPr>
          <w:rFonts w:ascii="Arial" w:cs="Arial" w:eastAsia="Arial" w:hAnsi="Arial"/>
          <w:sz w:val="18"/>
          <w:szCs w:val="18"/>
          <w:color w:val="auto"/>
        </w:rPr>
      </w:pPr>
    </w:p>
    <w:p>
      <w:pPr>
        <w:ind w:left="660" w:right="20" w:hanging="206"/>
        <w:spacing w:after="0" w:line="306"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concerning grants of plan-based awards to our named executive officers during fiscal 2012.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6"/>
          </w:tcPr>
          <w:p>
            <w:pPr>
              <w:ind w:left="320"/>
              <w:spacing w:after="0"/>
              <w:rPr>
                <w:sz w:val="20"/>
                <w:szCs w:val="20"/>
                <w:color w:val="auto"/>
              </w:rPr>
            </w:pPr>
            <w:r>
              <w:rPr>
                <w:rFonts w:ascii="Arial" w:cs="Arial" w:eastAsia="Arial" w:hAnsi="Arial"/>
                <w:sz w:val="14"/>
                <w:szCs w:val="14"/>
                <w:b w:val="1"/>
                <w:bCs w:val="1"/>
                <w:color w:val="auto"/>
              </w:rPr>
              <w:t>Estimated Possible Payouts Under</w:t>
            </w:r>
          </w:p>
        </w:tc>
        <w:tc>
          <w:tcPr>
            <w:tcW w:w="2460" w:type="dxa"/>
            <w:vAlign w:val="bottom"/>
            <w:gridSpan w:val="5"/>
          </w:tcPr>
          <w:p>
            <w:pPr>
              <w:ind w:left="280"/>
              <w:spacing w:after="0"/>
              <w:rPr>
                <w:sz w:val="20"/>
                <w:szCs w:val="20"/>
                <w:color w:val="auto"/>
              </w:rPr>
            </w:pPr>
            <w:r>
              <w:rPr>
                <w:rFonts w:ascii="Arial" w:cs="Arial" w:eastAsia="Arial" w:hAnsi="Arial"/>
                <w:sz w:val="14"/>
                <w:szCs w:val="14"/>
                <w:b w:val="1"/>
                <w:bCs w:val="1"/>
                <w:color w:val="auto"/>
                <w:w w:val="99"/>
              </w:rPr>
              <w:t>Estimated Future Payouts Under</w:t>
            </w:r>
          </w:p>
        </w:tc>
        <w:tc>
          <w:tcPr>
            <w:tcW w:w="3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6"/>
          </w:tcPr>
          <w:p>
            <w:pPr>
              <w:ind w:left="220"/>
              <w:spacing w:after="0"/>
              <w:rPr>
                <w:sz w:val="20"/>
                <w:szCs w:val="20"/>
                <w:color w:val="auto"/>
              </w:rPr>
            </w:pPr>
            <w:r>
              <w:rPr>
                <w:rFonts w:ascii="Arial" w:cs="Arial" w:eastAsia="Arial" w:hAnsi="Arial"/>
                <w:sz w:val="14"/>
                <w:szCs w:val="14"/>
                <w:b w:val="1"/>
                <w:bCs w:val="1"/>
                <w:color w:val="auto"/>
              </w:rPr>
              <w:t>Non-Equity Incentive Plan Awards(a)</w:t>
            </w:r>
          </w:p>
        </w:tc>
        <w:tc>
          <w:tcPr>
            <w:tcW w:w="2460" w:type="dxa"/>
            <w:vAlign w:val="bottom"/>
            <w:gridSpan w:val="5"/>
          </w:tcPr>
          <w:p>
            <w:pPr>
              <w:ind w:left="260"/>
              <w:spacing w:after="0"/>
              <w:rPr>
                <w:sz w:val="20"/>
                <w:szCs w:val="20"/>
                <w:color w:val="auto"/>
              </w:rPr>
            </w:pPr>
            <w:r>
              <w:rPr>
                <w:rFonts w:ascii="Arial" w:cs="Arial" w:eastAsia="Arial" w:hAnsi="Arial"/>
                <w:sz w:val="14"/>
                <w:szCs w:val="14"/>
                <w:b w:val="1"/>
                <w:bCs w:val="1"/>
                <w:color w:val="auto"/>
              </w:rPr>
              <w:t>Equity Incentive Plan Awards(b)</w:t>
            </w:r>
          </w:p>
        </w:tc>
        <w:tc>
          <w:tcPr>
            <w:tcW w:w="3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Value of Stock</w:t>
            </w:r>
          </w:p>
        </w:tc>
        <w:tc>
          <w:tcPr>
            <w:tcW w:w="0" w:type="dxa"/>
            <w:vAlign w:val="bottom"/>
          </w:tcPr>
          <w:p>
            <w:pPr>
              <w:spacing w:after="0"/>
              <w:rPr>
                <w:sz w:val="1"/>
                <w:szCs w:val="1"/>
                <w:color w:val="auto"/>
              </w:rPr>
            </w:pPr>
          </w:p>
        </w:tc>
      </w:tr>
      <w:tr>
        <w:trPr>
          <w:trHeight w:val="12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4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Grant</w:t>
            </w:r>
          </w:p>
        </w:tc>
        <w:tc>
          <w:tcPr>
            <w:tcW w:w="9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5"/>
              </w:rPr>
              <w:t>Threshold</w:t>
            </w:r>
          </w:p>
        </w:tc>
        <w:tc>
          <w:tcPr>
            <w:tcW w:w="10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Target</w:t>
            </w: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Maximum</w:t>
            </w:r>
          </w:p>
        </w:tc>
        <w:tc>
          <w:tcPr>
            <w:tcW w:w="320" w:type="dxa"/>
            <w:vAlign w:val="bottom"/>
          </w:tcPr>
          <w:p>
            <w:pPr>
              <w:spacing w:after="0"/>
              <w:rPr>
                <w:sz w:val="11"/>
                <w:szCs w:val="11"/>
                <w:color w:val="auto"/>
              </w:rPr>
            </w:pPr>
          </w:p>
        </w:tc>
        <w:tc>
          <w:tcPr>
            <w:tcW w:w="9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Threshold</w:t>
            </w:r>
          </w:p>
        </w:tc>
        <w:tc>
          <w:tcPr>
            <w:tcW w:w="8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4"/>
                <w:szCs w:val="14"/>
                <w:b w:val="1"/>
                <w:bCs w:val="1"/>
                <w:color w:val="auto"/>
              </w:rPr>
              <w:t>Target</w:t>
            </w: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Maximum</w:t>
            </w:r>
          </w:p>
        </w:tc>
        <w:tc>
          <w:tcPr>
            <w:tcW w:w="320" w:type="dxa"/>
            <w:vAlign w:val="bottom"/>
          </w:tcPr>
          <w:p>
            <w:pPr>
              <w:spacing w:after="0"/>
              <w:rPr>
                <w:sz w:val="11"/>
                <w:szCs w:val="11"/>
                <w:color w:val="auto"/>
              </w:rPr>
            </w:pPr>
          </w:p>
        </w:tc>
        <w:tc>
          <w:tcPr>
            <w:tcW w:w="12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0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Date</w:t>
            </w:r>
          </w:p>
        </w:tc>
        <w:tc>
          <w:tcPr>
            <w:tcW w:w="62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8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80" w:type="dxa"/>
            <w:vAlign w:val="bottom"/>
          </w:tcPr>
          <w:p>
            <w:pPr>
              <w:jc w:val="right"/>
              <w:ind w:right="178"/>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64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00" w:type="dxa"/>
            <w:vAlign w:val="bottom"/>
          </w:tcPr>
          <w:p>
            <w:pPr>
              <w:jc w:val="right"/>
              <w:ind w:right="98"/>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700" w:type="dxa"/>
            <w:vAlign w:val="bottom"/>
          </w:tcPr>
          <w:p>
            <w:pPr>
              <w:jc w:val="right"/>
              <w:ind w:right="198"/>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2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6/8/11</w:t>
            </w: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97,500</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195,000</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390,000</w:t>
            </w:r>
          </w:p>
        </w:tc>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6/8/11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4,133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6/8/11</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50,080</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100,160</w:t>
            </w:r>
          </w:p>
        </w:tc>
        <w:tc>
          <w:tcPr>
            <w:tcW w:w="680" w:type="dxa"/>
            <w:vAlign w:val="bottom"/>
          </w:tcPr>
          <w:p>
            <w:pPr>
              <w:jc w:val="right"/>
              <w:spacing w:after="0"/>
              <w:rPr>
                <w:sz w:val="20"/>
                <w:szCs w:val="20"/>
                <w:color w:val="auto"/>
              </w:rPr>
            </w:pPr>
            <w:r>
              <w:rPr>
                <w:rFonts w:ascii="Arial" w:cs="Arial" w:eastAsia="Arial" w:hAnsi="Arial"/>
                <w:sz w:val="18"/>
                <w:szCs w:val="18"/>
                <w:color w:val="auto"/>
              </w:rPr>
              <w:t>200,320</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6/8/11</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2,123</w:t>
            </w:r>
          </w:p>
        </w:tc>
        <w:tc>
          <w:tcPr>
            <w:tcW w:w="500" w:type="dxa"/>
            <w:vAlign w:val="bottom"/>
          </w:tcPr>
          <w:p>
            <w:pPr>
              <w:jc w:val="right"/>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6,368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6/8/11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35,213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70,425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140,850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6/8/11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1,990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2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22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6/8/11</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48,528</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97,055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194,110</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6/8/11</w:t>
            </w: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1,371</w:t>
            </w:r>
          </w:p>
        </w:tc>
        <w:tc>
          <w:tcPr>
            <w:tcW w:w="500" w:type="dxa"/>
            <w:vAlign w:val="bottom"/>
          </w:tcPr>
          <w:p>
            <w:pPr>
              <w:jc w:val="right"/>
              <w:spacing w:after="0"/>
              <w:rPr>
                <w:sz w:val="20"/>
                <w:szCs w:val="20"/>
                <w:color w:val="auto"/>
              </w:rPr>
            </w:pPr>
            <w:r>
              <w:rPr>
                <w:rFonts w:ascii="Arial" w:cs="Arial" w:eastAsia="Arial" w:hAnsi="Arial"/>
                <w:sz w:val="18"/>
                <w:szCs w:val="18"/>
                <w:color w:val="auto"/>
              </w:rPr>
              <w:t>2,742</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97,055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6/8/11</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46,000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184,000</w:t>
            </w: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6/8/11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1,950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59"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Awards represent potential payments under our annual non-equity incentive arrangement for fiscal 2012. Payments are based on specified target levels of corporate performance, business unit performance and individual objectives, as described under “Annual Non-Equity Incentive Compensation” in the Compensation Discussion and Analysis.</w:t>
      </w:r>
    </w:p>
    <w:p>
      <w:pPr>
        <w:spacing w:after="0" w:line="18" w:lineRule="exact"/>
        <w:rPr>
          <w:rFonts w:ascii="Arial" w:cs="Arial" w:eastAsia="Arial" w:hAnsi="Arial"/>
          <w:sz w:val="18"/>
          <w:szCs w:val="18"/>
          <w:color w:val="auto"/>
        </w:rPr>
      </w:pPr>
    </w:p>
    <w:p>
      <w:pPr>
        <w:ind w:left="460" w:right="140"/>
        <w:spacing w:after="0" w:line="294" w:lineRule="auto"/>
        <w:rPr>
          <w:rFonts w:ascii="Arial" w:cs="Arial" w:eastAsia="Arial" w:hAnsi="Arial"/>
          <w:sz w:val="18"/>
          <w:szCs w:val="18"/>
          <w:color w:val="auto"/>
        </w:rPr>
      </w:pPr>
      <w:r>
        <w:rPr>
          <w:rFonts w:ascii="Arial" w:cs="Arial" w:eastAsia="Arial" w:hAnsi="Arial"/>
          <w:sz w:val="16"/>
          <w:szCs w:val="16"/>
          <w:color w:val="auto"/>
        </w:rPr>
        <w:t>The actual amounts earned for fiscal 2012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7" w:lineRule="exact"/>
        <w:rPr>
          <w:rFonts w:ascii="Arial" w:cs="Arial" w:eastAsia="Arial" w:hAnsi="Arial"/>
          <w:sz w:val="18"/>
          <w:szCs w:val="18"/>
          <w:color w:val="auto"/>
        </w:rPr>
      </w:pPr>
    </w:p>
    <w:p>
      <w:pPr>
        <w:ind w:left="460" w:hanging="452"/>
        <w:spacing w:after="0" w:line="313"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Awards represent potential awards of shares of restricted stock under performance-based restricted stock unit awards granted for fiscal 2012. The number of restricted shares to be issued was based on the degree to which specified target levels of income before taxes were achieved. See “Equity Awards” in the Compensation Discussion and Analysis for the performance targets applicable to the performance-based restricted stock units granted for performance in fiscal 2012. Additional terms of the outstanding performance-based restricted stock units are described in Note (a) to the Outstanding Equity Awards table. The number of restricted shares actually granted to each individual for fiscal 2012 performance was above the target level but below the maximum, and is as follows: Mr. Hawkins, 8,623 shares; Ms. Pepski, 4,429 shares; Mr. Erstad, 4,152 shares; Ms. Paulson, 2,861 shares; and Mr. Sevenich, 4,068 shares.</w:t>
      </w:r>
    </w:p>
    <w:p>
      <w:pPr>
        <w:ind w:left="460" w:right="220" w:hanging="452"/>
        <w:spacing w:after="0" w:line="256"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2012 Fiscal Year-End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concerning outstanding equity awards held by our named executive officers as of April 1, 2012.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w w:val="88"/>
              </w:rPr>
              <w:t>Option Awards</w:t>
            </w: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Equity</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Plan</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Market</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Number of</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Value of</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Unearned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Shares or</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Shares or</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Shares,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Units of</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Units or</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Units or</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Stock That</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Stock that</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Other Rights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3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Option</w:t>
            </w:r>
          </w:p>
        </w:tc>
        <w:tc>
          <w:tcPr>
            <w:tcW w:w="11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Have Not</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Have Not</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That Have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3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Options (#)</w:t>
            </w: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Options (#)</w:t>
            </w: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2"/>
              </w:rPr>
              <w:t>Vested</w:t>
            </w: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Vested ($)</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Not Vested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48"/>
        </w:trPr>
        <w:tc>
          <w:tcPr>
            <w:tcW w:w="3120" w:type="dxa"/>
            <w:vAlign w:val="bottom"/>
            <w:gridSpan w:val="2"/>
            <w:vMerge w:val="continue"/>
          </w:tcPr>
          <w:p>
            <w:pPr>
              <w:spacing w:after="0"/>
              <w:rPr>
                <w:sz w:val="12"/>
                <w:szCs w:val="12"/>
                <w:color w:val="auto"/>
              </w:rPr>
            </w:pPr>
          </w:p>
        </w:tc>
        <w:tc>
          <w:tcPr>
            <w:tcW w:w="12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3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4"/>
              </w:rPr>
              <w:t>Unexercisable</w:t>
            </w:r>
          </w:p>
        </w:tc>
        <w:tc>
          <w:tcPr>
            <w:tcW w:w="820" w:type="dxa"/>
            <w:vAlign w:val="bottom"/>
            <w:gridSpan w:val="2"/>
          </w:tcPr>
          <w:p>
            <w:pPr>
              <w:jc w:val="right"/>
              <w:ind w:right="340"/>
              <w:spacing w:after="0" w:line="148" w:lineRule="exact"/>
              <w:rPr>
                <w:sz w:val="20"/>
                <w:szCs w:val="20"/>
                <w:color w:val="auto"/>
              </w:rPr>
            </w:pPr>
            <w:r>
              <w:rPr>
                <w:rFonts w:ascii="Arial" w:cs="Arial" w:eastAsia="Arial" w:hAnsi="Arial"/>
                <w:sz w:val="14"/>
                <w:szCs w:val="14"/>
                <w:b w:val="1"/>
                <w:bCs w:val="1"/>
                <w:color w:val="auto"/>
                <w:w w:val="83"/>
              </w:rPr>
              <w:t xml:space="preserve">Price </w:t>
            </w:r>
            <w:r>
              <w:rPr>
                <w:rFonts w:ascii="Arial" w:cs="Arial" w:eastAsia="Arial" w:hAnsi="Arial"/>
                <w:sz w:val="14"/>
                <w:szCs w:val="14"/>
                <w:b w:val="1"/>
                <w:bCs w:val="1"/>
                <w:u w:val="single" w:color="auto"/>
                <w:color w:val="auto"/>
                <w:w w:val="83"/>
              </w:rPr>
              <w:t>($</w:t>
            </w:r>
            <w:r>
              <w:rPr>
                <w:rFonts w:ascii="Arial" w:cs="Arial" w:eastAsia="Arial" w:hAnsi="Arial"/>
                <w:sz w:val="14"/>
                <w:szCs w:val="14"/>
                <w:b w:val="1"/>
                <w:bCs w:val="1"/>
                <w:color w:val="auto"/>
                <w:w w:val="83"/>
              </w:rPr>
              <w:t>)</w:t>
            </w:r>
          </w:p>
        </w:tc>
        <w:tc>
          <w:tcPr>
            <w:tcW w:w="110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Date</w:t>
            </w:r>
          </w:p>
        </w:tc>
        <w:tc>
          <w:tcPr>
            <w:tcW w:w="9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7"/>
              </w:rPr>
              <w:t>(#)(a)</w:t>
            </w:r>
          </w:p>
        </w:tc>
        <w:tc>
          <w:tcPr>
            <w:tcW w:w="98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89"/>
              </w:rPr>
              <w:t>(b)</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2"/>
                <w:szCs w:val="12"/>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720" w:type="dxa"/>
            <w:vAlign w:val="bottom"/>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16,040</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596,688</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9,333(c)</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15.43</w:t>
            </w:r>
          </w:p>
        </w:tc>
        <w:tc>
          <w:tcPr>
            <w:tcW w:w="3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5/13/2018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9,515</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353,958</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9,333(d)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6/10/2019</w:t>
            </w: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Richard G. Erstad</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9,333(d)</w:t>
            </w:r>
          </w:p>
        </w:tc>
        <w:tc>
          <w:tcPr>
            <w:tcW w:w="500" w:type="dxa"/>
            <w:vAlign w:val="bottom"/>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6/10/2019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8,921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331,861</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Keenan A. Paulson</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9,333(d)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6/10/2019</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291,722</w:t>
            </w: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John R. Sevenich</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9,333(d)</w:t>
            </w:r>
          </w:p>
        </w:tc>
        <w:tc>
          <w:tcPr>
            <w:tcW w:w="500" w:type="dxa"/>
            <w:vAlign w:val="bottom"/>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9"/>
                <w:szCs w:val="19"/>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6/10/2019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8,561</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5"/>
              </w:rPr>
              <w:t>318,469</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298"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Consists of shares of restricted stock actually issued in settlement of the performance-based restricted stock unit awards granted for fiscal 2011 and 2012. The restricted shares vest 100% two years after the last day of fiscal year for which the restricted stock units were awarded. 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closing market price of our common stock as of the most recently completed fiscal year of $37.20 per share.</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stock options granted on May 13, 2008, which became exercisable on May 13, 2011, the third anniversary of the date of grant.</w:t>
      </w:r>
    </w:p>
    <w:p>
      <w:pPr>
        <w:spacing w:after="0" w:line="86" w:lineRule="exact"/>
        <w:rPr>
          <w:rFonts w:ascii="Arial" w:cs="Arial" w:eastAsia="Arial" w:hAnsi="Arial"/>
          <w:sz w:val="16"/>
          <w:szCs w:val="16"/>
          <w:color w:val="auto"/>
        </w:rPr>
      </w:pPr>
    </w:p>
    <w:p>
      <w:pPr>
        <w:ind w:left="460" w:right="40" w:hanging="452"/>
        <w:spacing w:after="0" w:line="37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Represents stock options granted on June 10, 2009, which become exercisable on June 10, 2012, the third anniversary of the date of grant. The vesting of the options may be accelerated upon the occurrence of certain events described below under “Potential Payments Upon Termination or Change in Control”.</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w:t>
      </w:r>
    </w:p>
    <w:p>
      <w:pPr>
        <w:spacing w:after="0" w:line="96" w:lineRule="exact"/>
        <w:rPr>
          <w:sz w:val="20"/>
          <w:szCs w:val="20"/>
          <w:color w:val="auto"/>
        </w:rPr>
      </w:pPr>
    </w:p>
    <w:p>
      <w:pPr>
        <w:ind w:right="580" w:firstLine="456"/>
        <w:spacing w:after="0" w:line="331" w:lineRule="auto"/>
        <w:rPr>
          <w:sz w:val="20"/>
          <w:szCs w:val="20"/>
          <w:color w:val="auto"/>
        </w:rPr>
      </w:pPr>
      <w:r>
        <w:rPr>
          <w:rFonts w:ascii="Arial" w:cs="Arial" w:eastAsia="Arial" w:hAnsi="Arial"/>
          <w:sz w:val="16"/>
          <w:szCs w:val="16"/>
          <w:color w:val="auto"/>
        </w:rPr>
        <w:t>The following table provides information concerning the aggregate number of shares of restricted stock that vested for each of our named executive officers during fiscal 2012, and the aggregate dollar values realized by each of our named executive officers upon such vesting.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560" w:type="dxa"/>
            <w:vAlign w:val="bottom"/>
            <w:tcBorders>
              <w:top w:val="single" w:sz="8" w:color="auto"/>
            </w:tcBorders>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75"/>
              </w:rPr>
              <w:t>of</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1"/>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Acquired</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Shares</w:t>
            </w: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1"/>
              </w:rPr>
              <w:t>on</w:t>
            </w:r>
          </w:p>
        </w:tc>
        <w:tc>
          <w:tcPr>
            <w:tcW w:w="640" w:type="dxa"/>
            <w:vAlign w:val="bottom"/>
          </w:tcPr>
          <w:p>
            <w:pPr>
              <w:spacing w:after="0"/>
              <w:rPr>
                <w:sz w:val="12"/>
                <w:szCs w:val="12"/>
                <w:color w:val="auto"/>
              </w:rPr>
            </w:pPr>
          </w:p>
        </w:tc>
        <w:tc>
          <w:tcPr>
            <w:tcW w:w="15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640" w:type="dxa"/>
            <w:vAlign w:val="bottom"/>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40" w:type="dxa"/>
            <w:vAlign w:val="bottom"/>
            <w:gridSpan w:val="2"/>
            <w:vMerge w:val="restart"/>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2"/>
                <w:szCs w:val="12"/>
                <w:color w:val="auto"/>
              </w:rPr>
            </w:pPr>
          </w:p>
        </w:tc>
        <w:tc>
          <w:tcPr>
            <w:tcW w:w="15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on Vesting</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8"/>
        </w:trPr>
        <w:tc>
          <w:tcPr>
            <w:tcW w:w="46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5140" w:type="dxa"/>
            <w:vAlign w:val="bottom"/>
            <w:gridSpan w:val="2"/>
            <w:vMerge w:val="continue"/>
          </w:tcPr>
          <w:p>
            <w:pPr>
              <w:spacing w:after="0"/>
              <w:rPr>
                <w:sz w:val="14"/>
                <w:szCs w:val="14"/>
                <w:color w:val="auto"/>
              </w:rPr>
            </w:pPr>
          </w:p>
        </w:tc>
        <w:tc>
          <w:tcPr>
            <w:tcW w:w="5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($)(a)</w:t>
            </w:r>
          </w:p>
        </w:tc>
        <w:tc>
          <w:tcPr>
            <w:tcW w:w="640" w:type="dxa"/>
            <w:vAlign w:val="bottom"/>
          </w:tcPr>
          <w:p>
            <w:pPr>
              <w:ind w:left="240"/>
              <w:spacing w:after="0" w:line="148"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1"/>
              </w:rPr>
              <w:t>($)(b)</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5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2"/>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7"/>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Kathleen P. Pepski</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8"/>
              </w:rPr>
              <w:t>3,500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130,200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3,500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Keenan A. Paulson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9,333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163,241</w:t>
            </w:r>
          </w:p>
        </w:tc>
        <w:tc>
          <w:tcPr>
            <w:tcW w:w="66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Arial" w:cs="Arial" w:eastAsia="Arial" w:hAnsi="Arial"/>
                <w:sz w:val="18"/>
                <w:szCs w:val="18"/>
                <w:color w:val="auto"/>
                <w:w w:val="88"/>
              </w:rPr>
              <w:t>1,167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43,412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232,018</w:t>
            </w:r>
          </w:p>
        </w:tc>
        <w:tc>
          <w:tcPr>
            <w:tcW w:w="6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8"/>
              </w:rPr>
              <w:t>3,500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920" w:hanging="5612"/>
        <w:spacing w:after="0" w:line="440" w:lineRule="auto"/>
        <w:tabs>
          <w:tab w:leader="none" w:pos="448"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Amounts in this column are based on the fair market value of a share of our common stock on the date of exercise. 16</w:t>
      </w:r>
    </w:p>
    <w:p>
      <w:pPr>
        <w:sectPr>
          <w:pgSz w:w="11900" w:h="16838" w:orient="portrait"/>
          <w:cols w:equalWidth="0" w:num="1">
            <w:col w:w="11420"/>
          </w:cols>
          <w:pgMar w:left="240" w:top="274" w:right="239" w:bottom="1440" w:gutter="0" w:footer="0" w:header="0"/>
        </w:sectPr>
      </w:pPr>
    </w:p>
    <w:bookmarkStart w:id="18" w:name="page19"/>
    <w:bookmarkEnd w:id="18"/>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in this column are based on the fair market value of a share of our common stock on the date of vesting.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August 2011, our Compensation Committee adopted an Executive Severance Plan to be entered into with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involving the Company (as defined on page 12 in the “Compensation Discussion and Analysis”), as described below.</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Payments under Executive Severance Plan</w:t>
      </w:r>
    </w:p>
    <w:p>
      <w:pPr>
        <w:spacing w:after="0" w:line="90" w:lineRule="exact"/>
        <w:rPr>
          <w:sz w:val="20"/>
          <w:szCs w:val="20"/>
          <w:color w:val="auto"/>
        </w:rPr>
      </w:pPr>
    </w:p>
    <w:p>
      <w:pPr>
        <w:ind w:right="380" w:firstLine="456"/>
        <w:spacing w:after="0" w:line="305" w:lineRule="auto"/>
        <w:rPr>
          <w:sz w:val="20"/>
          <w:szCs w:val="20"/>
          <w:color w:val="auto"/>
        </w:rPr>
      </w:pPr>
      <w:r>
        <w:rPr>
          <w:rFonts w:ascii="Arial" w:cs="Arial" w:eastAsia="Arial" w:hAnsi="Arial"/>
          <w:sz w:val="15"/>
          <w:szCs w:val="15"/>
          <w:color w:val="auto"/>
        </w:rPr>
        <w:t>Under the terms of the Executive Severance Plan, the Compensation Committee is responsible for assigning each executive to one of four tiers, which determines the duration of salary continuation for which an executive may be eligible. Initially, Mr. Hawkins has been assigned to Tier 1 and Ms. Pepski,</w:t>
      </w:r>
    </w:p>
    <w:p>
      <w:pPr>
        <w:ind w:right="20"/>
        <w:spacing w:after="0" w:line="295" w:lineRule="auto"/>
        <w:rPr>
          <w:sz w:val="20"/>
          <w:szCs w:val="20"/>
          <w:color w:val="auto"/>
        </w:rPr>
      </w:pPr>
      <w:r>
        <w:rPr>
          <w:rFonts w:ascii="Arial" w:cs="Arial" w:eastAsia="Arial" w:hAnsi="Arial"/>
          <w:sz w:val="16"/>
          <w:szCs w:val="16"/>
          <w:color w:val="auto"/>
        </w:rPr>
        <w:t>Ms. Paulson and Mr. Sevenich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Executive Severance Plan, “cause” means:</w:t>
      </w:r>
    </w:p>
    <w:p>
      <w:pPr>
        <w:spacing w:after="0" w:line="90"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executive’s willful and material failure or refusal during his or her employment to carry out any reasonable directive of the Board;</w:t>
      </w:r>
    </w:p>
    <w:p>
      <w:pPr>
        <w:spacing w:after="0" w:line="90" w:lineRule="exact"/>
        <w:rPr>
          <w:rFonts w:ascii="Arial" w:cs="Arial" w:eastAsia="Arial" w:hAnsi="Arial"/>
          <w:sz w:val="18"/>
          <w:szCs w:val="18"/>
          <w:color w:val="auto"/>
        </w:rPr>
      </w:pPr>
    </w:p>
    <w:p>
      <w:pPr>
        <w:jc w:val="both"/>
        <w:ind w:left="660" w:right="260" w:hanging="206"/>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59"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executive’s embezzlement or misappropriation of our funds or any other willful act or omission by the executive which is materially injurious to our financial condition or business reputation; or</w:t>
      </w:r>
    </w:p>
    <w:p>
      <w:pPr>
        <w:spacing w:after="0" w:line="5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payments and benefits that would be paid to executives under the Executive Severance Plan as a result of a termination of employment without cause not due to a change in control include (1) base salary for the salary continuation period associated with their tier, (2) COBRA continuation coverage for medical and dental benefits for a maximum of 18 months (with the executive to be charged the active employee rate for coverage), and (3) the reasonable costs of outplacement services for a maximum of one year.</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additional payments and benefits that would be paid to executives under the Executive Severance Plan as a result of a qualifying termination of employment in connection with a “change in control” (as defined below) include (1) six additional months of salary continuation, (2) a benefit equal to the annual bonus the executive would have received (measured at target) if the executive had remained employed and eligible to receive such bonus for the entire salary continuation period, and (3) a benefit equal to the additional benefit, if any, that would have been received under the Hawkins, Inc. Profit Sharing Plan if the executive had remained employed and eligible for the Profit Sharing Plan for the entire salary continuation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82" w:right="27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Executive Severance Plan, “change in control” means:</w:t>
      </w:r>
    </w:p>
    <w:p>
      <w:pPr>
        <w:spacing w:after="0" w:line="90" w:lineRule="exact"/>
        <w:rPr>
          <w:sz w:val="20"/>
          <w:szCs w:val="20"/>
          <w:color w:val="auto"/>
        </w:rPr>
      </w:pPr>
    </w:p>
    <w:p>
      <w:pPr>
        <w:ind w:left="66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 or</w:t>
      </w:r>
    </w:p>
    <w:p>
      <w:pPr>
        <w:spacing w:after="0" w:line="62" w:lineRule="exact"/>
        <w:rPr>
          <w:rFonts w:ascii="Arial" w:cs="Arial" w:eastAsia="Arial" w:hAnsi="Arial"/>
          <w:sz w:val="18"/>
          <w:szCs w:val="18"/>
          <w:color w:val="auto"/>
        </w:rPr>
      </w:pPr>
    </w:p>
    <w:p>
      <w:pPr>
        <w:ind w:left="660" w:right="20" w:hanging="206"/>
        <w:spacing w:after="0" w:line="288"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38" w:lineRule="exact"/>
        <w:rPr>
          <w:rFonts w:ascii="Arial" w:cs="Arial" w:eastAsia="Arial" w:hAnsi="Arial"/>
          <w:sz w:val="16"/>
          <w:szCs w:val="16"/>
          <w:color w:val="auto"/>
        </w:rPr>
      </w:pPr>
    </w:p>
    <w:p>
      <w:pPr>
        <w:ind w:left="660" w:right="40" w:hanging="206"/>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6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4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Salary</w:t>
            </w: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9"/>
              </w:rPr>
              <w:t>Medical</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and Dental</w:t>
            </w:r>
          </w:p>
        </w:tc>
        <w:tc>
          <w:tcPr>
            <w:tcW w:w="15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120" w:type="dxa"/>
            <w:vAlign w:val="bottom"/>
            <w:vMerge w:val="restart"/>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6"/>
              </w:rPr>
              <w:t>Amount</w:t>
            </w: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Coverage</w:t>
            </w:r>
          </w:p>
        </w:tc>
        <w:tc>
          <w:tcPr>
            <w:tcW w:w="15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Costs</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144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($)(a)</w:t>
            </w:r>
          </w:p>
        </w:tc>
        <w:tc>
          <w:tcPr>
            <w:tcW w:w="132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91"/>
              </w:rPr>
              <w:t>($)(b)</w:t>
            </w:r>
          </w:p>
        </w:tc>
        <w:tc>
          <w:tcPr>
            <w:tcW w:w="152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rPr>
              <w:t>($)(c)</w:t>
            </w:r>
          </w:p>
        </w:tc>
        <w:tc>
          <w:tcPr>
            <w:tcW w:w="62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487,500</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13,317</w:t>
            </w:r>
          </w:p>
        </w:tc>
        <w:tc>
          <w:tcPr>
            <w:tcW w:w="6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510,817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780" w:type="dxa"/>
            <w:vAlign w:val="bottom"/>
          </w:tcPr>
          <w:p>
            <w:pPr>
              <w:jc w:val="right"/>
              <w:spacing w:after="0"/>
              <w:rPr>
                <w:sz w:val="20"/>
                <w:szCs w:val="20"/>
                <w:color w:val="auto"/>
              </w:rPr>
            </w:pPr>
            <w:r>
              <w:rPr>
                <w:rFonts w:ascii="Arial" w:cs="Arial" w:eastAsia="Arial" w:hAnsi="Arial"/>
                <w:sz w:val="18"/>
                <w:szCs w:val="18"/>
                <w:color w:val="auto"/>
              </w:rPr>
              <w:t>250,400</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10,922</w:t>
            </w:r>
          </w:p>
        </w:tc>
        <w:tc>
          <w:tcPr>
            <w:tcW w:w="6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271,322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234,750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10,922</w:t>
            </w: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255,672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780" w:type="dxa"/>
            <w:vAlign w:val="bottom"/>
          </w:tcPr>
          <w:p>
            <w:pPr>
              <w:jc w:val="right"/>
              <w:spacing w:after="0"/>
              <w:rPr>
                <w:sz w:val="20"/>
                <w:szCs w:val="20"/>
                <w:color w:val="auto"/>
              </w:rPr>
            </w:pPr>
            <w:r>
              <w:rPr>
                <w:rFonts w:ascii="Arial" w:cs="Arial" w:eastAsia="Arial" w:hAnsi="Arial"/>
                <w:sz w:val="18"/>
                <w:szCs w:val="18"/>
                <w:color w:val="auto"/>
              </w:rPr>
              <w:t>242,638</w:t>
            </w:r>
          </w:p>
        </w:tc>
        <w:tc>
          <w:tcPr>
            <w:tcW w:w="6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11,923</w:t>
            </w:r>
          </w:p>
        </w:tc>
        <w:tc>
          <w:tcPr>
            <w:tcW w:w="68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10,000</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264,561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8,878</w:t>
            </w:r>
          </w:p>
        </w:tc>
        <w:tc>
          <w:tcPr>
            <w:tcW w:w="6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10,000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248,878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63"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Under the Executive Severance Plan, a “termination due to change in control” means a termination for good reason or a termination without cause that happens during the 30-day period preceding or the two-year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0" w:name="page21"/>
    <w:bookmarkEnd w:id="20"/>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beginning on the date of a change in control. A “termination for good reason” means a termination of employment by the executive provided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32"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decrease in the executive’s base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relocation of the executive’s principal office more than 50 miles from its current location; or</w:t>
      </w:r>
    </w:p>
    <w:p>
      <w:pPr>
        <w:spacing w:after="0" w:line="90" w:lineRule="exact"/>
        <w:rPr>
          <w:rFonts w:ascii="Arial" w:cs="Arial" w:eastAsia="Arial" w:hAnsi="Arial"/>
          <w:sz w:val="18"/>
          <w:szCs w:val="18"/>
          <w:color w:val="auto"/>
        </w:rPr>
      </w:pPr>
    </w:p>
    <w:p>
      <w:pPr>
        <w:ind w:left="660" w:right="2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us of any terms or conditions of any agreement between us and the executive, which breach has not been caused by the executive.</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Salary</w:t>
            </w: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Medical</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Target</w:t>
            </w: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Profit</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and Dental</w:t>
            </w:r>
          </w:p>
        </w:tc>
        <w:tc>
          <w:tcPr>
            <w:tcW w:w="12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5"/>
              </w:rPr>
              <w:t>Outplacement</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Bonus</w:t>
            </w: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Sharing</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00" w:type="dxa"/>
            <w:vAlign w:val="bottom"/>
            <w:vMerge w:val="restart"/>
          </w:tcPr>
          <w:p>
            <w:pPr>
              <w:spacing w:after="0"/>
              <w:rPr>
                <w:sz w:val="12"/>
                <w:szCs w:val="12"/>
                <w:color w:val="auto"/>
              </w:rPr>
            </w:pPr>
          </w:p>
        </w:tc>
        <w:tc>
          <w:tcPr>
            <w:tcW w:w="11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Amount</w:t>
            </w: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Coverage</w:t>
            </w:r>
          </w:p>
        </w:tc>
        <w:tc>
          <w:tcPr>
            <w:tcW w:w="122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Costs</w:t>
            </w:r>
          </w:p>
        </w:tc>
        <w:tc>
          <w:tcPr>
            <w:tcW w:w="10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Amount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8"/>
              </w:rPr>
              <w:t>Contribution</w:t>
            </w:r>
          </w:p>
        </w:tc>
        <w:tc>
          <w:tcPr>
            <w:tcW w:w="86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118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93"/>
              </w:rPr>
              <w:t>($)(a)</w:t>
            </w:r>
          </w:p>
        </w:tc>
        <w:tc>
          <w:tcPr>
            <w:tcW w:w="104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($)(b)</w:t>
            </w:r>
          </w:p>
        </w:tc>
        <w:tc>
          <w:tcPr>
            <w:tcW w:w="1220" w:type="dxa"/>
            <w:vAlign w:val="bottom"/>
            <w:gridSpan w:val="2"/>
          </w:tcPr>
          <w:p>
            <w:pPr>
              <w:ind w:left="260"/>
              <w:spacing w:after="0" w:line="148" w:lineRule="exact"/>
              <w:rPr>
                <w:sz w:val="20"/>
                <w:szCs w:val="20"/>
                <w:color w:val="auto"/>
              </w:rPr>
            </w:pPr>
            <w:r>
              <w:rPr>
                <w:rFonts w:ascii="Arial" w:cs="Arial" w:eastAsia="Arial" w:hAnsi="Arial"/>
                <w:sz w:val="14"/>
                <w:szCs w:val="14"/>
                <w:b w:val="1"/>
                <w:bCs w:val="1"/>
                <w:color w:val="auto"/>
              </w:rPr>
              <w:t>($)(c)</w:t>
            </w:r>
          </w:p>
        </w:tc>
        <w:tc>
          <w:tcPr>
            <w:tcW w:w="104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91"/>
              </w:rPr>
              <w:t>($)(d)</w:t>
            </w:r>
          </w:p>
        </w:tc>
        <w:tc>
          <w:tcPr>
            <w:tcW w:w="1180" w:type="dxa"/>
            <w:vAlign w:val="bottom"/>
            <w:gridSpan w:val="2"/>
          </w:tcPr>
          <w:p>
            <w:pPr>
              <w:jc w:val="center"/>
              <w:ind w:right="400"/>
              <w:spacing w:after="0" w:line="148" w:lineRule="exact"/>
              <w:rPr>
                <w:sz w:val="20"/>
                <w:szCs w:val="20"/>
                <w:color w:val="auto"/>
              </w:rPr>
            </w:pPr>
            <w:r>
              <w:rPr>
                <w:rFonts w:ascii="Arial" w:cs="Arial" w:eastAsia="Arial" w:hAnsi="Arial"/>
                <w:sz w:val="14"/>
                <w:szCs w:val="14"/>
                <w:b w:val="1"/>
                <w:bCs w:val="1"/>
                <w:color w:val="auto"/>
                <w:w w:val="87"/>
              </w:rPr>
              <w:t>($)(e)</w:t>
            </w:r>
          </w:p>
        </w:tc>
        <w:tc>
          <w:tcPr>
            <w:tcW w:w="760" w:type="dxa"/>
            <w:vAlign w:val="bottom"/>
          </w:tcPr>
          <w:p>
            <w:pPr>
              <w:jc w:val="right"/>
              <w:ind w:right="21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76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2"/>
              </w:rPr>
              <w:t>650,000</w:t>
            </w: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3"/>
              </w:rPr>
              <w:t>13,317</w:t>
            </w:r>
          </w:p>
        </w:tc>
        <w:tc>
          <w:tcPr>
            <w:tcW w:w="4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w:t>
            </w:r>
          </w:p>
        </w:tc>
        <w:tc>
          <w:tcPr>
            <w:tcW w:w="4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390,000</w:t>
            </w: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4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1,138,317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375,600</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16,383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150,240</w:t>
            </w:r>
          </w:p>
        </w:tc>
        <w:tc>
          <w:tcPr>
            <w:tcW w:w="780" w:type="dxa"/>
            <w:vAlign w:val="bottom"/>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589,723</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352,125</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16,383</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105,638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521,645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363,957</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17,885</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145,583</w:t>
            </w:r>
          </w:p>
        </w:tc>
        <w:tc>
          <w:tcPr>
            <w:tcW w:w="780" w:type="dxa"/>
            <w:vAlign w:val="bottom"/>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574,925</w:t>
            </w: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345,000</w:t>
            </w:r>
          </w:p>
        </w:tc>
        <w:tc>
          <w:tcPr>
            <w:tcW w:w="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3"/>
              </w:rPr>
              <w:t>13,317</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138,000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determined by multiplying the executive’s base salary times the number of months in the applicable salary continuation period.</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Constitutes the estimated cost to the Company of 12 months of outplacement services.</w:t>
      </w:r>
    </w:p>
    <w:p>
      <w:pPr>
        <w:spacing w:after="0" w:line="63" w:lineRule="exact"/>
        <w:rPr>
          <w:rFonts w:ascii="Arial" w:cs="Arial" w:eastAsia="Arial" w:hAnsi="Arial"/>
          <w:sz w:val="18"/>
          <w:szCs w:val="18"/>
          <w:color w:val="auto"/>
        </w:rPr>
      </w:pPr>
    </w:p>
    <w:p>
      <w:pPr>
        <w:ind w:left="460" w:right="240" w:hanging="452"/>
        <w:spacing w:after="0" w:line="268"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determined by multiplying one-twelfth of the executive’s target annual bonus times the number of months in the applicable salary continuation period.</w:t>
      </w:r>
    </w:p>
    <w:p>
      <w:pPr>
        <w:spacing w:after="0" w:line="23" w:lineRule="exact"/>
        <w:rPr>
          <w:rFonts w:ascii="Arial" w:cs="Arial" w:eastAsia="Arial" w:hAnsi="Arial"/>
          <w:sz w:val="18"/>
          <w:szCs w:val="18"/>
          <w:color w:val="auto"/>
        </w:rPr>
      </w:pPr>
    </w:p>
    <w:p>
      <w:pPr>
        <w:ind w:left="460" w:right="280" w:hanging="452"/>
        <w:spacing w:after="0" w:line="332"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Accelerated Vesting of Equity Awards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Termination Other than Due to Death or Disability Following a Fundamental Change. </w:t>
      </w:r>
      <w:r>
        <w:rPr>
          <w:rFonts w:ascii="Arial" w:cs="Arial" w:eastAsia="Arial" w:hAnsi="Arial"/>
          <w:sz w:val="16"/>
          <w:szCs w:val="16"/>
          <w:color w:val="auto"/>
        </w:rPr>
        <w:t>All named executive officers with performance-based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1" w:name="page22"/>
    <w:bookmarkEnd w:id="2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5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3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Termination of Employment Due to Death or Disability. </w:t>
      </w:r>
      <w:r>
        <w:rPr>
          <w:rFonts w:ascii="Arial" w:cs="Arial" w:eastAsia="Arial" w:hAnsi="Arial"/>
          <w:sz w:val="18"/>
          <w:szCs w:val="18"/>
          <w:color w:val="auto"/>
        </w:rPr>
        <w:t>All named executive officers with performance-based restricted stock units or shares of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6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5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following table presents the value of all outstanding restricted stock unit, restricted stock and option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Early Vesting of</w:t>
            </w: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Performance-Based</w:t>
            </w: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Restricted Stock</w:t>
            </w:r>
          </w:p>
        </w:tc>
        <w:tc>
          <w:tcPr>
            <w:tcW w:w="16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6"/>
              </w:rPr>
              <w:t>Early Vesting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660" w:type="dxa"/>
            <w:vAlign w:val="bottom"/>
            <w:vMerge w:val="restart"/>
          </w:tcPr>
          <w:p>
            <w:pPr>
              <w:spacing w:after="0"/>
              <w:rPr>
                <w:sz w:val="12"/>
                <w:szCs w:val="12"/>
                <w:color w:val="auto"/>
              </w:rPr>
            </w:pPr>
          </w:p>
        </w:tc>
        <w:tc>
          <w:tcPr>
            <w:tcW w:w="200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4"/>
              </w:rPr>
              <w:t>Units/Restricted Stock</w:t>
            </w:r>
          </w:p>
        </w:tc>
        <w:tc>
          <w:tcPr>
            <w:tcW w:w="16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660" w:type="dxa"/>
            <w:vAlign w:val="bottom"/>
            <w:vMerge w:val="continue"/>
          </w:tcPr>
          <w:p>
            <w:pPr>
              <w:spacing w:after="0"/>
              <w:rPr>
                <w:sz w:val="14"/>
                <w:szCs w:val="14"/>
                <w:color w:val="auto"/>
              </w:rPr>
            </w:pPr>
          </w:p>
        </w:tc>
        <w:tc>
          <w:tcPr>
            <w:tcW w:w="20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3"/>
              </w:rPr>
              <w:t>($)(a)</w:t>
            </w:r>
          </w:p>
        </w:tc>
        <w:tc>
          <w:tcPr>
            <w:tcW w:w="166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7"/>
              </w:rPr>
              <w:t>($)(b)</w:t>
            </w:r>
          </w:p>
        </w:tc>
        <w:tc>
          <w:tcPr>
            <w:tcW w:w="620" w:type="dxa"/>
            <w:vAlign w:val="bottom"/>
          </w:tcPr>
          <w:p>
            <w:pPr>
              <w:jc w:val="right"/>
              <w:ind w:right="15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Patrick H. Hawkins</w:t>
            </w:r>
          </w:p>
        </w:tc>
        <w:tc>
          <w:tcPr>
            <w:tcW w:w="1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583,372</w:t>
            </w:r>
          </w:p>
        </w:tc>
        <w:tc>
          <w:tcPr>
            <w:tcW w:w="7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583,372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Kathleen P. Pepski</w:t>
            </w:r>
          </w:p>
        </w:tc>
        <w:tc>
          <w:tcPr>
            <w:tcW w:w="1280" w:type="dxa"/>
            <w:vAlign w:val="bottom"/>
          </w:tcPr>
          <w:p>
            <w:pPr>
              <w:jc w:val="right"/>
              <w:spacing w:after="0"/>
              <w:rPr>
                <w:sz w:val="20"/>
                <w:szCs w:val="20"/>
                <w:color w:val="auto"/>
              </w:rPr>
            </w:pPr>
            <w:r>
              <w:rPr>
                <w:rFonts w:ascii="Arial" w:cs="Arial" w:eastAsia="Arial" w:hAnsi="Arial"/>
                <w:sz w:val="18"/>
                <w:szCs w:val="18"/>
                <w:color w:val="auto"/>
              </w:rPr>
              <w:t>347,123</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161,461</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508,584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325,460</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161,461</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486,921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Keenan A. Paulson</w:t>
            </w:r>
          </w:p>
        </w:tc>
        <w:tc>
          <w:tcPr>
            <w:tcW w:w="1280" w:type="dxa"/>
            <w:vAlign w:val="bottom"/>
          </w:tcPr>
          <w:p>
            <w:pPr>
              <w:jc w:val="right"/>
              <w:spacing w:after="0"/>
              <w:rPr>
                <w:sz w:val="20"/>
                <w:szCs w:val="20"/>
                <w:color w:val="auto"/>
              </w:rPr>
            </w:pPr>
            <w:r>
              <w:rPr>
                <w:rFonts w:ascii="Arial" w:cs="Arial" w:eastAsia="Arial" w:hAnsi="Arial"/>
                <w:sz w:val="18"/>
                <w:szCs w:val="18"/>
                <w:color w:val="auto"/>
              </w:rPr>
              <w:t>287,312</w:t>
            </w:r>
          </w:p>
        </w:tc>
        <w:tc>
          <w:tcPr>
            <w:tcW w:w="7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161,461</w:t>
            </w:r>
          </w:p>
        </w:tc>
        <w:tc>
          <w:tcPr>
            <w:tcW w:w="7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448,773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Sevenich</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312,198</w:t>
            </w: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161,461</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473,659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Amounts determined by multiplying the number of shares for which vesting is accelerated by our closing stock price on March 30, 2012 ($37.20 per share).</w:t>
      </w:r>
    </w:p>
    <w:p>
      <w:pPr>
        <w:spacing w:after="0" w:line="86" w:lineRule="exact"/>
        <w:rPr>
          <w:rFonts w:ascii="Arial" w:cs="Arial" w:eastAsia="Arial" w:hAnsi="Arial"/>
          <w:sz w:val="16"/>
          <w:szCs w:val="16"/>
          <w:color w:val="auto"/>
        </w:rPr>
      </w:pPr>
    </w:p>
    <w:p>
      <w:pPr>
        <w:ind w:left="460" w:right="4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determined by multiplying the number of option shares for which vesting is accelerated by our closing stock price on March 30, 2012 ($37.20 per share) and subtracting the exercise price of such option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Fiscal 2012</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During fiscal 2012, we paid each non-employee director an annual retainer of $25,000. We paid a supplemental annual retainer of $15,000 to our Chairman of the Board. We also paid supplemental annual retainers of $7,500 to the chairs of the Audit and Compensation committees and $5,000 to the chair of our Governance and Nominating Committee. Additionally, our non-employee directors received a meeting fee of $2,000 for each Board and committee meeting attended.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2" w:name="page23"/>
    <w:bookmarkEnd w:id="22"/>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Compensation Committee oversees our non-employee director compensation program, under which each non-employee director is entitled to receive a grant of restricted common stock with a value of $35,000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2012, each non-employee director was granted 1,020 shares of restricted common stock on August 2, 2011, and these shares will vest in their entirety one year from their date of issuance.</w:t>
      </w:r>
    </w:p>
    <w:p>
      <w:pPr>
        <w:spacing w:after="0" w:line="6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During fiscal 2006, we entered into a consulting agreement with John S. McKeon, our Chairman of the Board, which was amended in fiscal 2010 and fiscal 2012, to provide consulting services for certain strategic projects. Mr. McKeon received consulting fees of $65,000 under this arrangement in fiscal 2012.</w:t>
      </w:r>
    </w:p>
    <w:p>
      <w:pPr>
        <w:spacing w:after="0" w:line="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shows, for each of our current and former non-employee directors, information concerning annual compensation earned for services in all capacities during fiscal 2012:</w:t>
      </w:r>
    </w:p>
    <w:p>
      <w:pPr>
        <w:spacing w:after="0" w:line="3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4"/>
              </w:rPr>
              <w:t>Fees Earned</w:t>
            </w: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3"/>
              </w:rPr>
              <w:t>Stock</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520" w:type="dxa"/>
            <w:vAlign w:val="bottom"/>
            <w:vMerge w:val="restart"/>
          </w:tcPr>
          <w:p>
            <w:pPr>
              <w:spacing w:after="0"/>
              <w:rPr>
                <w:sz w:val="12"/>
                <w:szCs w:val="12"/>
                <w:color w:val="auto"/>
              </w:rPr>
            </w:pPr>
          </w:p>
        </w:tc>
        <w:tc>
          <w:tcPr>
            <w:tcW w:w="1520" w:type="dxa"/>
            <w:vAlign w:val="bottom"/>
            <w:gridSpan w:val="2"/>
          </w:tcPr>
          <w:p>
            <w:pPr>
              <w:jc w:val="right"/>
              <w:ind w:right="940"/>
              <w:spacing w:after="0" w:line="149" w:lineRule="exact"/>
              <w:rPr>
                <w:sz w:val="20"/>
                <w:szCs w:val="20"/>
                <w:color w:val="auto"/>
              </w:rPr>
            </w:pPr>
            <w:r>
              <w:rPr>
                <w:rFonts w:ascii="Arial" w:cs="Arial" w:eastAsia="Arial" w:hAnsi="Arial"/>
                <w:sz w:val="14"/>
                <w:szCs w:val="14"/>
                <w:b w:val="1"/>
                <w:bCs w:val="1"/>
                <w:color w:val="auto"/>
              </w:rPr>
              <w:t>or Paid</w:t>
            </w: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6"/>
              </w:rPr>
              <w:t>Awards ($)</w:t>
            </w:r>
          </w:p>
        </w:tc>
        <w:tc>
          <w:tcPr>
            <w:tcW w:w="1920" w:type="dxa"/>
            <w:vAlign w:val="bottom"/>
            <w:gridSpan w:val="2"/>
          </w:tcPr>
          <w:p>
            <w:pPr>
              <w:jc w:val="right"/>
              <w:ind w:right="1120"/>
              <w:spacing w:after="0" w:line="149" w:lineRule="exact"/>
              <w:rPr>
                <w:sz w:val="20"/>
                <w:szCs w:val="20"/>
                <w:color w:val="auto"/>
              </w:rPr>
            </w:pPr>
            <w:r>
              <w:rPr>
                <w:rFonts w:ascii="Arial" w:cs="Arial" w:eastAsia="Arial" w:hAnsi="Arial"/>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520" w:type="dxa"/>
            <w:vAlign w:val="bottom"/>
            <w:vMerge w:val="continue"/>
          </w:tcPr>
          <w:p>
            <w:pPr>
              <w:spacing w:after="0"/>
              <w:rPr>
                <w:sz w:val="14"/>
                <w:szCs w:val="14"/>
                <w:color w:val="auto"/>
              </w:rPr>
            </w:pPr>
          </w:p>
        </w:tc>
        <w:tc>
          <w:tcPr>
            <w:tcW w:w="1520" w:type="dxa"/>
            <w:vAlign w:val="bottom"/>
            <w:gridSpan w:val="2"/>
          </w:tcPr>
          <w:p>
            <w:pPr>
              <w:jc w:val="right"/>
              <w:ind w:right="840"/>
              <w:spacing w:after="0" w:line="148" w:lineRule="exact"/>
              <w:rPr>
                <w:sz w:val="20"/>
                <w:szCs w:val="20"/>
                <w:color w:val="auto"/>
              </w:rPr>
            </w:pPr>
            <w:r>
              <w:rPr>
                <w:rFonts w:ascii="Arial" w:cs="Arial" w:eastAsia="Arial" w:hAnsi="Arial"/>
                <w:sz w:val="14"/>
                <w:szCs w:val="14"/>
                <w:b w:val="1"/>
                <w:bCs w:val="1"/>
                <w:color w:val="auto"/>
                <w:w w:val="92"/>
              </w:rPr>
              <w:t>in Cash ($)</w:t>
            </w:r>
          </w:p>
        </w:tc>
        <w:tc>
          <w:tcPr>
            <w:tcW w:w="144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93"/>
              </w:rPr>
              <w:t>(a)</w:t>
            </w:r>
          </w:p>
        </w:tc>
        <w:tc>
          <w:tcPr>
            <w:tcW w:w="1920" w:type="dxa"/>
            <w:vAlign w:val="bottom"/>
            <w:gridSpan w:val="2"/>
          </w:tcPr>
          <w:p>
            <w:pPr>
              <w:jc w:val="right"/>
              <w:ind w:right="880"/>
              <w:spacing w:after="0" w:line="148" w:lineRule="exact"/>
              <w:rPr>
                <w:sz w:val="20"/>
                <w:szCs w:val="20"/>
                <w:color w:val="auto"/>
              </w:rPr>
            </w:pPr>
            <w:r>
              <w:rPr>
                <w:rFonts w:ascii="Arial" w:cs="Arial" w:eastAsia="Arial" w:hAnsi="Arial"/>
                <w:sz w:val="14"/>
                <w:szCs w:val="14"/>
                <w:b w:val="1"/>
                <w:bCs w:val="1"/>
                <w:color w:val="auto"/>
                <w:w w:val="86"/>
              </w:rPr>
              <w:t xml:space="preserve">Compensation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7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49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Faulconbridge</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58,000</w:t>
            </w:r>
          </w:p>
        </w:tc>
        <w:tc>
          <w:tcPr>
            <w:tcW w:w="8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34,986</w:t>
            </w:r>
          </w:p>
        </w:tc>
        <w:tc>
          <w:tcPr>
            <w:tcW w:w="8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92,986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Duane M. Jergenson</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45,000</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34,986</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79,986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76,000</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34,986</w:t>
            </w:r>
          </w:p>
        </w:tc>
        <w:tc>
          <w:tcPr>
            <w:tcW w:w="19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65,000(b)</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175,986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Daryl I. Skaar</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53,000</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34,986</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T. Thompson</w:t>
            </w:r>
          </w:p>
        </w:tc>
        <w:tc>
          <w:tcPr>
            <w:tcW w:w="152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62,500</w:t>
            </w:r>
          </w:p>
        </w:tc>
        <w:tc>
          <w:tcPr>
            <w:tcW w:w="14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34,986</w:t>
            </w:r>
          </w:p>
        </w:tc>
        <w:tc>
          <w:tcPr>
            <w:tcW w:w="192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Jeffrey L. Wright</w:t>
            </w:r>
          </w:p>
        </w:tc>
        <w:tc>
          <w:tcPr>
            <w:tcW w:w="1520" w:type="dxa"/>
            <w:vAlign w:val="bottom"/>
            <w:gridSpan w:val="2"/>
          </w:tcPr>
          <w:p>
            <w:pPr>
              <w:jc w:val="right"/>
              <w:ind w:right="800"/>
              <w:spacing w:after="0"/>
              <w:rPr>
                <w:sz w:val="20"/>
                <w:szCs w:val="20"/>
                <w:color w:val="auto"/>
              </w:rPr>
            </w:pPr>
            <w:r>
              <w:rPr>
                <w:rFonts w:ascii="Arial" w:cs="Arial" w:eastAsia="Arial" w:hAnsi="Arial"/>
                <w:sz w:val="18"/>
                <w:szCs w:val="18"/>
                <w:color w:val="auto"/>
              </w:rPr>
              <w:t>70,500</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34,986</w:t>
            </w:r>
          </w:p>
        </w:tc>
        <w:tc>
          <w:tcPr>
            <w:tcW w:w="192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105,486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member of the Board received 1,020 shares of restricted stock as part of his retainer on August 2, 2011 pursuant to the 2010 Plan. The amounts shown in this column represent the grant-date fair value of each of the awards computed in accordance with FASB ASC Topic 718. See Note 9, Profit Sharing and Employee Stock Ownership Plans, to our audited financial statements included in our Annual Report on Form 10-K for fiscal 2012 for a description of our accounting for these awards and the assumptions used in valuing the awards. All of these shares vest in full on August 2, 2012, are eligible to receive dividends paid on our common stock and were the only shares of restricted stock held by each director at the end of our most recently completed fiscal year.</w:t>
      </w:r>
    </w:p>
    <w:p>
      <w:pPr>
        <w:spacing w:after="0" w:line="36"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consulting fees, as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All decisions regarding compensation of our executive officers during fiscal 2012 were made by the Compensation Committee of our Board of Directors. During fiscal 2012,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provides information about shares that may be issued under the Hawkins, Inc. 2004 Omnibus Stock Plan (the “2004 Plan”) and the Hawkins, Inc. 2010 Omnibus Incentive Plan (the “2010 Plan”) as of April 1, 2012. We do not have any other equity compensation plans required to be included in this table.</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88"/>
              </w:rPr>
              <w:t>Number of</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5"/>
              </w:rPr>
              <w:t>Securities to Be</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4"/>
              </w:rPr>
              <w:t>Issued upon</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for Future Issuance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580" w:type="dxa"/>
            <w:vAlign w:val="bottom"/>
            <w:vMerge w:val="restart"/>
          </w:tcPr>
          <w:p>
            <w:pPr>
              <w:spacing w:after="0"/>
              <w:rPr>
                <w:sz w:val="12"/>
                <w:szCs w:val="12"/>
                <w:color w:val="auto"/>
              </w:rPr>
            </w:pPr>
          </w:p>
        </w:tc>
        <w:tc>
          <w:tcPr>
            <w:tcW w:w="21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Options, Warrants</w:t>
            </w:r>
          </w:p>
        </w:tc>
        <w:tc>
          <w:tcPr>
            <w:tcW w:w="218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Under Equity</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18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5"/>
              </w:rPr>
              <w:t>and Rights</w:t>
            </w:r>
          </w:p>
        </w:tc>
        <w:tc>
          <w:tcPr>
            <w:tcW w:w="218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7"/>
              </w:rPr>
              <w:t>and Rights ($)</w:t>
            </w:r>
          </w:p>
        </w:tc>
        <w:tc>
          <w:tcPr>
            <w:tcW w:w="16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6"/>
              </w:rPr>
              <w:t>Compensation Plans</w:t>
            </w:r>
          </w:p>
        </w:tc>
        <w:tc>
          <w:tcPr>
            <w:tcW w:w="0" w:type="dxa"/>
            <w:vAlign w:val="bottom"/>
          </w:tcPr>
          <w:p>
            <w:pPr>
              <w:spacing w:after="0"/>
              <w:rPr>
                <w:sz w:val="1"/>
                <w:szCs w:val="1"/>
                <w:color w:val="auto"/>
              </w:rPr>
            </w:pPr>
          </w:p>
        </w:tc>
      </w:tr>
      <w:tr>
        <w:trPr>
          <w:trHeight w:val="181"/>
        </w:trPr>
        <w:tc>
          <w:tcPr>
            <w:tcW w:w="44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 by security</w:t>
            </w:r>
          </w:p>
        </w:tc>
        <w:tc>
          <w:tcPr>
            <w:tcW w:w="10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holders(a)</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1100" w:type="dxa"/>
            <w:vAlign w:val="bottom"/>
            <w:shd w:val="clear" w:color="auto" w:fill="CCEEFF"/>
          </w:tcPr>
          <w:p>
            <w:pPr>
              <w:spacing w:after="0"/>
              <w:rPr>
                <w:sz w:val="19"/>
                <w:szCs w:val="19"/>
                <w:color w:val="auto"/>
              </w:rPr>
            </w:pPr>
          </w:p>
        </w:tc>
        <w:tc>
          <w:tcPr>
            <w:tcW w:w="21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19.01</w:t>
            </w:r>
          </w:p>
        </w:tc>
        <w:tc>
          <w:tcPr>
            <w:tcW w:w="1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0"/>
              </w:rPr>
              <w:t>1,001,336(b)(c)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maintain two plans that were approved by our shareholders, the 2004 Plan and the 2010 Plan. Both plans allow awards in the form of restricted or unrestricted stock, incentive or non-statutory stock options, stock appreciation rights, performance-based restricted stock units or other stock-based awards. Our board of directors has determined that no further awards will be granted under the 2004 Plan.</w:t>
      </w:r>
    </w:p>
    <w:p>
      <w:pPr>
        <w:spacing w:after="0" w:line="32" w:lineRule="exact"/>
        <w:rPr>
          <w:rFonts w:ascii="Arial" w:cs="Arial" w:eastAsia="Arial" w:hAnsi="Arial"/>
          <w:sz w:val="18"/>
          <w:szCs w:val="18"/>
          <w:color w:val="auto"/>
        </w:rPr>
      </w:pPr>
    </w:p>
    <w:p>
      <w:pPr>
        <w:ind w:left="460" w:right="7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w:t>
      </w:r>
    </w:p>
    <w:p>
      <w:pPr>
        <w:spacing w:after="0" w:line="23"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Does not include 28,682 shares of restricted stock which were issuable upon vesting of outstanding performance-based restricted stock unit awards as of April 1, 2012.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MANAGEMENT AND BENEFICIAL OWNERSHIP</w:t>
      </w:r>
    </w:p>
    <w:p>
      <w:pPr>
        <w:spacing w:after="0" w:line="9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following table contains information as of June 1, 2012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98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9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5"/>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12"/>
                <w:szCs w:val="12"/>
                <w:color w:val="auto"/>
              </w:rPr>
            </w:pP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6100" w:type="dxa"/>
            <w:vAlign w:val="bottom"/>
            <w:vMerge w:val="restart"/>
          </w:tcPr>
          <w:p>
            <w:pPr>
              <w:spacing w:after="0"/>
              <w:rPr>
                <w:sz w:val="12"/>
                <w:szCs w:val="12"/>
                <w:color w:val="auto"/>
              </w:rPr>
            </w:pPr>
          </w:p>
        </w:tc>
        <w:tc>
          <w:tcPr>
            <w:tcW w:w="198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53"/>
        </w:trPr>
        <w:tc>
          <w:tcPr>
            <w:tcW w:w="460" w:type="dxa"/>
            <w:vAlign w:val="bottom"/>
            <w:vMerge w:val="continue"/>
          </w:tcPr>
          <w:p>
            <w:pPr>
              <w:spacing w:after="0"/>
              <w:rPr>
                <w:sz w:val="12"/>
                <w:szCs w:val="12"/>
                <w:color w:val="auto"/>
              </w:rPr>
            </w:pPr>
          </w:p>
        </w:tc>
        <w:tc>
          <w:tcPr>
            <w:tcW w:w="1620" w:type="dxa"/>
            <w:vAlign w:val="bottom"/>
            <w:tcBorders>
              <w:bottom w:val="single" w:sz="8" w:color="auto"/>
            </w:tcBorders>
            <w:gridSpan w:val="2"/>
            <w:vMerge w:val="continue"/>
          </w:tcPr>
          <w:p>
            <w:pPr>
              <w:spacing w:after="0"/>
              <w:rPr>
                <w:sz w:val="12"/>
                <w:szCs w:val="12"/>
                <w:color w:val="auto"/>
              </w:rPr>
            </w:pPr>
          </w:p>
        </w:tc>
        <w:tc>
          <w:tcPr>
            <w:tcW w:w="6100" w:type="dxa"/>
            <w:vAlign w:val="bottom"/>
            <w:vMerge w:val="continue"/>
          </w:tcPr>
          <w:p>
            <w:pPr>
              <w:spacing w:after="0"/>
              <w:rPr>
                <w:sz w:val="12"/>
                <w:szCs w:val="12"/>
                <w:color w:val="auto"/>
              </w:rPr>
            </w:pPr>
          </w:p>
        </w:tc>
        <w:tc>
          <w:tcPr>
            <w:tcW w:w="1980" w:type="dxa"/>
            <w:vAlign w:val="bottom"/>
            <w:gridSpan w:val="2"/>
          </w:tcPr>
          <w:p>
            <w:pPr>
              <w:jc w:val="center"/>
              <w:ind w:right="1220"/>
              <w:spacing w:after="0" w:line="148" w:lineRule="exact"/>
              <w:rPr>
                <w:sz w:val="20"/>
                <w:szCs w:val="20"/>
                <w:color w:val="auto"/>
              </w:rPr>
            </w:pPr>
            <w:r>
              <w:rPr>
                <w:rFonts w:ascii="Arial" w:cs="Arial" w:eastAsia="Arial" w:hAnsi="Arial"/>
                <w:sz w:val="14"/>
                <w:szCs w:val="14"/>
                <w:b w:val="1"/>
                <w:bCs w:val="1"/>
                <w:color w:val="auto"/>
                <w:w w:val="88"/>
              </w:rPr>
              <w:t>Owned (a)</w:t>
            </w:r>
          </w:p>
        </w:tc>
        <w:tc>
          <w:tcPr>
            <w:tcW w:w="80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7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760" w:type="dxa"/>
            <w:vAlign w:val="bottom"/>
            <w:shd w:val="clear" w:color="auto" w:fill="000000"/>
          </w:tcPr>
          <w:p>
            <w:pPr>
              <w:spacing w:after="0" w:line="20" w:lineRule="exact"/>
              <w:rPr>
                <w:sz w:val="1"/>
                <w:szCs w:val="1"/>
                <w:color w:val="auto"/>
              </w:rPr>
            </w:pPr>
          </w:p>
        </w:tc>
        <w:tc>
          <w:tcPr>
            <w:tcW w:w="122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7720" w:type="dxa"/>
            <w:vAlign w:val="bottom"/>
            <w:gridSpan w:val="3"/>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2"/>
              </w:rPr>
              <w:t>1,171,570(b)</w:t>
            </w:r>
          </w:p>
        </w:tc>
        <w:tc>
          <w:tcPr>
            <w:tcW w:w="1220" w:type="dxa"/>
            <w:vAlign w:val="bottom"/>
            <w:vMerge w:val="continue"/>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Trustees, Hawkins, Inc. Employee Stock Ownership Plan and Trust</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w w:val="90"/>
              </w:rPr>
              <w:t>1,133,950(c)</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Neuberger Berman Group LLC</w:t>
            </w:r>
          </w:p>
        </w:tc>
        <w:tc>
          <w:tcPr>
            <w:tcW w:w="19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739,498(d)</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BlackRock, Inc.</w:t>
            </w:r>
          </w:p>
        </w:tc>
        <w:tc>
          <w:tcPr>
            <w:tcW w:w="1980" w:type="dxa"/>
            <w:vAlign w:val="bottom"/>
            <w:gridSpan w:val="2"/>
          </w:tcPr>
          <w:p>
            <w:pPr>
              <w:jc w:val="right"/>
              <w:ind w:right="1040"/>
              <w:spacing w:after="0"/>
              <w:rPr>
                <w:sz w:val="20"/>
                <w:szCs w:val="20"/>
                <w:color w:val="auto"/>
              </w:rPr>
            </w:pPr>
            <w:r>
              <w:rPr>
                <w:rFonts w:ascii="Arial" w:cs="Arial" w:eastAsia="Arial" w:hAnsi="Arial"/>
                <w:sz w:val="18"/>
                <w:szCs w:val="18"/>
                <w:color w:val="auto"/>
              </w:rPr>
              <w:t>678,400(e)</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 Rowe Price Associates, Inc.</w:t>
            </w:r>
          </w:p>
        </w:tc>
        <w:tc>
          <w:tcPr>
            <w:tcW w:w="19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661,541(f)</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James A. Faulconbridge</w:t>
            </w:r>
          </w:p>
        </w:tc>
        <w:tc>
          <w:tcPr>
            <w:tcW w:w="1980" w:type="dxa"/>
            <w:vAlign w:val="bottom"/>
            <w:gridSpan w:val="2"/>
          </w:tcPr>
          <w:p>
            <w:pPr>
              <w:jc w:val="right"/>
              <w:ind w:right="1020"/>
              <w:spacing w:after="0"/>
              <w:rPr>
                <w:sz w:val="20"/>
                <w:szCs w:val="20"/>
                <w:color w:val="auto"/>
              </w:rPr>
            </w:pPr>
            <w:r>
              <w:rPr>
                <w:rFonts w:ascii="Arial" w:cs="Arial" w:eastAsia="Arial" w:hAnsi="Arial"/>
                <w:sz w:val="18"/>
                <w:szCs w:val="18"/>
                <w:color w:val="auto"/>
              </w:rPr>
              <w:t>6,292(g)</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Patrick H. Hawkins</w:t>
            </w:r>
          </w:p>
        </w:tc>
        <w:tc>
          <w:tcPr>
            <w:tcW w:w="19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40,950(h)</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Duane M. Jergenson</w:t>
            </w:r>
          </w:p>
        </w:tc>
        <w:tc>
          <w:tcPr>
            <w:tcW w:w="1980" w:type="dxa"/>
            <w:vAlign w:val="bottom"/>
            <w:gridSpan w:val="2"/>
          </w:tcPr>
          <w:p>
            <w:pPr>
              <w:jc w:val="right"/>
              <w:ind w:right="1060"/>
              <w:spacing w:after="0"/>
              <w:rPr>
                <w:sz w:val="20"/>
                <w:szCs w:val="20"/>
                <w:color w:val="auto"/>
              </w:rPr>
            </w:pPr>
            <w:r>
              <w:rPr>
                <w:rFonts w:ascii="Arial" w:cs="Arial" w:eastAsia="Arial" w:hAnsi="Arial"/>
                <w:sz w:val="18"/>
                <w:szCs w:val="18"/>
                <w:color w:val="auto"/>
              </w:rPr>
              <w:t>20,313(i)</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McKeon</w:t>
            </w:r>
          </w:p>
        </w:tc>
        <w:tc>
          <w:tcPr>
            <w:tcW w:w="19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34,574(i)</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Daryl I. Skaar</w:t>
            </w:r>
          </w:p>
        </w:tc>
        <w:tc>
          <w:tcPr>
            <w:tcW w:w="1980" w:type="dxa"/>
            <w:vAlign w:val="bottom"/>
            <w:gridSpan w:val="2"/>
          </w:tcPr>
          <w:p>
            <w:pPr>
              <w:jc w:val="right"/>
              <w:ind w:right="1060"/>
              <w:spacing w:after="0"/>
              <w:rPr>
                <w:sz w:val="20"/>
                <w:szCs w:val="20"/>
                <w:color w:val="auto"/>
              </w:rPr>
            </w:pPr>
            <w:r>
              <w:rPr>
                <w:rFonts w:ascii="Arial" w:cs="Arial" w:eastAsia="Arial" w:hAnsi="Arial"/>
                <w:sz w:val="18"/>
                <w:szCs w:val="18"/>
                <w:color w:val="auto"/>
              </w:rPr>
              <w:t>9,990(i)</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T. Thompson</w:t>
            </w:r>
          </w:p>
        </w:tc>
        <w:tc>
          <w:tcPr>
            <w:tcW w:w="19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6,186(i)</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Jeffrey L. Wright</w:t>
            </w:r>
          </w:p>
        </w:tc>
        <w:tc>
          <w:tcPr>
            <w:tcW w:w="1980" w:type="dxa"/>
            <w:vAlign w:val="bottom"/>
            <w:gridSpan w:val="2"/>
          </w:tcPr>
          <w:p>
            <w:pPr>
              <w:jc w:val="right"/>
              <w:ind w:right="1060"/>
              <w:spacing w:after="0"/>
              <w:rPr>
                <w:sz w:val="20"/>
                <w:szCs w:val="20"/>
                <w:color w:val="auto"/>
              </w:rPr>
            </w:pPr>
            <w:r>
              <w:rPr>
                <w:rFonts w:ascii="Arial" w:cs="Arial" w:eastAsia="Arial" w:hAnsi="Arial"/>
                <w:sz w:val="18"/>
                <w:szCs w:val="18"/>
                <w:color w:val="auto"/>
              </w:rPr>
              <w:t>3,186(i)</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G. Erstad</w:t>
            </w:r>
          </w:p>
        </w:tc>
        <w:tc>
          <w:tcPr>
            <w:tcW w:w="19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20,553(j)</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Keenan A. Paulson</w:t>
            </w:r>
          </w:p>
        </w:tc>
        <w:tc>
          <w:tcPr>
            <w:tcW w:w="1980" w:type="dxa"/>
            <w:vAlign w:val="bottom"/>
            <w:gridSpan w:val="2"/>
          </w:tcPr>
          <w:p>
            <w:pPr>
              <w:jc w:val="right"/>
              <w:ind w:right="1020"/>
              <w:spacing w:after="0"/>
              <w:rPr>
                <w:sz w:val="20"/>
                <w:szCs w:val="20"/>
                <w:color w:val="auto"/>
              </w:rPr>
            </w:pPr>
            <w:r>
              <w:rPr>
                <w:rFonts w:ascii="Arial" w:cs="Arial" w:eastAsia="Arial" w:hAnsi="Arial"/>
                <w:sz w:val="18"/>
                <w:szCs w:val="18"/>
                <w:color w:val="auto"/>
              </w:rPr>
              <w:t>54,087(k)</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Kathleen P. Pepski</w:t>
            </w:r>
          </w:p>
        </w:tc>
        <w:tc>
          <w:tcPr>
            <w:tcW w:w="19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32,785(l)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tcPr>
          <w:p>
            <w:pPr>
              <w:spacing w:after="0"/>
              <w:rPr>
                <w:sz w:val="20"/>
                <w:szCs w:val="20"/>
                <w:color w:val="auto"/>
              </w:rPr>
            </w:pPr>
            <w:r>
              <w:rPr>
                <w:rFonts w:ascii="Arial" w:cs="Arial" w:eastAsia="Arial" w:hAnsi="Arial"/>
                <w:sz w:val="18"/>
                <w:szCs w:val="18"/>
                <w:color w:val="auto"/>
              </w:rPr>
              <w:t>John R. Sevenich</w:t>
            </w: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46,924(m)</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officers as a group (14 persons)</w:t>
            </w:r>
          </w:p>
        </w:tc>
        <w:tc>
          <w:tcPr>
            <w:tcW w:w="198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375,246(n)</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63" w:lineRule="exact"/>
        <w:rPr>
          <w:sz w:val="20"/>
          <w:szCs w:val="20"/>
          <w:color w:val="auto"/>
        </w:rPr>
      </w:pPr>
    </w:p>
    <w:p>
      <w:pPr>
        <w:ind w:left="5620" w:right="1140" w:hanging="5612"/>
        <w:spacing w:after="0" w:line="440" w:lineRule="auto"/>
        <w:tabs>
          <w:tab w:leader="none" w:pos="448"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Unless otherwise noted, all shares shown are held by shareholders possessing sole voting and investment power with respect to such shares. 22</w:t>
      </w:r>
    </w:p>
    <w:p>
      <w:pPr>
        <w:sectPr>
          <w:pgSz w:w="11900" w:h="16838" w:orient="portrait"/>
          <w:cols w:equalWidth="0" w:num="1">
            <w:col w:w="11420"/>
          </w:cols>
          <w:pgMar w:left="240" w:top="274" w:right="239" w:bottom="1440" w:gutter="0" w:footer="0" w:header="0"/>
        </w:sectPr>
      </w:pPr>
    </w:p>
    <w:bookmarkStart w:id="24" w:name="page25"/>
    <w:bookmarkEnd w:id="24"/>
    <w:p>
      <w:pPr>
        <w:ind w:left="452" w:right="52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Based on a Schedule 13G/A filed by Royce &amp; Associates, LLC with the SEC on January 12, 2012. The address for Royce &amp; Associates is 745 Fifth Avenue, New York, NY 10151.</w:t>
      </w:r>
    </w:p>
    <w:p>
      <w:pPr>
        <w:spacing w:after="0" w:line="23" w:lineRule="exact"/>
        <w:rPr>
          <w:rFonts w:ascii="Arial" w:cs="Arial" w:eastAsia="Arial" w:hAnsi="Arial"/>
          <w:sz w:val="18"/>
          <w:szCs w:val="18"/>
          <w:color w:val="auto"/>
        </w:rPr>
      </w:pPr>
    </w:p>
    <w:p>
      <w:pPr>
        <w:ind w:left="452" w:hanging="452"/>
        <w:spacing w:after="0" w:line="253"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of the Hawkins, Inc. Employee Stock Ownership Plan and Trust is Marshall &amp; Ilsey Company,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disclaims beneficial ownership of the shares attributed to it in its capacity as Trustee of the ESOP.</w:t>
      </w:r>
    </w:p>
    <w:p>
      <w:pPr>
        <w:spacing w:after="0" w:line="39" w:lineRule="exact"/>
        <w:rPr>
          <w:rFonts w:ascii="Arial" w:cs="Arial" w:eastAsia="Arial" w:hAnsi="Arial"/>
          <w:sz w:val="18"/>
          <w:szCs w:val="18"/>
          <w:color w:val="auto"/>
        </w:rPr>
      </w:pPr>
    </w:p>
    <w:p>
      <w:pPr>
        <w:ind w:left="452" w:right="16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a Schedule 13G filed by Neuberger Berman Group LLC with the SEC on February 15, 2012. The address for Neuberger Berman Group LLC is 605 Third Avenue, New York, NY 10158.</w:t>
      </w:r>
    </w:p>
    <w:p>
      <w:pPr>
        <w:spacing w:after="0" w:line="23" w:lineRule="exact"/>
        <w:rPr>
          <w:rFonts w:ascii="Arial" w:cs="Arial" w:eastAsia="Arial" w:hAnsi="Arial"/>
          <w:sz w:val="18"/>
          <w:szCs w:val="18"/>
          <w:color w:val="auto"/>
        </w:rPr>
      </w:pPr>
    </w:p>
    <w:p>
      <w:pPr>
        <w:ind w:left="452" w:right="18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a Schedule 13G filed by BlackRock, Inc. with the SEC on February 9, 2012. The address for BlackRock, Inc. is 40 East 52</w:t>
      </w:r>
      <w:r>
        <w:rPr>
          <w:rFonts w:ascii="Arial" w:cs="Arial" w:eastAsia="Arial" w:hAnsi="Arial"/>
          <w:sz w:val="11"/>
          <w:szCs w:val="11"/>
          <w:color w:val="auto"/>
        </w:rPr>
        <w:t>nd</w:t>
      </w:r>
      <w:r>
        <w:rPr>
          <w:rFonts w:ascii="Arial" w:cs="Arial" w:eastAsia="Arial" w:hAnsi="Arial"/>
          <w:sz w:val="18"/>
          <w:szCs w:val="18"/>
          <w:color w:val="auto"/>
        </w:rPr>
        <w:t xml:space="preserve"> Street, New York, NY 10022.</w:t>
      </w:r>
    </w:p>
    <w:p>
      <w:pPr>
        <w:spacing w:after="0" w:line="23" w:lineRule="exact"/>
        <w:rPr>
          <w:rFonts w:ascii="Arial" w:cs="Arial" w:eastAsia="Arial" w:hAnsi="Arial"/>
          <w:sz w:val="18"/>
          <w:szCs w:val="18"/>
          <w:color w:val="auto"/>
        </w:rPr>
      </w:pPr>
    </w:p>
    <w:p>
      <w:pPr>
        <w:ind w:left="452" w:right="6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a Schedule 13G filed by T. Rowe Price Associates, Inc. with the SEC on February 9, 2012. The address for T. Rowe Price Associates, Inc. is 100 E. Pratt Street, Baltimore, MD 21202.</w:t>
      </w:r>
    </w:p>
    <w:p>
      <w:pPr>
        <w:spacing w:after="0" w:line="23" w:lineRule="exact"/>
        <w:rPr>
          <w:rFonts w:ascii="Arial" w:cs="Arial" w:eastAsia="Arial" w:hAnsi="Arial"/>
          <w:sz w:val="18"/>
          <w:szCs w:val="18"/>
          <w:color w:val="auto"/>
        </w:rPr>
      </w:pPr>
    </w:p>
    <w:p>
      <w:pPr>
        <w:ind w:left="452" w:right="14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1,550 shares that Mr. Faulconbridge holds jointly with his wife as to which he shares voting and investment power and 1,020 shares of restricted stock, which shares vest and the related restrictions expire on August 2, 2012.</w:t>
      </w:r>
    </w:p>
    <w:p>
      <w:pPr>
        <w:spacing w:after="0" w:line="23" w:lineRule="exact"/>
        <w:rPr>
          <w:rFonts w:ascii="Arial" w:cs="Arial" w:eastAsia="Arial" w:hAnsi="Arial"/>
          <w:sz w:val="18"/>
          <w:szCs w:val="18"/>
          <w:color w:val="auto"/>
        </w:rPr>
      </w:pPr>
    </w:p>
    <w:p>
      <w:pPr>
        <w:ind w:left="452" w:right="20" w:hanging="452"/>
        <w:spacing w:after="0" w:line="259"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11,812 shares representing the beneficial interest of Mr. Hawkins as of June 1, 2012 in our ESOP, 7,417 shares of restricted stock, which shares vest and the related restrictions expire on April 3, 2013 and 8,623 shares of restricted stock, which shares vest and the related restrictions expire on April 1, 2014. Does not include outstanding Performance-Based Restricted Stock Unit Awards.</w:t>
      </w:r>
    </w:p>
    <w:p>
      <w:pPr>
        <w:spacing w:after="0" w:line="32" w:lineRule="exact"/>
        <w:rPr>
          <w:rFonts w:ascii="Arial" w:cs="Arial" w:eastAsia="Arial" w:hAnsi="Arial"/>
          <w:sz w:val="18"/>
          <w:szCs w:val="18"/>
          <w:color w:val="auto"/>
        </w:rPr>
      </w:pPr>
    </w:p>
    <w:p>
      <w:pPr>
        <w:ind w:left="452" w:hanging="452"/>
        <w:spacing w:after="0"/>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1,020 shares of restricted stock, which shares vest and the related restrictions expire on August 2, 2012.</w:t>
      </w:r>
    </w:p>
    <w:p>
      <w:pPr>
        <w:spacing w:after="0" w:line="63" w:lineRule="exact"/>
        <w:rPr>
          <w:rFonts w:ascii="Arial" w:cs="Arial" w:eastAsia="Arial" w:hAnsi="Arial"/>
          <w:sz w:val="18"/>
          <w:szCs w:val="18"/>
          <w:color w:val="auto"/>
        </w:rPr>
      </w:pPr>
    </w:p>
    <w:p>
      <w:pPr>
        <w:ind w:left="452" w:right="80" w:hanging="452"/>
        <w:spacing w:after="0" w:line="259"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 of 4,769 shares of restricted stock, which shares vest and the related restrictions expire on April 3, 2013, 4,152 shares of restricted stock, which shares vest and the related restrictions expire on April 1, 2014 and 9,333 shares covered by options exercisable within 60 days granted to Mr. Erstad. Does not include outstanding Performance-Based Restricted Stock Unit Awards.</w:t>
      </w:r>
    </w:p>
    <w:p>
      <w:pPr>
        <w:spacing w:after="0" w:line="32" w:lineRule="exact"/>
        <w:rPr>
          <w:rFonts w:ascii="Arial" w:cs="Arial" w:eastAsia="Arial" w:hAnsi="Arial"/>
          <w:sz w:val="18"/>
          <w:szCs w:val="18"/>
          <w:color w:val="auto"/>
        </w:rPr>
      </w:pPr>
    </w:p>
    <w:p>
      <w:pPr>
        <w:ind w:left="452" w:right="260" w:hanging="452"/>
        <w:spacing w:after="0" w:line="256"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36,179 shares representing the beneficial interest of Ms. Paulson as of June 1, 2012 in our ESOP, 9,333 shares covered by options exercisable within 60 days granted to Ms. Paulson, 4,981 shares of restricted stock, which shares vest and the related restrictions expire on April 3, 2013, and 2,861 shares of restricted stock, which shares vest and the related restrictions expire on April 1, 2014. Does not include outstanding Performance-Based Restricted Stock Unit Awards.</w:t>
      </w:r>
    </w:p>
    <w:p>
      <w:pPr>
        <w:spacing w:after="0" w:line="35"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18,666 shares covered by options exercisable within 60 days granted to Ms. Pepski, 5,086 shares of restricted stock, which shares vest and the related restrictions expire on April 3, 2013, and 4,429 shares of restricted stock, which shares vest and the related restrictions expire on April 1, 2014. Does not include outstanding Performance-Based Restricted Stock Unit Awards.</w:t>
      </w:r>
    </w:p>
    <w:p>
      <w:pPr>
        <w:spacing w:after="0" w:line="32" w:lineRule="exact"/>
        <w:rPr>
          <w:rFonts w:ascii="Arial" w:cs="Arial" w:eastAsia="Arial" w:hAnsi="Arial"/>
          <w:sz w:val="18"/>
          <w:szCs w:val="18"/>
          <w:color w:val="auto"/>
        </w:rPr>
      </w:pPr>
    </w:p>
    <w:p>
      <w:pPr>
        <w:ind w:left="452" w:right="200" w:hanging="452"/>
        <w:spacing w:after="0" w:line="256"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26,675 shares representing the beneficial interest of Mr. Sevenich as of June 1, 2012 in our ESOP, 9,333 shares covered by options exercisable within 60 days granted to Mr. Sevenich, 4,493 shares of restricted stock, which shares vest and the related restrictions expire on April 3, 2013, and 4,068 shares of restricted stock, which shares vest and the related restrictions expire on April 1, 2014. Does not include outstanding Performance-Based Restricted Stock Unit Awards.</w:t>
      </w:r>
    </w:p>
    <w:p>
      <w:pPr>
        <w:spacing w:after="0" w:line="35" w:lineRule="exact"/>
        <w:rPr>
          <w:rFonts w:ascii="Arial" w:cs="Arial" w:eastAsia="Arial" w:hAnsi="Arial"/>
          <w:sz w:val="18"/>
          <w:szCs w:val="18"/>
          <w:color w:val="auto"/>
        </w:rPr>
      </w:pPr>
    </w:p>
    <w:p>
      <w:pPr>
        <w:ind w:left="452" w:right="420" w:hanging="452"/>
        <w:spacing w:after="0" w:line="268" w:lineRule="auto"/>
        <w:tabs>
          <w:tab w:leader="none" w:pos="452"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154,935 shares representing the beneficial interest of the directors and officers as of June 1, 2012 in our ESOP. Does not include outstanding Performance-Based Restricted Stock Unit Awards.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72"/>
          </w:cols>
          <w:pgMar w:left="248" w:top="280" w:right="27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16(a) BENEFICIAL OWNERSHIP REPORTING COMPLIANCE</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We employ Angela Wagamon, sister of Patrick H. Hawkins, our Chief Executive Officer, and Todd Hawkins, cousin of Patrick H. Hawkins; Michael Clemens and John Clemens, the brothers of Theresa R. Moran, our Vice President—Quality and Support; and Daniel Paulson, the son of Keenan A. Paulson, our Vice President—Water Treatment Group. Including retirement plan contributions and bonuses, each such employee earned in excess of $120,000 in fiscal 2012.</w:t>
      </w:r>
    </w:p>
    <w:p>
      <w:pPr>
        <w:spacing w:after="0" w:line="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TWO — ADVISORY VOTE ON EXECUTIVE OFFICER COMPENSATION</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w:t>
      </w:r>
    </w:p>
    <w:p>
      <w:pPr>
        <w:spacing w:after="0" w:line="59"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Our executive compensation program has been designed to attract and retain executives who will lead our Company to achieve long-term success and growth in shareholder value. Consistent with that goal, our executive compensation is based on Company, business unit and individual performance and the alignment of the interests of our executive officers with those of our shareholders and is used to encourage our executive officers to stay with the Company. Our executive compensation program currently includes a mix of compensation elements that rewards current results as well as motivates long-term performance through an appropriate balance of base pay and performance-based variable compensation. To incent appropriate performance, our performance-based variable compensation consists of a short-term variable pay component that significantly rewards executives for both current business results as well as personal performance, and a long-term incentive plan that motivates long-term performance and aligns business results with the interests of our shareholders.</w:t>
      </w:r>
    </w:p>
    <w:p>
      <w:pPr>
        <w:spacing w:after="0" w:line="2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51" w:lineRule="exact"/>
        <w:rPr>
          <w:sz w:val="20"/>
          <w:szCs w:val="20"/>
          <w:color w:val="auto"/>
        </w:rPr>
      </w:pPr>
    </w:p>
    <w:p>
      <w:pPr>
        <w:ind w:left="460" w:right="460"/>
        <w:spacing w:after="0" w:line="330" w:lineRule="auto"/>
        <w:rPr>
          <w:sz w:val="20"/>
          <w:szCs w:val="20"/>
          <w:color w:val="auto"/>
        </w:rPr>
      </w:pPr>
      <w:r>
        <w:rPr>
          <w:rFonts w:ascii="Arial" w:cs="Arial" w:eastAsia="Arial" w:hAnsi="Arial"/>
          <w:sz w:val="16"/>
          <w:szCs w:val="16"/>
          <w:color w:val="auto"/>
        </w:rPr>
        <w:t>RESOLVED, that the shareholders approve the compensation of the Company’s executive officers, as disclosed in the Compensation Discussion and Analysis, the compensation tables, and the related disclosure contained in the Company’s 2012 proxy statement.</w:t>
      </w:r>
    </w:p>
    <w:p>
      <w:pPr>
        <w:spacing w:after="0" w:line="1"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b w:val="1"/>
          <w:bCs w:val="1"/>
          <w:color w:val="auto"/>
        </w:rPr>
        <w:t>THE BOARD OF DIRECTORS BELIEVES THAT THE COMPENSATION OF OUR EXECUTIVE OFFICERS IS APPROPRIATE AND RECOMMENDS A VOTE “FOR” THIS PROPOSAL TWO.</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26" w:name="page27"/>
    <w:bookmarkEnd w:id="2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KPMG LLP, an independent registered public accounting firm, was retained by the Audit Committee for fiscal 2012 and has been retained by the Audit Committee as our auditor for fiscal 2013.</w:t>
      </w:r>
    </w:p>
    <w:p>
      <w:pPr>
        <w:spacing w:after="0" w:line="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Representatives of KPMG LLP are expected to attend the Annual Meeting and will have the opportunity to make a statement if they desire to do so. They are expected to be available to respond to appropriate questions.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PROPOSALS BY SHAREHOLDERS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order for a shareholder proposal to be considered for inclusion in our proxy statement for next year’s annual meeting of shareholders, the written proposal must be received by us at our principal executive office no later than February 23, 2013.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May 4, 2013,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10-K</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Annual Report on Form 10-K for fiscal 2012, including financial statements, is being mailed with this Proxy Statement. Shareholders who wish to obtain an additional copy of our Annual Report on Form 10-K for fiscal 2012 may do so without charge by writing to: Hawkins, Inc., 3100 East Hennepin Avenue, Minneapolis, Minnesota 55413, Attention: Secretary. Our Annual Report on Form 10-K, as well as other Company reports, are also available on the SEC’s website (www.sec.gov).</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HAWKINS,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ANNUAL MEETING OF SHAREHOLDERS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Thursday, August 2, 2012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3:00 p.m., Central Time</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Midland Hills Country Club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2001 Fulham St.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Roseville, Minnesota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1123315" cy="5746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23315" cy="574675"/>
                    </a:xfrm>
                    <a:prstGeom prst="rect">
                      <a:avLst/>
                    </a:prstGeom>
                    <a:noFill/>
                  </pic:spPr>
                </pic:pic>
              </a:graphicData>
            </a:graphic>
          </wp:anchor>
        </w:drawing>
      </w:r>
    </w:p>
    <w:p>
      <w:pPr>
        <w:sectPr>
          <w:pgSz w:w="11900" w:h="16838" w:orient="portrait"/>
          <w:cols w:equalWidth="0" w:num="1">
            <w:col w:w="11420"/>
          </w:cols>
          <w:pgMar w:left="240" w:top="6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HAWKINS, INC.</w:t>
      </w:r>
    </w:p>
    <w:p>
      <w:pPr>
        <w:spacing w:after="0" w:line="1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3100 East Hennepin Avenue</w:t>
      </w:r>
    </w:p>
    <w:p>
      <w:pPr>
        <w:ind w:left="2200"/>
        <w:spacing w:after="0"/>
        <w:rPr>
          <w:sz w:val="20"/>
          <w:szCs w:val="20"/>
          <w:color w:val="auto"/>
        </w:rPr>
      </w:pPr>
      <w:r>
        <w:rPr>
          <w:rFonts w:ascii="Arial" w:cs="Arial" w:eastAsia="Arial" w:hAnsi="Arial"/>
          <w:sz w:val="16"/>
          <w:szCs w:val="16"/>
          <w:b w:val="1"/>
          <w:bCs w:val="1"/>
          <w:color w:val="auto"/>
        </w:rPr>
        <w:t>Minneapolis, Minnesota 55413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230505</wp:posOffset>
            </wp:positionV>
            <wp:extent cx="7276465" cy="578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78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proxy</w:t>
      </w:r>
    </w:p>
    <w:p>
      <w:pPr>
        <w:spacing w:after="0" w:line="230" w:lineRule="exact"/>
        <w:rPr>
          <w:sz w:val="20"/>
          <w:szCs w:val="20"/>
          <w:color w:val="auto"/>
        </w:rPr>
      </w:pPr>
    </w:p>
    <w:p>
      <w:pPr>
        <w:sectPr>
          <w:pgSz w:w="11900" w:h="16838" w:orient="portrait"/>
          <w:cols w:equalWidth="0" w:num="2">
            <w:col w:w="9820" w:space="720"/>
            <w:col w:w="880"/>
          </w:cols>
          <w:pgMar w:left="240" w:top="632" w:right="239" w:bottom="1440" w:gutter="0" w:footer="0" w:header="0"/>
          <w:type w:val="continuous"/>
        </w:sectPr>
      </w:pPr>
    </w:p>
    <w:p>
      <w:pPr>
        <w:spacing w:after="0" w:line="188" w:lineRule="exact"/>
        <w:rPr>
          <w:sz w:val="20"/>
          <w:szCs w:val="20"/>
          <w:color w:val="auto"/>
        </w:rPr>
      </w:pPr>
    </w:p>
    <w:p>
      <w:pPr>
        <w:jc w:val="center"/>
        <w:ind w:left="280" w:right="2140"/>
        <w:spacing w:after="0" w:line="244"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Shareholders to be Held on August 2, 2012. The Proxy Statement and Annual Report on Form 10-K are available at: www.ezodproxy.com/hawkinsinc/2012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proxy materials and information are available for your review at www.ezodproxy.com/hawkinsinc/2012</w:t>
      </w:r>
    </w:p>
    <w:p>
      <w:pPr>
        <w:spacing w:after="0" w:line="140"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Notice of Annual Meeting and Proxy Statement;</w:t>
      </w:r>
    </w:p>
    <w:p>
      <w:pPr>
        <w:ind w:left="1480" w:hanging="446"/>
        <w:spacing w:after="0" w:line="23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Company’s Annual Report on Form 10-K for the fiscal year ended April 1, 2012;</w:t>
      </w:r>
    </w:p>
    <w:p>
      <w:pPr>
        <w:ind w:left="1480" w:hanging="446"/>
        <w:spacing w:after="0" w:line="23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form of Proxy Card;</w:t>
      </w:r>
    </w:p>
    <w:p>
      <w:pPr>
        <w:ind w:left="1480" w:hanging="446"/>
        <w:spacing w:after="0" w:line="234"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Letter to Shareholders; and</w:t>
      </w: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directions to the Annual Meeting.</w:t>
      </w:r>
    </w:p>
    <w:p>
      <w:pPr>
        <w:spacing w:after="0" w:line="1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THIS PROXY IS SOLICITED BY THE BOARD OF DIRECTORS FOR USE AT THE ANNUAL MEETING OF SHAREHOLDERS ON AUGUST 2, 2012.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shares of stock you hold in your account or in a dividend reinvestment account will be voted as you specify on the reverse side.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CHOICE IS SPECIFIED, THE PROXY WILL BE VOTED FOR ITEMS 1 THROUGH 8.</w:t>
      </w:r>
    </w:p>
    <w:p>
      <w:pPr>
        <w:spacing w:after="0" w:line="15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By signing the proxy, you revoke all prior proxies and appoint Patrick H. Hawkins, Kathleen P. Pepski and Richard G. Erstad, and each of them, with fu</w:t>
      </w:r>
      <w:r>
        <w:rPr>
          <w:rFonts w:ascii="Arial" w:cs="Arial" w:eastAsia="Arial" w:hAnsi="Arial"/>
          <w:sz w:val="18"/>
          <w:szCs w:val="18"/>
          <w:b w:val="1"/>
          <w:bCs w:val="1"/>
          <w:color w:val="auto"/>
        </w:rPr>
        <w:t>ll</w:t>
      </w:r>
      <w:r>
        <w:rPr>
          <w:rFonts w:ascii="Arial" w:cs="Arial" w:eastAsia="Arial" w:hAnsi="Arial"/>
          <w:sz w:val="18"/>
          <w:szCs w:val="18"/>
          <w:color w:val="auto"/>
        </w:rPr>
        <w:t xml:space="preserve"> power of substitution, to vote your shares on the matters shown on the reverse side and any other matters that may come before the Annual Meeting and a</w:t>
      </w:r>
      <w:r>
        <w:rPr>
          <w:rFonts w:ascii="Arial" w:cs="Arial" w:eastAsia="Arial" w:hAnsi="Arial"/>
          <w:sz w:val="18"/>
          <w:szCs w:val="18"/>
          <w:b w:val="1"/>
          <w:bCs w:val="1"/>
          <w:color w:val="auto"/>
        </w:rPr>
        <w:t>ll</w:t>
      </w:r>
      <w:r>
        <w:rPr>
          <w:rFonts w:ascii="Arial" w:cs="Arial" w:eastAsia="Arial" w:hAnsi="Arial"/>
          <w:sz w:val="18"/>
          <w:szCs w:val="18"/>
          <w:color w:val="auto"/>
        </w:rPr>
        <w:t xml:space="preserve"> adjournments .</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reverse for voting Instructions.</w:t>
      </w:r>
    </w:p>
    <w:p>
      <w:pPr>
        <w:sectPr>
          <w:pgSz w:w="11900" w:h="16838" w:orient="portrait"/>
          <w:cols w:equalWidth="0" w:num="1">
            <w:col w:w="11420"/>
          </w:cols>
          <w:pgMar w:left="240" w:top="632" w:right="239" w:bottom="1440" w:gutter="0" w:footer="0" w:header="0"/>
          <w:type w:val="continuous"/>
        </w:sectPr>
      </w:pPr>
    </w:p>
    <w:bookmarkStart w:id="28" w:name="page29"/>
    <w:bookmarkEnd w:id="28"/>
    <w:tbl>
      <w:tblPr>
        <w:tblLayout w:type="fixed"/>
        <w:tblInd w:w="3020" w:type="dxa"/>
        <w:tblCellMar>
          <w:top w:w="0" w:type="dxa"/>
          <w:left w:w="0" w:type="dxa"/>
          <w:bottom w:w="0" w:type="dxa"/>
          <w:right w:w="0" w:type="dxa"/>
        </w:tblCellMar>
      </w:tblPr>
      <w:tr>
        <w:trPr>
          <w:trHeight w:val="159"/>
        </w:trPr>
        <w:tc>
          <w:tcPr>
            <w:tcW w:w="3160" w:type="dxa"/>
            <w:vAlign w:val="bottom"/>
            <w:vMerge w:val="restart"/>
          </w:tcPr>
          <w:p>
            <w:pPr>
              <w:spacing w:after="0"/>
              <w:rPr>
                <w:sz w:val="20"/>
                <w:szCs w:val="20"/>
                <w:color w:val="auto"/>
              </w:rPr>
            </w:pPr>
            <w:r>
              <w:rPr>
                <w:rFonts w:ascii="Arial" w:cs="Arial" w:eastAsia="Arial" w:hAnsi="Arial"/>
                <w:sz w:val="14"/>
                <w:szCs w:val="14"/>
                <w:color w:val="auto"/>
              </w:rPr>
              <w:t>Shareowner Services</w:t>
            </w:r>
            <w:r>
              <w:rPr>
                <w:rFonts w:ascii="Arial" w:cs="Arial" w:eastAsia="Arial" w:hAnsi="Arial"/>
                <w:sz w:val="22"/>
                <w:szCs w:val="22"/>
                <w:color w:val="auto"/>
                <w:vertAlign w:val="superscript"/>
              </w:rPr>
              <w:t>SM</w:t>
            </w:r>
          </w:p>
        </w:tc>
        <w:tc>
          <w:tcPr>
            <w:tcW w:w="2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160" w:type="dxa"/>
            <w:vAlign w:val="bottom"/>
            <w:vMerge w:val="continue"/>
          </w:tcPr>
          <w:p>
            <w:pPr>
              <w:spacing w:after="0"/>
              <w:rPr>
                <w:sz w:val="6"/>
                <w:szCs w:val="6"/>
                <w:color w:val="auto"/>
              </w:rPr>
            </w:pPr>
          </w:p>
        </w:tc>
        <w:tc>
          <w:tcPr>
            <w:tcW w:w="28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COMPANY #</w:t>
            </w:r>
          </w:p>
        </w:tc>
        <w:tc>
          <w:tcPr>
            <w:tcW w:w="0" w:type="dxa"/>
            <w:vAlign w:val="bottom"/>
          </w:tcPr>
          <w:p>
            <w:pPr>
              <w:spacing w:after="0"/>
              <w:rPr>
                <w:sz w:val="1"/>
                <w:szCs w:val="1"/>
                <w:color w:val="auto"/>
              </w:rPr>
            </w:pPr>
          </w:p>
        </w:tc>
      </w:tr>
      <w:tr>
        <w:trPr>
          <w:trHeight w:val="149"/>
        </w:trPr>
        <w:tc>
          <w:tcPr>
            <w:tcW w:w="3160" w:type="dxa"/>
            <w:vAlign w:val="bottom"/>
          </w:tcPr>
          <w:p>
            <w:pPr>
              <w:spacing w:after="0" w:line="149" w:lineRule="exact"/>
              <w:rPr>
                <w:sz w:val="20"/>
                <w:szCs w:val="20"/>
                <w:color w:val="auto"/>
              </w:rPr>
            </w:pPr>
            <w:r>
              <w:rPr>
                <w:rFonts w:ascii="Arial" w:cs="Arial" w:eastAsia="Arial" w:hAnsi="Arial"/>
                <w:sz w:val="14"/>
                <w:szCs w:val="14"/>
                <w:color w:val="auto"/>
              </w:rPr>
              <w:t>P.O. Box 64945</w:t>
            </w:r>
          </w:p>
        </w:tc>
        <w:tc>
          <w:tcPr>
            <w:tcW w:w="2840" w:type="dxa"/>
            <w:vAlign w:val="bottom"/>
            <w:tcBorders>
              <w:left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St. Paul, MN 55164-0945</w:t>
            </w:r>
          </w:p>
        </w:tc>
        <w:tc>
          <w:tcPr>
            <w:tcW w:w="2840" w:type="dxa"/>
            <w:vAlign w:val="bottom"/>
            <w:tcBorders>
              <w:left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3160" w:type="dxa"/>
            <w:vAlign w:val="bottom"/>
          </w:tcPr>
          <w:p>
            <w:pPr>
              <w:spacing w:after="0"/>
              <w:rPr>
                <w:sz w:val="4"/>
                <w:szCs w:val="4"/>
                <w:color w:val="auto"/>
              </w:rPr>
            </w:pPr>
          </w:p>
        </w:tc>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920750</wp:posOffset>
            </wp:positionH>
            <wp:positionV relativeFrom="page">
              <wp:posOffset>260350</wp:posOffset>
            </wp:positionV>
            <wp:extent cx="805815"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805815" cy="41148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80" w:type="dxa"/>
            <w:vAlign w:val="bottom"/>
            <w:gridSpan w:val="5"/>
          </w:tcPr>
          <w:p>
            <w:pPr>
              <w:jc w:val="center"/>
              <w:ind w:left="1852"/>
              <w:spacing w:after="0"/>
              <w:rPr>
                <w:sz w:val="20"/>
                <w:szCs w:val="20"/>
                <w:color w:val="auto"/>
              </w:rPr>
            </w:pPr>
            <w:r>
              <w:rPr>
                <w:rFonts w:ascii="Arial" w:cs="Arial" w:eastAsia="Arial" w:hAnsi="Arial"/>
                <w:sz w:val="14"/>
                <w:szCs w:val="14"/>
                <w:b w:val="1"/>
                <w:bCs w:val="1"/>
                <w:color w:val="auto"/>
                <w:w w:val="96"/>
              </w:rPr>
              <w:t>Vote by Internet, Telephone or Mail</w:t>
            </w: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18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5"/>
              </w:rPr>
              <w:t>24 Hours a Day, 7 Days a Week</w:t>
            </w: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60" w:type="dxa"/>
            <w:vAlign w:val="bottom"/>
            <w:gridSpan w:val="8"/>
          </w:tcPr>
          <w:p>
            <w:pPr>
              <w:jc w:val="center"/>
              <w:ind w:left="272"/>
              <w:spacing w:after="0"/>
              <w:rPr>
                <w:sz w:val="20"/>
                <w:szCs w:val="20"/>
                <w:color w:val="auto"/>
              </w:rPr>
            </w:pPr>
            <w:r>
              <w:rPr>
                <w:rFonts w:ascii="Arial" w:cs="Arial" w:eastAsia="Arial" w:hAnsi="Arial"/>
                <w:sz w:val="14"/>
                <w:szCs w:val="14"/>
                <w:color w:val="auto"/>
                <w:w w:val="96"/>
              </w:rPr>
              <w:t>Your phone or Internet vote authorizes the named proxies to vote your shares in the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60" w:type="dxa"/>
            <w:vAlign w:val="bottom"/>
            <w:gridSpan w:val="8"/>
          </w:tcPr>
          <w:p>
            <w:pPr>
              <w:jc w:val="center"/>
              <w:ind w:left="272"/>
              <w:spacing w:after="0"/>
              <w:rPr>
                <w:sz w:val="20"/>
                <w:szCs w:val="20"/>
                <w:color w:val="auto"/>
              </w:rPr>
            </w:pPr>
            <w:r>
              <w:rPr>
                <w:rFonts w:ascii="Arial" w:cs="Arial" w:eastAsia="Arial" w:hAnsi="Arial"/>
                <w:sz w:val="14"/>
                <w:szCs w:val="14"/>
                <w:color w:val="auto"/>
                <w:w w:val="96"/>
              </w:rPr>
              <w:t>same manner as if you marked, signed and returned your proxy card.</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760" w:type="dxa"/>
            <w:vAlign w:val="bottom"/>
            <w:gridSpan w:val="4"/>
          </w:tcPr>
          <w:p>
            <w:pPr>
              <w:ind w:left="1280"/>
              <w:spacing w:after="0"/>
              <w:rPr>
                <w:sz w:val="20"/>
                <w:szCs w:val="20"/>
                <w:color w:val="auto"/>
              </w:rPr>
            </w:pPr>
            <w:r>
              <w:rPr>
                <w:rFonts w:ascii="Arial" w:cs="Arial" w:eastAsia="Arial" w:hAnsi="Arial"/>
                <w:sz w:val="14"/>
                <w:szCs w:val="14"/>
                <w:b w:val="1"/>
                <w:bCs w:val="1"/>
                <w:color w:val="auto"/>
              </w:rPr>
              <w:t>INTERNET – www.eproxy.com/hwkn</w:t>
            </w:r>
          </w:p>
        </w:tc>
        <w:tc>
          <w:tcPr>
            <w:tcW w:w="5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60" w:type="dxa"/>
            <w:vAlign w:val="bottom"/>
            <w:gridSpan w:val="8"/>
          </w:tcPr>
          <w:p>
            <w:pPr>
              <w:ind w:left="1280"/>
              <w:spacing w:after="0"/>
              <w:rPr>
                <w:sz w:val="20"/>
                <w:szCs w:val="20"/>
                <w:color w:val="auto"/>
              </w:rPr>
            </w:pPr>
            <w:r>
              <w:rPr>
                <w:rFonts w:ascii="Arial" w:cs="Arial" w:eastAsia="Arial" w:hAnsi="Arial"/>
                <w:sz w:val="14"/>
                <w:szCs w:val="14"/>
                <w:color w:val="auto"/>
              </w:rPr>
              <w:t>Use the internet to vote your proxy until 11:59 p.m. on August 1, 2012.</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760" w:type="dxa"/>
            <w:vAlign w:val="bottom"/>
            <w:gridSpan w:val="4"/>
          </w:tcPr>
          <w:p>
            <w:pPr>
              <w:ind w:left="1280"/>
              <w:spacing w:after="0"/>
              <w:rPr>
                <w:sz w:val="20"/>
                <w:szCs w:val="20"/>
                <w:color w:val="auto"/>
              </w:rPr>
            </w:pPr>
            <w:r>
              <w:rPr>
                <w:rFonts w:ascii="Arial" w:cs="Arial" w:eastAsia="Arial" w:hAnsi="Arial"/>
                <w:sz w:val="14"/>
                <w:szCs w:val="14"/>
                <w:b w:val="1"/>
                <w:bCs w:val="1"/>
                <w:color w:val="auto"/>
              </w:rPr>
              <w:t>PHONE – 1-800-560-1965</w:t>
            </w: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60" w:type="dxa"/>
            <w:vAlign w:val="bottom"/>
            <w:gridSpan w:val="8"/>
          </w:tcPr>
          <w:p>
            <w:pPr>
              <w:ind w:left="1280"/>
              <w:spacing w:after="0" w:line="149" w:lineRule="exact"/>
              <w:rPr>
                <w:sz w:val="20"/>
                <w:szCs w:val="20"/>
                <w:color w:val="auto"/>
              </w:rPr>
            </w:pPr>
            <w:r>
              <w:rPr>
                <w:rFonts w:ascii="Arial" w:cs="Arial" w:eastAsia="Arial" w:hAnsi="Arial"/>
                <w:sz w:val="14"/>
                <w:szCs w:val="14"/>
                <w:color w:val="auto"/>
              </w:rPr>
              <w:t>Use a touch-tone telephone to vote your proxy until 11:59 p.m. on August</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100" w:type="dxa"/>
            <w:vAlign w:val="bottom"/>
          </w:tcPr>
          <w:p>
            <w:pPr>
              <w:ind w:left="1280"/>
              <w:spacing w:after="0"/>
              <w:rPr>
                <w:sz w:val="20"/>
                <w:szCs w:val="20"/>
                <w:color w:val="auto"/>
              </w:rPr>
            </w:pPr>
            <w:r>
              <w:rPr>
                <w:rFonts w:ascii="Arial" w:cs="Arial" w:eastAsia="Arial" w:hAnsi="Arial"/>
                <w:sz w:val="14"/>
                <w:szCs w:val="14"/>
                <w:color w:val="auto"/>
              </w:rPr>
              <w:t>1, 2012.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60" w:type="dxa"/>
            <w:vAlign w:val="bottom"/>
            <w:gridSpan w:val="8"/>
          </w:tcPr>
          <w:p>
            <w:pPr>
              <w:ind w:left="1280"/>
              <w:spacing w:after="0"/>
              <w:rPr>
                <w:sz w:val="20"/>
                <w:szCs w:val="20"/>
                <w:color w:val="auto"/>
              </w:rPr>
            </w:pPr>
            <w:r>
              <w:rPr>
                <w:rFonts w:ascii="Arial" w:cs="Arial" w:eastAsia="Arial" w:hAnsi="Arial"/>
                <w:sz w:val="14"/>
                <w:szCs w:val="14"/>
                <w:b w:val="1"/>
                <w:bCs w:val="1"/>
                <w:color w:val="auto"/>
              </w:rPr>
              <w:t xml:space="preserve">MAIL </w:t>
            </w:r>
            <w:r>
              <w:rPr>
                <w:rFonts w:ascii="Arial" w:cs="Arial" w:eastAsia="Arial" w:hAnsi="Arial"/>
                <w:sz w:val="14"/>
                <w:szCs w:val="14"/>
                <w:color w:val="auto"/>
              </w:rPr>
              <w:t>– Mark, sign and date your proxy card and return it in the postage-</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60" w:type="dxa"/>
            <w:vAlign w:val="bottom"/>
            <w:gridSpan w:val="4"/>
          </w:tcPr>
          <w:p>
            <w:pPr>
              <w:ind w:left="1280"/>
              <w:spacing w:after="0"/>
              <w:rPr>
                <w:sz w:val="20"/>
                <w:szCs w:val="20"/>
                <w:color w:val="auto"/>
              </w:rPr>
            </w:pPr>
            <w:r>
              <w:rPr>
                <w:rFonts w:ascii="Arial" w:cs="Arial" w:eastAsia="Arial" w:hAnsi="Arial"/>
                <w:sz w:val="14"/>
                <w:szCs w:val="14"/>
                <w:color w:val="auto"/>
              </w:rPr>
              <w:t>paid envelope provided.</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60" w:type="dxa"/>
            <w:vAlign w:val="bottom"/>
            <w:gridSpan w:val="8"/>
          </w:tcPr>
          <w:p>
            <w:pPr>
              <w:ind w:left="540"/>
              <w:spacing w:after="0"/>
              <w:rPr>
                <w:sz w:val="20"/>
                <w:szCs w:val="20"/>
                <w:color w:val="auto"/>
              </w:rPr>
            </w:pPr>
            <w:r>
              <w:rPr>
                <w:rFonts w:ascii="Arial" w:cs="Arial" w:eastAsia="Arial" w:hAnsi="Arial"/>
                <w:sz w:val="14"/>
                <w:szCs w:val="14"/>
                <w:b w:val="1"/>
                <w:bCs w:val="1"/>
                <w:color w:val="auto"/>
              </w:rPr>
              <w:t>If you vote your proxy by Internet or by Telephone, you do NOT need to mail</w:t>
            </w: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760" w:type="dxa"/>
            <w:vAlign w:val="bottom"/>
            <w:gridSpan w:val="4"/>
          </w:tcPr>
          <w:p>
            <w:pPr>
              <w:ind w:left="540"/>
              <w:spacing w:after="0"/>
              <w:rPr>
                <w:sz w:val="20"/>
                <w:szCs w:val="20"/>
                <w:color w:val="auto"/>
              </w:rPr>
            </w:pPr>
            <w:r>
              <w:rPr>
                <w:rFonts w:ascii="Arial" w:cs="Arial" w:eastAsia="Arial" w:hAnsi="Arial"/>
                <w:sz w:val="14"/>
                <w:szCs w:val="14"/>
                <w:b w:val="1"/>
                <w:bCs w:val="1"/>
                <w:color w:val="auto"/>
              </w:rPr>
              <w:t>back your Voting Instruction Card.</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6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720" w:type="dxa"/>
            <w:vAlign w:val="bottom"/>
            <w:gridSpan w:val="8"/>
          </w:tcPr>
          <w:p>
            <w:pPr>
              <w:jc w:val="center"/>
              <w:spacing w:after="0"/>
              <w:rPr>
                <w:sz w:val="20"/>
                <w:szCs w:val="20"/>
                <w:color w:val="auto"/>
              </w:rPr>
            </w:pPr>
            <w:r>
              <w:rPr>
                <w:rFonts w:ascii="Arial" w:cs="Arial" w:eastAsia="Arial" w:hAnsi="Arial"/>
                <w:sz w:val="14"/>
                <w:szCs w:val="14"/>
                <w:b w:val="1"/>
                <w:bCs w:val="1"/>
                <w:i w:val="1"/>
                <w:iCs w:val="1"/>
                <w:color w:val="auto"/>
                <w:w w:val="96"/>
              </w:rPr>
              <w:t>TO VOTE BY MAIL AS THE BOARD OF DIRECTORS RECOMMENDS ON ALL ITEMS BELOW,</w:t>
            </w: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80" w:type="dxa"/>
            <w:vAlign w:val="bottom"/>
            <w:gridSpan w:val="6"/>
          </w:tcPr>
          <w:p>
            <w:pPr>
              <w:jc w:val="center"/>
              <w:ind w:right="1420"/>
              <w:spacing w:after="0"/>
              <w:rPr>
                <w:sz w:val="20"/>
                <w:szCs w:val="20"/>
                <w:color w:val="auto"/>
              </w:rPr>
            </w:pPr>
            <w:r>
              <w:rPr>
                <w:rFonts w:ascii="Arial" w:cs="Arial" w:eastAsia="Arial" w:hAnsi="Arial"/>
                <w:sz w:val="14"/>
                <w:szCs w:val="14"/>
                <w:b w:val="1"/>
                <w:bCs w:val="1"/>
                <w:i w:val="1"/>
                <w:iCs w:val="1"/>
                <w:color w:val="auto"/>
                <w:w w:val="95"/>
              </w:rPr>
              <w:t>SIMPLY SIGN, DATE, AND RETURN THIS PROXY CARD.</w:t>
            </w: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gridSpan w:val="5"/>
          </w:tcPr>
          <w:p>
            <w:pPr>
              <w:ind w:left="380"/>
              <w:spacing w:after="0"/>
              <w:rPr>
                <w:sz w:val="20"/>
                <w:szCs w:val="20"/>
                <w:color w:val="auto"/>
              </w:rPr>
            </w:pPr>
            <w:r>
              <w:rPr>
                <w:rFonts w:ascii="Arial" w:cs="Arial" w:eastAsia="Arial" w:hAnsi="Arial"/>
                <w:sz w:val="14"/>
                <w:szCs w:val="14"/>
                <w:i w:val="1"/>
                <w:iCs w:val="1"/>
                <w:color w:val="auto"/>
              </w:rPr>
              <w:t>Please detach here</w:t>
            </w: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6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100" w:type="dxa"/>
            <w:vAlign w:val="bottom"/>
            <w:gridSpan w:val="7"/>
            <w:vMerge w:val="restart"/>
          </w:tcPr>
          <w:p>
            <w:pPr>
              <w:ind w:left="760"/>
              <w:spacing w:after="0"/>
              <w:rPr>
                <w:sz w:val="20"/>
                <w:szCs w:val="20"/>
                <w:color w:val="auto"/>
              </w:rPr>
            </w:pPr>
            <w:r>
              <w:rPr>
                <w:rFonts w:ascii="Arial" w:cs="Arial" w:eastAsia="Arial" w:hAnsi="Arial"/>
                <w:sz w:val="14"/>
                <w:szCs w:val="14"/>
                <w:b w:val="1"/>
                <w:bCs w:val="1"/>
                <w:color w:val="auto"/>
              </w:rPr>
              <w:t>The Board of Directors Recommends a Vote FOR Items 1 through 8.</w:t>
            </w:r>
          </w:p>
        </w:tc>
        <w:tc>
          <w:tcPr>
            <w:tcW w:w="5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660" w:type="dxa"/>
            <w:vAlign w:val="bottom"/>
            <w:tcBorders>
              <w:left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00" w:type="dxa"/>
            <w:vAlign w:val="bottom"/>
            <w:gridSpan w:val="7"/>
            <w:vMerge w:val="continue"/>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40" w:type="dxa"/>
            <w:vAlign w:val="bottom"/>
            <w:gridSpan w:val="2"/>
          </w:tcPr>
          <w:p>
            <w:pPr>
              <w:ind w:left="160"/>
              <w:spacing w:after="0"/>
              <w:rPr>
                <w:sz w:val="20"/>
                <w:szCs w:val="20"/>
                <w:color w:val="auto"/>
              </w:rPr>
            </w:pPr>
            <w:r>
              <w:rPr>
                <w:rFonts w:ascii="Arial" w:cs="Arial" w:eastAsia="Arial" w:hAnsi="Arial"/>
                <w:sz w:val="14"/>
                <w:szCs w:val="14"/>
                <w:color w:val="auto"/>
              </w:rPr>
              <w:t>Election of Directors:</w:t>
            </w:r>
          </w:p>
        </w:tc>
        <w:tc>
          <w:tcPr>
            <w:tcW w:w="620" w:type="dxa"/>
            <w:vAlign w:val="bottom"/>
          </w:tcPr>
          <w:p>
            <w:pPr>
              <w:jc w:val="center"/>
              <w:ind w:left="152"/>
              <w:spacing w:after="0"/>
              <w:rPr>
                <w:sz w:val="20"/>
                <w:szCs w:val="20"/>
                <w:color w:val="auto"/>
              </w:rPr>
            </w:pPr>
            <w:r>
              <w:rPr>
                <w:rFonts w:ascii="Arial" w:cs="Arial" w:eastAsia="Arial" w:hAnsi="Arial"/>
                <w:sz w:val="14"/>
                <w:szCs w:val="14"/>
                <w:b w:val="1"/>
                <w:bCs w:val="1"/>
                <w:color w:val="auto"/>
                <w:w w:val="94"/>
              </w:rPr>
              <w:t>FOR</w:t>
            </w:r>
          </w:p>
        </w:tc>
        <w:tc>
          <w:tcPr>
            <w:tcW w:w="820" w:type="dxa"/>
            <w:vAlign w:val="bottom"/>
          </w:tcPr>
          <w:p>
            <w:pPr>
              <w:jc w:val="center"/>
              <w:ind w:right="32"/>
              <w:spacing w:after="0"/>
              <w:rPr>
                <w:sz w:val="20"/>
                <w:szCs w:val="20"/>
                <w:color w:val="auto"/>
              </w:rPr>
            </w:pPr>
            <w:r>
              <w:rPr>
                <w:rFonts w:ascii="Arial" w:cs="Arial" w:eastAsia="Arial" w:hAnsi="Arial"/>
                <w:sz w:val="14"/>
                <w:szCs w:val="14"/>
                <w:b w:val="1"/>
                <w:bCs w:val="1"/>
                <w:color w:val="auto"/>
                <w:w w:val="95"/>
              </w:rPr>
              <w:t>AGAINST</w:t>
            </w:r>
          </w:p>
        </w:tc>
        <w:tc>
          <w:tcPr>
            <w:tcW w:w="980" w:type="dxa"/>
            <w:vAlign w:val="bottom"/>
          </w:tcPr>
          <w:p>
            <w:pPr>
              <w:jc w:val="center"/>
              <w:ind w:right="312"/>
              <w:spacing w:after="0"/>
              <w:rPr>
                <w:sz w:val="20"/>
                <w:szCs w:val="20"/>
                <w:color w:val="auto"/>
              </w:rPr>
            </w:pPr>
            <w:r>
              <w:rPr>
                <w:rFonts w:ascii="Arial" w:cs="Arial" w:eastAsia="Arial" w:hAnsi="Arial"/>
                <w:sz w:val="14"/>
                <w:szCs w:val="14"/>
                <w:b w:val="1"/>
                <w:bCs w:val="1"/>
                <w:color w:val="auto"/>
                <w:w w:val="96"/>
              </w:rPr>
              <w:t>ABSTAIN</w:t>
            </w:r>
          </w:p>
        </w:tc>
        <w:tc>
          <w:tcPr>
            <w:tcW w:w="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center"/>
              <w:ind w:left="72"/>
              <w:spacing w:after="0"/>
              <w:rPr>
                <w:sz w:val="20"/>
                <w:szCs w:val="20"/>
                <w:color w:val="auto"/>
              </w:rPr>
            </w:pPr>
            <w:r>
              <w:rPr>
                <w:rFonts w:ascii="Arial" w:cs="Arial" w:eastAsia="Arial" w:hAnsi="Arial"/>
                <w:sz w:val="14"/>
                <w:szCs w:val="14"/>
                <w:b w:val="1"/>
                <w:bCs w:val="1"/>
                <w:color w:val="auto"/>
              </w:rPr>
              <w:t>FOR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0" w:type="dxa"/>
            <w:vAlign w:val="bottom"/>
          </w:tcPr>
          <w:p>
            <w:pPr>
              <w:spacing w:after="0"/>
              <w:rPr>
                <w:sz w:val="1"/>
                <w:szCs w:val="1"/>
                <w:color w:val="auto"/>
              </w:rPr>
            </w:pPr>
          </w:p>
        </w:tc>
      </w:tr>
      <w:tr>
        <w:trPr>
          <w:trHeight w:val="271"/>
        </w:trPr>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1. </w:t>
            </w:r>
            <w:r>
              <w:rPr>
                <w:rFonts w:ascii="Arial" w:cs="Arial" w:eastAsia="Arial" w:hAnsi="Arial"/>
                <w:sz w:val="14"/>
                <w:szCs w:val="14"/>
                <w:color w:val="auto"/>
              </w:rPr>
              <w:t>John S. McKeon</w:t>
            </w:r>
          </w:p>
        </w:tc>
        <w:tc>
          <w:tcPr>
            <w:tcW w:w="62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980" w:type="dxa"/>
            <w:vAlign w:val="bottom"/>
          </w:tcPr>
          <w:p>
            <w:pPr>
              <w:jc w:val="center"/>
              <w:ind w:right="312"/>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rPr>
              <w:t>5.</w:t>
            </w:r>
          </w:p>
        </w:tc>
        <w:tc>
          <w:tcPr>
            <w:tcW w:w="3760" w:type="dxa"/>
            <w:vAlign w:val="bottom"/>
            <w:gridSpan w:val="4"/>
          </w:tcPr>
          <w:p>
            <w:pPr>
              <w:ind w:left="40"/>
              <w:spacing w:after="0"/>
              <w:rPr>
                <w:sz w:val="20"/>
                <w:szCs w:val="20"/>
                <w:color w:val="auto"/>
              </w:rPr>
            </w:pPr>
            <w:r>
              <w:rPr>
                <w:rFonts w:ascii="Arial" w:cs="Arial" w:eastAsia="Arial" w:hAnsi="Arial"/>
                <w:sz w:val="14"/>
                <w:szCs w:val="14"/>
                <w:color w:val="auto"/>
              </w:rPr>
              <w:t>Daryl l. Skaar</w:t>
            </w:r>
          </w:p>
        </w:tc>
        <w:tc>
          <w:tcPr>
            <w:tcW w:w="52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7"/>
        </w:trPr>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2. </w:t>
            </w:r>
            <w:r>
              <w:rPr>
                <w:rFonts w:ascii="Arial" w:cs="Arial" w:eastAsia="Arial" w:hAnsi="Arial"/>
                <w:sz w:val="14"/>
                <w:szCs w:val="14"/>
                <w:color w:val="auto"/>
              </w:rPr>
              <w:t>Patrick H. Hawkins</w:t>
            </w:r>
          </w:p>
        </w:tc>
        <w:tc>
          <w:tcPr>
            <w:tcW w:w="62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980" w:type="dxa"/>
            <w:vAlign w:val="bottom"/>
          </w:tcPr>
          <w:p>
            <w:pPr>
              <w:jc w:val="center"/>
              <w:ind w:right="312"/>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rPr>
              <w:t>6.</w:t>
            </w:r>
          </w:p>
        </w:tc>
        <w:tc>
          <w:tcPr>
            <w:tcW w:w="3760" w:type="dxa"/>
            <w:vAlign w:val="bottom"/>
            <w:gridSpan w:val="4"/>
          </w:tcPr>
          <w:p>
            <w:pPr>
              <w:ind w:left="40"/>
              <w:spacing w:after="0"/>
              <w:rPr>
                <w:sz w:val="20"/>
                <w:szCs w:val="20"/>
                <w:color w:val="auto"/>
              </w:rPr>
            </w:pPr>
            <w:r>
              <w:rPr>
                <w:rFonts w:ascii="Arial" w:cs="Arial" w:eastAsia="Arial" w:hAnsi="Arial"/>
                <w:sz w:val="14"/>
                <w:szCs w:val="14"/>
                <w:color w:val="auto"/>
              </w:rPr>
              <w:t>James T. Thompson</w:t>
            </w:r>
          </w:p>
        </w:tc>
        <w:tc>
          <w:tcPr>
            <w:tcW w:w="52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57"/>
        </w:trPr>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3. </w:t>
            </w:r>
            <w:r>
              <w:rPr>
                <w:rFonts w:ascii="Arial" w:cs="Arial" w:eastAsia="Arial" w:hAnsi="Arial"/>
                <w:sz w:val="14"/>
                <w:szCs w:val="14"/>
                <w:color w:val="auto"/>
              </w:rPr>
              <w:t>James A. Faulconbridge</w:t>
            </w:r>
          </w:p>
        </w:tc>
        <w:tc>
          <w:tcPr>
            <w:tcW w:w="62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980" w:type="dxa"/>
            <w:vAlign w:val="bottom"/>
          </w:tcPr>
          <w:p>
            <w:pPr>
              <w:jc w:val="center"/>
              <w:ind w:right="312"/>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rPr>
              <w:t>7.</w:t>
            </w:r>
          </w:p>
        </w:tc>
        <w:tc>
          <w:tcPr>
            <w:tcW w:w="3760" w:type="dxa"/>
            <w:vAlign w:val="bottom"/>
            <w:gridSpan w:val="4"/>
          </w:tcPr>
          <w:p>
            <w:pPr>
              <w:ind w:left="40"/>
              <w:spacing w:after="0"/>
              <w:rPr>
                <w:sz w:val="20"/>
                <w:szCs w:val="20"/>
                <w:color w:val="auto"/>
              </w:rPr>
            </w:pPr>
            <w:r>
              <w:rPr>
                <w:rFonts w:ascii="Arial" w:cs="Arial" w:eastAsia="Arial" w:hAnsi="Arial"/>
                <w:sz w:val="14"/>
                <w:szCs w:val="14"/>
                <w:color w:val="auto"/>
              </w:rPr>
              <w:t>Jeffrey L. Wright</w:t>
            </w:r>
          </w:p>
        </w:tc>
        <w:tc>
          <w:tcPr>
            <w:tcW w:w="52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29"/>
        </w:trPr>
        <w:tc>
          <w:tcPr>
            <w:tcW w:w="20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Duane M. Jergenson</w:t>
            </w:r>
          </w:p>
        </w:tc>
        <w:tc>
          <w:tcPr>
            <w:tcW w:w="620" w:type="dxa"/>
            <w:vAlign w:val="bottom"/>
          </w:tcPr>
          <w:p>
            <w:pPr>
              <w:jc w:val="center"/>
              <w:ind w:left="152"/>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Pr>
          <w:p>
            <w:pPr>
              <w:jc w:val="center"/>
              <w:ind w:right="32"/>
              <w:spacing w:after="0" w:line="141" w:lineRule="exact"/>
              <w:rPr>
                <w:sz w:val="20"/>
                <w:szCs w:val="20"/>
                <w:color w:val="auto"/>
              </w:rPr>
            </w:pPr>
            <w:r>
              <w:rPr>
                <w:rFonts w:ascii="MS PGothic" w:cs="MS PGothic" w:eastAsia="MS PGothic" w:hAnsi="MS PGothic"/>
                <w:sz w:val="14"/>
                <w:szCs w:val="14"/>
                <w:color w:val="auto"/>
                <w:w w:val="85"/>
              </w:rPr>
              <w:t>☐</w:t>
            </w:r>
          </w:p>
        </w:tc>
        <w:tc>
          <w:tcPr>
            <w:tcW w:w="980" w:type="dxa"/>
            <w:vAlign w:val="bottom"/>
          </w:tcPr>
          <w:p>
            <w:pPr>
              <w:jc w:val="center"/>
              <w:ind w:right="312"/>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ind w:left="400"/>
              <w:spacing w:after="0"/>
              <w:rPr>
                <w:sz w:val="20"/>
                <w:szCs w:val="20"/>
                <w:color w:val="auto"/>
              </w:rPr>
            </w:pPr>
            <w:r>
              <w:rPr>
                <w:rFonts w:ascii="Arial" w:cs="Arial" w:eastAsia="Arial" w:hAnsi="Arial"/>
                <w:sz w:val="14"/>
                <w:szCs w:val="14"/>
                <w:b w:val="1"/>
                <w:bCs w:val="1"/>
                <w:color w:val="auto"/>
              </w:rPr>
              <w:t>8.</w:t>
            </w:r>
          </w:p>
        </w:tc>
        <w:tc>
          <w:tcPr>
            <w:tcW w:w="3760" w:type="dxa"/>
            <w:vAlign w:val="bottom"/>
            <w:gridSpan w:val="4"/>
          </w:tcPr>
          <w:p>
            <w:pPr>
              <w:ind w:left="40"/>
              <w:spacing w:after="0"/>
              <w:rPr>
                <w:sz w:val="20"/>
                <w:szCs w:val="20"/>
                <w:color w:val="auto"/>
              </w:rPr>
            </w:pPr>
            <w:r>
              <w:rPr>
                <w:rFonts w:ascii="Arial" w:cs="Arial" w:eastAsia="Arial" w:hAnsi="Arial"/>
                <w:sz w:val="14"/>
                <w:szCs w:val="14"/>
                <w:color w:val="auto"/>
              </w:rPr>
              <w:t>Non-binding advisory vote on executive</w:t>
            </w:r>
          </w:p>
        </w:tc>
        <w:tc>
          <w:tcPr>
            <w:tcW w:w="520" w:type="dxa"/>
            <w:vAlign w:val="bottom"/>
          </w:tcPr>
          <w:p>
            <w:pPr>
              <w:jc w:val="center"/>
              <w:ind w:left="52"/>
              <w:spacing w:after="0" w:line="141" w:lineRule="exact"/>
              <w:rPr>
                <w:sz w:val="20"/>
                <w:szCs w:val="20"/>
                <w:color w:val="auto"/>
              </w:rPr>
            </w:pPr>
            <w:r>
              <w:rPr>
                <w:rFonts w:ascii="MS PGothic" w:cs="MS PGothic" w:eastAsia="MS PGothic" w:hAnsi="MS PGothic"/>
                <w:sz w:val="14"/>
                <w:szCs w:val="14"/>
                <w:color w:val="auto"/>
                <w:w w:val="85"/>
              </w:rPr>
              <w:t>☐</w:t>
            </w:r>
          </w:p>
        </w:tc>
        <w:tc>
          <w:tcPr>
            <w:tcW w:w="6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20" w:type="dxa"/>
            <w:vAlign w:val="bottom"/>
            <w:gridSpan w:val="2"/>
          </w:tcPr>
          <w:p>
            <w:pPr>
              <w:jc w:val="center"/>
              <w:ind w:right="100"/>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760" w:type="dxa"/>
            <w:vAlign w:val="bottom"/>
            <w:gridSpan w:val="4"/>
          </w:tcPr>
          <w:p>
            <w:pPr>
              <w:ind w:left="40"/>
              <w:spacing w:after="0"/>
              <w:rPr>
                <w:sz w:val="20"/>
                <w:szCs w:val="20"/>
                <w:color w:val="auto"/>
              </w:rPr>
            </w:pPr>
            <w:r>
              <w:rPr>
                <w:rFonts w:ascii="Arial" w:cs="Arial" w:eastAsia="Arial" w:hAnsi="Arial"/>
                <w:sz w:val="14"/>
                <w:szCs w:val="14"/>
                <w:color w:val="auto"/>
              </w:rPr>
              <w:t>compensation (“say-on-pay”)</w:t>
            </w: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860" w:type="dxa"/>
            <w:vAlign w:val="bottom"/>
            <w:gridSpan w:val="14"/>
          </w:tcPr>
          <w:p>
            <w:pPr>
              <w:ind w:left="160"/>
              <w:spacing w:after="0"/>
              <w:rPr>
                <w:sz w:val="20"/>
                <w:szCs w:val="20"/>
                <w:color w:val="auto"/>
              </w:rPr>
            </w:pPr>
            <w:r>
              <w:rPr>
                <w:rFonts w:ascii="Arial" w:cs="Arial" w:eastAsia="Arial" w:hAnsi="Arial"/>
                <w:sz w:val="14"/>
                <w:szCs w:val="14"/>
                <w:color w:val="auto"/>
              </w:rPr>
              <w:t>THIS PROXY WHEN PROPERLY EXECUTED WILL BE VOTED AS DIRECTED OR, IF NO DIRECTlON IS GIVEN, WILL BE VOTED AS THE BOARD RECOMMENDS.</w:t>
            </w:r>
          </w:p>
        </w:tc>
        <w:tc>
          <w:tcPr>
            <w:tcW w:w="0" w:type="dxa"/>
            <w:vAlign w:val="bottom"/>
          </w:tcPr>
          <w:p>
            <w:pPr>
              <w:spacing w:after="0"/>
              <w:rPr>
                <w:sz w:val="1"/>
                <w:szCs w:val="1"/>
                <w:color w:val="auto"/>
              </w:rPr>
            </w:pPr>
          </w:p>
        </w:tc>
      </w:tr>
      <w:tr>
        <w:trPr>
          <w:trHeight w:val="230"/>
        </w:trPr>
        <w:tc>
          <w:tcPr>
            <w:tcW w:w="3480" w:type="dxa"/>
            <w:vAlign w:val="bottom"/>
            <w:gridSpan w:val="4"/>
          </w:tcPr>
          <w:p>
            <w:pPr>
              <w:ind w:left="160"/>
              <w:spacing w:after="0" w:line="161" w:lineRule="exact"/>
              <w:rPr>
                <w:sz w:val="20"/>
                <w:szCs w:val="20"/>
                <w:color w:val="auto"/>
              </w:rPr>
            </w:pPr>
            <w:r>
              <w:rPr>
                <w:rFonts w:ascii="Arial" w:cs="Arial" w:eastAsia="Arial" w:hAnsi="Arial"/>
                <w:sz w:val="14"/>
                <w:szCs w:val="14"/>
                <w:color w:val="auto"/>
                <w:w w:val="97"/>
              </w:rPr>
              <w:t xml:space="preserve">Address change? Mark box </w:t>
            </w:r>
            <w:r>
              <w:rPr>
                <w:rFonts w:ascii="MS PGothic" w:cs="MS PGothic" w:eastAsia="MS PGothic" w:hAnsi="MS PGothic"/>
                <w:sz w:val="14"/>
                <w:szCs w:val="14"/>
                <w:color w:val="auto"/>
                <w:w w:val="97"/>
              </w:rPr>
              <w:t>☐</w:t>
            </w:r>
            <w:r>
              <w:rPr>
                <w:rFonts w:ascii="Arial" w:cs="Arial" w:eastAsia="Arial" w:hAnsi="Arial"/>
                <w:sz w:val="14"/>
                <w:szCs w:val="14"/>
                <w:color w:val="auto"/>
                <w:w w:val="97"/>
              </w:rPr>
              <w:t xml:space="preserve"> Indicate changes below</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Arial" w:cs="Arial" w:eastAsia="Arial" w:hAnsi="Arial"/>
                <w:sz w:val="14"/>
                <w:szCs w:val="14"/>
                <w:color w:val="auto"/>
              </w:rPr>
              <w:t>Date</w:t>
            </w: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6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102870</wp:posOffset>
            </wp:positionV>
            <wp:extent cx="2032635" cy="111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32635" cy="11176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-3352800</wp:posOffset>
            </wp:positionV>
            <wp:extent cx="20574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5740" cy="19748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-3086735</wp:posOffset>
            </wp:positionV>
            <wp:extent cx="214630" cy="1803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630" cy="18034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-2726690</wp:posOffset>
            </wp:positionV>
            <wp:extent cx="19748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7485" cy="154305"/>
                    </a:xfrm>
                    <a:prstGeom prst="rect">
                      <a:avLst/>
                    </a:prstGeom>
                    <a:noFill/>
                  </pic:spPr>
                </pic:pic>
              </a:graphicData>
            </a:graphic>
          </wp:anchor>
        </w:drawing>
        <w:drawing>
          <wp:anchor simplePos="0" relativeHeight="251657728" behindDoc="1" locked="0" layoutInCell="0" allowOverlap="1">
            <wp:simplePos x="0" y="0"/>
            <wp:positionH relativeFrom="column">
              <wp:posOffset>2747645</wp:posOffset>
            </wp:positionH>
            <wp:positionV relativeFrom="paragraph">
              <wp:posOffset>-1920240</wp:posOffset>
            </wp:positionV>
            <wp:extent cx="2489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48920" cy="15430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-1920240</wp:posOffset>
            </wp:positionV>
            <wp:extent cx="2489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48920" cy="154305"/>
                    </a:xfrm>
                    <a:prstGeom prst="rect">
                      <a:avLst/>
                    </a:prstGeom>
                    <a:noFill/>
                  </pic:spPr>
                </pic:pic>
              </a:graphicData>
            </a:graphic>
          </wp:anchor>
        </w:drawing>
      </w:r>
    </w:p>
    <w:p>
      <w:pPr>
        <w:spacing w:after="0" w:line="155"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w:t>
      </w:r>
    </w:p>
    <w:p>
      <w:pPr>
        <w:spacing w:after="0" w:line="96"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Signature(s) in Box</w:t>
      </w:r>
    </w:p>
    <w:p>
      <w:pPr>
        <w:spacing w:after="0" w:line="83"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Please sign exactly as your name(s) appears on</w:t>
      </w:r>
    </w:p>
    <w:p>
      <w:pPr>
        <w:ind w:left="7100"/>
        <w:spacing w:after="0" w:line="221" w:lineRule="auto"/>
        <w:rPr>
          <w:sz w:val="20"/>
          <w:szCs w:val="20"/>
          <w:color w:val="auto"/>
        </w:rPr>
      </w:pPr>
      <w:r>
        <w:rPr>
          <w:rFonts w:ascii="Arial" w:cs="Arial" w:eastAsia="Arial" w:hAnsi="Arial"/>
          <w:sz w:val="14"/>
          <w:szCs w:val="14"/>
          <w:color w:val="auto"/>
        </w:rPr>
        <w:t>Proxy. If held in joint tenancy, all persons should</w:t>
      </w:r>
    </w:p>
    <w:p>
      <w:pPr>
        <w:ind w:left="7100"/>
        <w:spacing w:after="0" w:line="221" w:lineRule="auto"/>
        <w:rPr>
          <w:sz w:val="20"/>
          <w:szCs w:val="20"/>
          <w:color w:val="auto"/>
        </w:rPr>
      </w:pPr>
      <w:r>
        <w:rPr>
          <w:rFonts w:ascii="Arial" w:cs="Arial" w:eastAsia="Arial" w:hAnsi="Arial"/>
          <w:sz w:val="14"/>
          <w:szCs w:val="14"/>
          <w:color w:val="auto"/>
        </w:rPr>
        <w:t>sign. Trustees, administrators, etc., should include</w:t>
      </w:r>
    </w:p>
    <w:p>
      <w:pPr>
        <w:ind w:left="7100"/>
        <w:spacing w:after="0" w:line="222" w:lineRule="auto"/>
        <w:rPr>
          <w:sz w:val="20"/>
          <w:szCs w:val="20"/>
          <w:color w:val="auto"/>
        </w:rPr>
      </w:pPr>
      <w:r>
        <w:rPr>
          <w:rFonts w:ascii="Arial" w:cs="Arial" w:eastAsia="Arial" w:hAnsi="Arial"/>
          <w:sz w:val="14"/>
          <w:szCs w:val="14"/>
          <w:color w:val="auto"/>
        </w:rPr>
        <w:t>title and authority. Corporations should provide full</w:t>
      </w:r>
    </w:p>
    <w:p>
      <w:pPr>
        <w:ind w:left="7100"/>
        <w:spacing w:after="0" w:line="221" w:lineRule="auto"/>
        <w:rPr>
          <w:sz w:val="20"/>
          <w:szCs w:val="20"/>
          <w:color w:val="auto"/>
        </w:rPr>
      </w:pPr>
      <w:r>
        <w:rPr>
          <w:rFonts w:ascii="Arial" w:cs="Arial" w:eastAsia="Arial" w:hAnsi="Arial"/>
          <w:sz w:val="14"/>
          <w:szCs w:val="14"/>
          <w:color w:val="auto"/>
        </w:rPr>
        <w:t>name of corporation and title of authorized officer</w:t>
      </w:r>
    </w:p>
    <w:p>
      <w:pPr>
        <w:spacing w:after="0" w:line="1" w:lineRule="exact"/>
        <w:rPr>
          <w:sz w:val="20"/>
          <w:szCs w:val="20"/>
          <w:color w:val="auto"/>
        </w:rPr>
      </w:pPr>
    </w:p>
    <w:p>
      <w:pPr>
        <w:ind w:left="7100"/>
        <w:spacing w:after="0"/>
        <w:rPr>
          <w:sz w:val="20"/>
          <w:szCs w:val="20"/>
          <w:color w:val="auto"/>
        </w:rPr>
      </w:pPr>
      <w:r>
        <w:rPr>
          <w:rFonts w:ascii="Arial" w:cs="Arial" w:eastAsia="Arial" w:hAnsi="Arial"/>
          <w:sz w:val="14"/>
          <w:szCs w:val="14"/>
          <w:color w:val="auto"/>
        </w:rPr>
        <w:t>signing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6537960</wp:posOffset>
            </wp:positionH>
            <wp:positionV relativeFrom="paragraph">
              <wp:posOffset>86995</wp:posOffset>
            </wp:positionV>
            <wp:extent cx="351790" cy="257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179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86995</wp:posOffset>
            </wp:positionV>
            <wp:extent cx="420370" cy="2571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20370" cy="257175"/>
                    </a:xfrm>
                    <a:prstGeom prst="rect">
                      <a:avLst/>
                    </a:prstGeom>
                    <a:noFill/>
                  </pic:spPr>
                </pic:pic>
              </a:graphicData>
            </a:graphic>
          </wp:anchor>
        </w:drawing>
      </w:r>
    </w:p>
    <w:sectPr>
      <w:pgSz w:w="11900" w:h="16838" w:orient="portrait"/>
      <w:cols w:equalWidth="0" w:num="1">
        <w:col w:w="10840"/>
      </w:cols>
      <w:pgMar w:left="540" w:top="45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lvl w:ilvl="1">
      <w:lvlJc w:val="left"/>
      <w:lvlText w:val="(%2)"/>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Letter"/>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lowerLetter"/>
      <w:start w:val="1"/>
    </w:lvl>
  </w:abstractNum>
  <w:abstractNum w:abstractNumId="12">
    <w:nsid w:val="628C895D"/>
    <w:multiLevelType w:val="hybridMultilevel"/>
    <w:lvl w:ilvl="0">
      <w:lvlJc w:val="left"/>
      <w:lvlText w:val="(%1)"/>
      <w:numFmt w:val="lowerLetter"/>
      <w:start w:val="3"/>
    </w:lvl>
    <w:lvl w:ilvl="1">
      <w:lvlJc w:val="left"/>
      <w:lvlText w:val="•"/>
      <w:numFmt w:val="bullet"/>
      <w:start w:val="1"/>
    </w:lvl>
  </w:abstractNum>
  <w:abstractNum w:abstractNumId="13">
    <w:nsid w:val="333AB105"/>
    <w:multiLevelType w:val="hybridMultilevel"/>
    <w:lvl w:ilvl="0">
      <w:lvlJc w:val="left"/>
      <w:lvlText w:val="(%1)"/>
      <w:numFmt w:val="lowerLetter"/>
      <w:start w:val="1"/>
    </w:lvl>
  </w:abstractNum>
  <w:abstractNum w:abstractNumId="14">
    <w:nsid w:val="721DA317"/>
    <w:multiLevelType w:val="hybridMultilevel"/>
    <w:lvl w:ilvl="0">
      <w:lvlJc w:val="left"/>
      <w:lvlText w:val="(%1)"/>
      <w:numFmt w:val="lowerLetter"/>
      <w:start w:val="1"/>
    </w:lvl>
  </w:abstractNum>
  <w:abstractNum w:abstractNumId="15">
    <w:nsid w:val="2443A858"/>
    <w:multiLevelType w:val="hybridMultilevel"/>
    <w:lvl w:ilvl="0">
      <w:lvlJc w:val="left"/>
      <w:lvlText w:val="(%1)"/>
      <w:numFmt w:val="lowerLetter"/>
      <w:start w:val="1"/>
    </w:lvl>
  </w:abstractNum>
  <w:abstractNum w:abstractNumId="16">
    <w:nsid w:val="2D1D5AE9"/>
    <w:multiLevelType w:val="hybridMultilevel"/>
    <w:lvl w:ilvl="0">
      <w:lvlJc w:val="left"/>
      <w:lvlText w:val="(%1)"/>
      <w:numFmt w:val="lowerLetter"/>
      <w:start w:val="2"/>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lowerLetter"/>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2"/>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2019-12-09T07:43:20Z</dcterms:created>
  <dcterms:modified xsi:type="dcterms:W3CDTF">2019-12-09T07:43:20Z</dcterms:modified>
</cp:coreProperties>
</file>