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60" w:type="dxa"/>
        <w:tblCellMar>
          <w:top w:w="0" w:type="dxa"/>
          <w:left w:w="0" w:type="dxa"/>
          <w:bottom w:w="0" w:type="dxa"/>
          <w:right w:w="0" w:type="dxa"/>
        </w:tblCellMar>
      </w:tblPr>
      <w:tr>
        <w:trPr>
          <w:trHeight w:val="305"/>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jc w:val="center"/>
              <w:ind w:right="940"/>
              <w:spacing w:after="0"/>
              <w:rPr>
                <w:sz w:val="20"/>
                <w:szCs w:val="20"/>
                <w:color w:val="auto"/>
              </w:rPr>
            </w:pPr>
            <w:r>
              <w:rPr>
                <w:rFonts w:ascii="Calibri" w:cs="Calibri" w:eastAsia="Calibri" w:hAnsi="Calibri"/>
                <w:sz w:val="25"/>
                <w:szCs w:val="25"/>
                <w:b w:val="1"/>
                <w:bCs w:val="1"/>
                <w:color w:val="auto"/>
                <w:w w:val="99"/>
              </w:rPr>
              <w:t>UNITED STATES</w:t>
            </w:r>
          </w:p>
        </w:tc>
      </w:tr>
      <w:tr>
        <w:trPr>
          <w:trHeight w:val="301"/>
        </w:trPr>
        <w:tc>
          <w:tcPr>
            <w:tcW w:w="1360" w:type="dxa"/>
            <w:vAlign w:val="bottom"/>
          </w:tcPr>
          <w:p>
            <w:pPr>
              <w:spacing w:after="0"/>
              <w:rPr>
                <w:sz w:val="24"/>
                <w:szCs w:val="24"/>
                <w:color w:val="auto"/>
              </w:rPr>
            </w:pPr>
          </w:p>
        </w:tc>
        <w:tc>
          <w:tcPr>
            <w:tcW w:w="5920" w:type="dxa"/>
            <w:vAlign w:val="bottom"/>
            <w:gridSpan w:val="3"/>
          </w:tcPr>
          <w:p>
            <w:pPr>
              <w:jc w:val="center"/>
              <w:ind w:left="801"/>
              <w:spacing w:after="0" w:line="301" w:lineRule="exact"/>
              <w:rPr>
                <w:sz w:val="20"/>
                <w:szCs w:val="20"/>
                <w:color w:val="auto"/>
              </w:rPr>
            </w:pPr>
            <w:r>
              <w:rPr>
                <w:rFonts w:ascii="Calibri" w:cs="Calibri" w:eastAsia="Calibri" w:hAnsi="Calibri"/>
                <w:sz w:val="25"/>
                <w:szCs w:val="25"/>
                <w:b w:val="1"/>
                <w:bCs w:val="1"/>
                <w:color w:val="auto"/>
              </w:rPr>
              <w:t>SECURITIES AND EXCHANGE COMMISSION</w:t>
            </w:r>
          </w:p>
        </w:tc>
      </w:tr>
      <w:tr>
        <w:trPr>
          <w:trHeight w:val="262"/>
        </w:trPr>
        <w:tc>
          <w:tcPr>
            <w:tcW w:w="13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100" w:type="dxa"/>
            <w:vAlign w:val="bottom"/>
            <w:gridSpan w:val="2"/>
          </w:tcPr>
          <w:p>
            <w:pPr>
              <w:jc w:val="center"/>
              <w:ind w:right="940"/>
              <w:spacing w:after="0" w:line="262" w:lineRule="exact"/>
              <w:rPr>
                <w:sz w:val="20"/>
                <w:szCs w:val="20"/>
                <w:color w:val="auto"/>
              </w:rPr>
            </w:pPr>
            <w:r>
              <w:rPr>
                <w:rFonts w:ascii="Calibri" w:cs="Calibri" w:eastAsia="Calibri" w:hAnsi="Calibri"/>
                <w:sz w:val="22"/>
                <w:szCs w:val="22"/>
                <w:b w:val="1"/>
                <w:bCs w:val="1"/>
                <w:color w:val="auto"/>
                <w:w w:val="96"/>
              </w:rPr>
              <w:t>Washington, D.C. 20549</w:t>
            </w:r>
          </w:p>
        </w:tc>
      </w:tr>
      <w:tr>
        <w:trPr>
          <w:trHeight w:val="122"/>
        </w:trPr>
        <w:tc>
          <w:tcPr>
            <w:tcW w:w="1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r>
      <w:tr>
        <w:trPr>
          <w:trHeight w:val="344"/>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jc w:val="center"/>
              <w:ind w:right="620"/>
              <w:spacing w:after="0"/>
              <w:rPr>
                <w:sz w:val="20"/>
                <w:szCs w:val="20"/>
                <w:color w:val="auto"/>
              </w:rPr>
            </w:pPr>
            <w:r>
              <w:rPr>
                <w:rFonts w:ascii="Calibri" w:cs="Calibri" w:eastAsia="Calibri" w:hAnsi="Calibri"/>
                <w:sz w:val="22"/>
                <w:szCs w:val="22"/>
                <w:b w:val="1"/>
                <w:bCs w:val="1"/>
                <w:color w:val="auto"/>
                <w:w w:val="98"/>
              </w:rPr>
              <w:t>Form 10-K</w:t>
            </w:r>
          </w:p>
        </w:tc>
      </w:tr>
      <w:tr>
        <w:trPr>
          <w:trHeight w:val="342"/>
        </w:trPr>
        <w:tc>
          <w:tcPr>
            <w:tcW w:w="136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5920" w:type="dxa"/>
            <w:vAlign w:val="bottom"/>
            <w:gridSpan w:val="3"/>
          </w:tcPr>
          <w:p>
            <w:pPr>
              <w:jc w:val="center"/>
              <w:ind w:left="1081"/>
              <w:spacing w:after="0"/>
              <w:rPr>
                <w:sz w:val="20"/>
                <w:szCs w:val="20"/>
                <w:color w:val="auto"/>
              </w:rPr>
            </w:pPr>
            <w:r>
              <w:rPr>
                <w:rFonts w:ascii="Calibri" w:cs="Calibri" w:eastAsia="Calibri" w:hAnsi="Calibri"/>
                <w:sz w:val="18"/>
                <w:szCs w:val="18"/>
                <w:b w:val="1"/>
                <w:bCs w:val="1"/>
                <w:color w:val="auto"/>
                <w:w w:val="97"/>
              </w:rPr>
              <w:t>ANNUAL REPORT PURSUANT TO SECTION 13 OR 15(d) OF THE</w:t>
            </w:r>
          </w:p>
        </w:tc>
      </w:tr>
      <w:tr>
        <w:trPr>
          <w:trHeight w:val="215"/>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gridSpan w:val="2"/>
          </w:tcPr>
          <w:p>
            <w:pPr>
              <w:jc w:val="center"/>
              <w:ind w:right="640"/>
              <w:spacing w:after="0" w:line="215" w:lineRule="exact"/>
              <w:rPr>
                <w:sz w:val="20"/>
                <w:szCs w:val="20"/>
                <w:color w:val="auto"/>
              </w:rPr>
            </w:pPr>
            <w:r>
              <w:rPr>
                <w:rFonts w:ascii="Calibri" w:cs="Calibri" w:eastAsia="Calibri" w:hAnsi="Calibri"/>
                <w:sz w:val="18"/>
                <w:szCs w:val="18"/>
                <w:b w:val="1"/>
                <w:bCs w:val="1"/>
                <w:color w:val="auto"/>
                <w:w w:val="97"/>
              </w:rPr>
              <w:t>SECURITIES EXCHANGE ACT OF 1934</w:t>
            </w:r>
          </w:p>
        </w:tc>
      </w:tr>
      <w:tr>
        <w:trPr>
          <w:trHeight w:val="229"/>
        </w:trPr>
        <w:tc>
          <w:tcPr>
            <w:tcW w:w="1360" w:type="dxa"/>
            <w:vAlign w:val="bottom"/>
          </w:tcPr>
          <w:p>
            <w:pPr>
              <w:spacing w:after="0"/>
              <w:rPr>
                <w:sz w:val="19"/>
                <w:szCs w:val="19"/>
                <w:color w:val="auto"/>
              </w:rPr>
            </w:pPr>
          </w:p>
        </w:tc>
        <w:tc>
          <w:tcPr>
            <w:tcW w:w="5920" w:type="dxa"/>
            <w:vAlign w:val="bottom"/>
            <w:gridSpan w:val="3"/>
          </w:tcPr>
          <w:p>
            <w:pPr>
              <w:ind w:left="1800"/>
              <w:spacing w:after="0"/>
              <w:rPr>
                <w:sz w:val="20"/>
                <w:szCs w:val="20"/>
                <w:color w:val="auto"/>
              </w:rPr>
            </w:pPr>
            <w:r>
              <w:rPr>
                <w:rFonts w:ascii="Calibri" w:cs="Calibri" w:eastAsia="Calibri" w:hAnsi="Calibri"/>
                <w:sz w:val="18"/>
                <w:szCs w:val="18"/>
                <w:b w:val="1"/>
                <w:bCs w:val="1"/>
                <w:color w:val="auto"/>
              </w:rPr>
              <w:t>For the Fiscal Year Ended March 31, 2024</w:t>
            </w:r>
          </w:p>
        </w:tc>
      </w:tr>
      <w:tr>
        <w:trPr>
          <w:trHeight w:val="339"/>
        </w:trPr>
        <w:tc>
          <w:tcPr>
            <w:tcW w:w="136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5920" w:type="dxa"/>
            <w:vAlign w:val="bottom"/>
            <w:gridSpan w:val="3"/>
          </w:tcPr>
          <w:p>
            <w:pPr>
              <w:jc w:val="center"/>
              <w:ind w:left="1081"/>
              <w:spacing w:after="0"/>
              <w:rPr>
                <w:sz w:val="20"/>
                <w:szCs w:val="20"/>
                <w:color w:val="auto"/>
              </w:rPr>
            </w:pPr>
            <w:r>
              <w:rPr>
                <w:rFonts w:ascii="Calibri" w:cs="Calibri" w:eastAsia="Calibri" w:hAnsi="Calibri"/>
                <w:sz w:val="18"/>
                <w:szCs w:val="18"/>
                <w:b w:val="1"/>
                <w:bCs w:val="1"/>
                <w:color w:val="auto"/>
                <w:w w:val="97"/>
              </w:rPr>
              <w:t>TRANSITION REPORT PURSUANT TO SECTION 13 OR 15(d) OF THE</w:t>
            </w:r>
          </w:p>
        </w:tc>
      </w:tr>
      <w:tr>
        <w:trPr>
          <w:trHeight w:val="215"/>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gridSpan w:val="2"/>
          </w:tcPr>
          <w:p>
            <w:pPr>
              <w:jc w:val="center"/>
              <w:ind w:right="640"/>
              <w:spacing w:after="0" w:line="215" w:lineRule="exact"/>
              <w:rPr>
                <w:sz w:val="20"/>
                <w:szCs w:val="20"/>
                <w:color w:val="auto"/>
              </w:rPr>
            </w:pPr>
            <w:r>
              <w:rPr>
                <w:rFonts w:ascii="Calibri" w:cs="Calibri" w:eastAsia="Calibri" w:hAnsi="Calibri"/>
                <w:sz w:val="18"/>
                <w:szCs w:val="18"/>
                <w:b w:val="1"/>
                <w:bCs w:val="1"/>
                <w:color w:val="auto"/>
                <w:w w:val="97"/>
              </w:rPr>
              <w:t>SECURITIES EXCHANGE ACT OF 1934</w:t>
            </w:r>
          </w:p>
        </w:tc>
      </w:tr>
      <w:tr>
        <w:trPr>
          <w:trHeight w:val="283"/>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jc w:val="center"/>
              <w:ind w:right="640"/>
              <w:spacing w:after="0"/>
              <w:rPr>
                <w:sz w:val="20"/>
                <w:szCs w:val="20"/>
                <w:color w:val="auto"/>
              </w:rPr>
            </w:pPr>
            <w:r>
              <w:rPr>
                <w:rFonts w:ascii="Calibri" w:cs="Calibri" w:eastAsia="Calibri" w:hAnsi="Calibri"/>
                <w:sz w:val="18"/>
                <w:szCs w:val="18"/>
                <w:b w:val="1"/>
                <w:bCs w:val="1"/>
                <w:color w:val="auto"/>
                <w:w w:val="97"/>
              </w:rPr>
              <w:t>Commission File No. 0-7647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396875</wp:posOffset>
            </wp:positionH>
            <wp:positionV relativeFrom="page">
              <wp:posOffset>363220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328930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126365</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87" w:lineRule="exact"/>
        <w:rPr>
          <w:sz w:val="24"/>
          <w:szCs w:val="24"/>
          <w:color w:val="auto"/>
        </w:rPr>
      </w:pPr>
    </w:p>
    <w:p>
      <w:pPr>
        <w:jc w:val="center"/>
        <w:ind w:right="-19"/>
        <w:spacing w:after="0"/>
        <w:rPr>
          <w:sz w:val="20"/>
          <w:szCs w:val="20"/>
          <w:color w:val="auto"/>
        </w:rPr>
      </w:pPr>
      <w:r>
        <w:rPr>
          <w:rFonts w:ascii="Calibri" w:cs="Calibri" w:eastAsia="Calibri" w:hAnsi="Calibri"/>
          <w:sz w:val="36"/>
          <w:szCs w:val="36"/>
          <w:b w:val="1"/>
          <w:bCs w:val="1"/>
          <w:color w:val="auto"/>
        </w:rPr>
        <w:t>HAWKINS, INC.</w:t>
      </w:r>
    </w:p>
    <w:p>
      <w:pPr>
        <w:spacing w:after="0" w:line="20"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20"/>
          </w:cols>
          <w:pgMar w:left="320" w:top="689" w:right="359" w:bottom="1440" w:gutter="0" w:footer="0" w:header="0"/>
        </w:sectPr>
      </w:pPr>
    </w:p>
    <w:p>
      <w:pPr>
        <w:spacing w:after="0" w:line="35" w:lineRule="exact"/>
        <w:rPr>
          <w:sz w:val="24"/>
          <w:szCs w:val="24"/>
          <w:color w:val="auto"/>
        </w:rPr>
      </w:pPr>
    </w:p>
    <w:p>
      <w:pPr>
        <w:ind w:left="2480"/>
        <w:spacing w:after="0"/>
        <w:rPr>
          <w:sz w:val="20"/>
          <w:szCs w:val="20"/>
          <w:color w:val="auto"/>
        </w:rPr>
      </w:pPr>
      <w:r>
        <w:rPr>
          <w:rFonts w:ascii="Calibri" w:cs="Calibri" w:eastAsia="Calibri" w:hAnsi="Calibri"/>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41-0771293</w:t>
      </w:r>
    </w:p>
    <w:p>
      <w:pPr>
        <w:spacing w:after="0" w:line="32" w:lineRule="exact"/>
        <w:rPr>
          <w:sz w:val="24"/>
          <w:szCs w:val="24"/>
          <w:color w:val="auto"/>
        </w:rPr>
      </w:pPr>
    </w:p>
    <w:p>
      <w:pPr>
        <w:sectPr>
          <w:pgSz w:w="11900" w:h="16838" w:orient="portrait"/>
          <w:cols w:equalWidth="0" w:num="2">
            <w:col w:w="7560" w:space="720"/>
            <w:col w:w="2940"/>
          </w:cols>
          <w:pgMar w:left="320" w:top="689" w:right="359" w:bottom="1440" w:gutter="0" w:footer="0" w:header="0"/>
          <w:type w:val="continuous"/>
        </w:sectPr>
      </w:pPr>
    </w:p>
    <w:p>
      <w:pPr>
        <w:ind w:left="2120"/>
        <w:spacing w:after="0"/>
        <w:rPr>
          <w:sz w:val="20"/>
          <w:szCs w:val="20"/>
          <w:color w:val="auto"/>
        </w:rPr>
      </w:pPr>
      <w:r>
        <w:rPr>
          <w:rFonts w:ascii="Calibri" w:cs="Calibri" w:eastAsia="Calibri" w:hAnsi="Calibri"/>
          <w:sz w:val="14"/>
          <w:szCs w:val="14"/>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(I.R.S. Employer Identfcaton No.)</w:t>
      </w:r>
    </w:p>
    <w:p>
      <w:pPr>
        <w:spacing w:after="0" w:line="32" w:lineRule="exact"/>
        <w:rPr>
          <w:sz w:val="24"/>
          <w:szCs w:val="24"/>
          <w:color w:val="auto"/>
        </w:rPr>
      </w:pPr>
    </w:p>
    <w:p>
      <w:pPr>
        <w:sectPr>
          <w:pgSz w:w="11900" w:h="16838" w:orient="portrait"/>
          <w:cols w:equalWidth="0" w:num="2">
            <w:col w:w="6920" w:space="720"/>
            <w:col w:w="3580"/>
          </w:cols>
          <w:pgMar w:left="320" w:top="689" w:right="359" w:bottom="1440" w:gutter="0" w:footer="0" w:header="0"/>
          <w:type w:val="continuous"/>
        </w:sectPr>
      </w:pPr>
    </w:p>
    <w:p>
      <w:pPr>
        <w:ind w:left="1720"/>
        <w:spacing w:after="0"/>
        <w:rPr>
          <w:sz w:val="20"/>
          <w:szCs w:val="20"/>
          <w:color w:val="auto"/>
        </w:rPr>
      </w:pPr>
      <w:r>
        <w:rPr>
          <w:rFonts w:ascii="Calibri" w:cs="Calibri" w:eastAsia="Calibri" w:hAnsi="Calibri"/>
          <w:sz w:val="14"/>
          <w:szCs w:val="14"/>
          <w:b w:val="1"/>
          <w:bCs w:val="1"/>
          <w:color w:val="auto"/>
        </w:rPr>
        <w:t>2381 Rosegate, Roseville, 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55113</w:t>
      </w:r>
    </w:p>
    <w:p>
      <w:pPr>
        <w:spacing w:after="0" w:line="32" w:lineRule="exact"/>
        <w:rPr>
          <w:sz w:val="24"/>
          <w:szCs w:val="24"/>
          <w:color w:val="auto"/>
        </w:rPr>
      </w:pPr>
    </w:p>
    <w:p>
      <w:pPr>
        <w:sectPr>
          <w:pgSz w:w="11900" w:h="16838" w:orient="portrait"/>
          <w:cols w:equalWidth="0" w:num="2">
            <w:col w:w="7740" w:space="720"/>
            <w:col w:w="2760"/>
          </w:cols>
          <w:pgMar w:left="320" w:top="689" w:right="359" w:bottom="1440" w:gutter="0" w:footer="0" w:header="0"/>
          <w:type w:val="continuous"/>
        </w:sectPr>
      </w:pPr>
    </w:p>
    <w:p>
      <w:pPr>
        <w:ind w:left="1680"/>
        <w:spacing w:after="0"/>
        <w:rPr>
          <w:sz w:val="20"/>
          <w:szCs w:val="20"/>
          <w:color w:val="auto"/>
        </w:rPr>
      </w:pPr>
      <w:r>
        <w:rPr>
          <w:rFonts w:ascii="Calibri" w:cs="Calibri" w:eastAsia="Calibri" w:hAnsi="Calibri"/>
          <w:sz w:val="14"/>
          <w:szCs w:val="14"/>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(Zip Code)</w:t>
      </w:r>
    </w:p>
    <w:p>
      <w:pPr>
        <w:spacing w:after="0" w:line="99" w:lineRule="exact"/>
        <w:rPr>
          <w:sz w:val="24"/>
          <w:szCs w:val="24"/>
          <w:color w:val="auto"/>
        </w:rPr>
      </w:pPr>
    </w:p>
    <w:p>
      <w:pPr>
        <w:sectPr>
          <w:pgSz w:w="11900" w:h="16838" w:orient="portrait"/>
          <w:cols w:equalWidth="0" w:num="2">
            <w:col w:w="7620" w:space="720"/>
            <w:col w:w="2880"/>
          </w:cols>
          <w:pgMar w:left="320" w:top="689" w:right="359" w:bottom="1440" w:gutter="0" w:footer="0" w:header="0"/>
          <w:type w:val="continuous"/>
        </w:sectPr>
      </w:pPr>
    </w:p>
    <w:p>
      <w:pPr>
        <w:jc w:val="center"/>
        <w:ind w:right="-39"/>
        <w:spacing w:after="0"/>
        <w:rPr>
          <w:sz w:val="20"/>
          <w:szCs w:val="20"/>
          <w:color w:val="auto"/>
        </w:rPr>
      </w:pPr>
      <w:r>
        <w:rPr>
          <w:rFonts w:ascii="Calibri" w:cs="Calibri" w:eastAsia="Calibri" w:hAnsi="Calibri"/>
          <w:sz w:val="14"/>
          <w:szCs w:val="14"/>
          <w:b w:val="1"/>
          <w:bCs w:val="1"/>
          <w:color w:val="auto"/>
        </w:rPr>
        <w:t>(612) 331-6910</w:t>
      </w:r>
    </w:p>
    <w:p>
      <w:pPr>
        <w:spacing w:after="0" w:line="5" w:lineRule="exact"/>
        <w:rPr>
          <w:sz w:val="24"/>
          <w:szCs w:val="24"/>
          <w:color w:val="auto"/>
        </w:rPr>
      </w:pPr>
    </w:p>
    <w:p>
      <w:pPr>
        <w:jc w:val="center"/>
        <w:ind w:right="-39"/>
        <w:spacing w:after="0"/>
        <w:rPr>
          <w:sz w:val="20"/>
          <w:szCs w:val="20"/>
          <w:color w:val="auto"/>
        </w:rPr>
      </w:pPr>
      <w:r>
        <w:rPr>
          <w:rFonts w:ascii="Calibri" w:cs="Calibri" w:eastAsia="Calibri" w:hAnsi="Calibri"/>
          <w:sz w:val="14"/>
          <w:szCs w:val="14"/>
          <w:b w:val="1"/>
          <w:bCs w:val="1"/>
          <w:color w:val="auto"/>
        </w:rPr>
        <w:t>(Registrant’s Telephone Number, Including Area Code)</w:t>
      </w:r>
    </w:p>
    <w:p>
      <w:pPr>
        <w:spacing w:after="0" w:line="45" w:lineRule="exact"/>
        <w:rPr>
          <w:sz w:val="24"/>
          <w:szCs w:val="24"/>
          <w:color w:val="auto"/>
        </w:rPr>
      </w:pPr>
    </w:p>
    <w:p>
      <w:pPr>
        <w:jc w:val="center"/>
        <w:ind w:right="100"/>
        <w:spacing w:after="0"/>
        <w:rPr>
          <w:sz w:val="20"/>
          <w:szCs w:val="20"/>
          <w:color w:val="auto"/>
        </w:rPr>
      </w:pPr>
      <w:r>
        <w:rPr>
          <w:rFonts w:ascii="Calibri" w:cs="Calibri" w:eastAsia="Calibri" w:hAnsi="Calibri"/>
          <w:sz w:val="14"/>
          <w:szCs w:val="14"/>
          <w:color w:val="auto"/>
        </w:rPr>
        <w:t>Securites registered pursuant to Secton 12(b) of the Act:</w:t>
      </w:r>
    </w:p>
    <w:p>
      <w:pPr>
        <w:sectPr>
          <w:pgSz w:w="11900" w:h="16838" w:orient="portrait"/>
          <w:cols w:equalWidth="0" w:num="1">
            <w:col w:w="11220"/>
          </w:cols>
          <w:pgMar w:left="320" w:top="689" w:right="359" w:bottom="1440" w:gutter="0" w:footer="0" w:header="0"/>
          <w:type w:val="continuous"/>
        </w:sectPr>
      </w:pPr>
    </w:p>
    <w:p>
      <w:pPr>
        <w:spacing w:after="0" w:line="32" w:lineRule="exact"/>
        <w:rPr>
          <w:sz w:val="24"/>
          <w:szCs w:val="24"/>
          <w:color w:val="auto"/>
        </w:rPr>
      </w:pPr>
    </w:p>
    <w:p>
      <w:pPr>
        <w:ind w:left="1580"/>
        <w:spacing w:after="0"/>
        <w:rPr>
          <w:sz w:val="20"/>
          <w:szCs w:val="20"/>
          <w:color w:val="auto"/>
        </w:rPr>
      </w:pPr>
      <w:r>
        <w:rPr>
          <w:rFonts w:ascii="Calibri" w:cs="Calibri" w:eastAsia="Calibri" w:hAnsi="Calibri"/>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Name of exchange on which registered:</w:t>
      </w:r>
    </w:p>
    <w:p>
      <w:pPr>
        <w:spacing w:after="0" w:line="32" w:lineRule="exact"/>
        <w:rPr>
          <w:sz w:val="24"/>
          <w:szCs w:val="24"/>
          <w:color w:val="auto"/>
        </w:rPr>
      </w:pPr>
    </w:p>
    <w:p>
      <w:pPr>
        <w:sectPr>
          <w:pgSz w:w="11900" w:h="16838" w:orient="portrait"/>
          <w:cols w:equalWidth="0" w:num="3">
            <w:col w:w="4420" w:space="720"/>
            <w:col w:w="2040" w:space="720"/>
            <w:col w:w="3320"/>
          </w:cols>
          <w:pgMar w:left="320" w:top="689" w:right="359" w:bottom="1440" w:gutter="0" w:footer="0" w:header="0"/>
          <w:type w:val="continuous"/>
        </w:sectPr>
      </w:pPr>
    </w:p>
    <w:p>
      <w:pPr>
        <w:ind w:left="900"/>
        <w:spacing w:after="0"/>
        <w:rPr>
          <w:sz w:val="20"/>
          <w:szCs w:val="20"/>
          <w:color w:val="auto"/>
        </w:rPr>
      </w:pPr>
      <w:r>
        <w:rPr>
          <w:rFonts w:ascii="Calibri" w:cs="Calibri" w:eastAsia="Calibri" w:hAnsi="Calibri"/>
          <w:sz w:val="14"/>
          <w:szCs w:val="14"/>
          <w:color w:val="auto"/>
        </w:rPr>
        <w:t>Common Shares,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HWKN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Nasdaq Stock Market LLC</w:t>
      </w:r>
    </w:p>
    <w:p>
      <w:pPr>
        <w:spacing w:after="0" w:line="32" w:lineRule="exact"/>
        <w:rPr>
          <w:sz w:val="24"/>
          <w:szCs w:val="24"/>
          <w:color w:val="auto"/>
        </w:rPr>
      </w:pPr>
    </w:p>
    <w:p>
      <w:pPr>
        <w:sectPr>
          <w:pgSz w:w="11900" w:h="16838" w:orient="portrait"/>
          <w:cols w:equalWidth="0" w:num="3">
            <w:col w:w="4700" w:space="720"/>
            <w:col w:w="2260" w:space="720"/>
            <w:col w:w="2820"/>
          </w:cols>
          <w:pgMar w:left="320" w:top="689" w:right="359" w:bottom="1440" w:gutter="0" w:footer="0" w:header="0"/>
          <w:type w:val="continuous"/>
        </w:sectPr>
      </w:pPr>
    </w:p>
    <w:p>
      <w:pPr>
        <w:jc w:val="center"/>
        <w:ind w:right="-39"/>
        <w:spacing w:after="0"/>
        <w:tabs>
          <w:tab w:leader="none" w:pos="120" w:val="left"/>
        </w:tabs>
        <w:rPr>
          <w:sz w:val="20"/>
          <w:szCs w:val="20"/>
          <w:color w:val="auto"/>
        </w:rPr>
      </w:pPr>
      <w:r>
        <w:rPr>
          <w:rFonts w:ascii="Calibri" w:cs="Calibri" w:eastAsia="Calibri" w:hAnsi="Calibri"/>
          <w:sz w:val="14"/>
          <w:szCs w:val="14"/>
          <w:b w:val="1"/>
          <w:bCs w:val="1"/>
          <w:color w:val="auto"/>
        </w:rPr>
        <w:t>Securites registered pursuant to Secton 12(g) of the Act:</w:t>
        <w:tab/>
        <w:t>None</w:t>
      </w:r>
    </w:p>
    <w:p>
      <w:pPr>
        <w:sectPr>
          <w:pgSz w:w="11900" w:h="16838" w:orient="portrait"/>
          <w:cols w:equalWidth="0" w:num="1">
            <w:col w:w="11220"/>
          </w:cols>
          <w:pgMar w:left="320" w:top="689" w:right="359" w:bottom="1440" w:gutter="0" w:footer="0" w:header="0"/>
          <w:type w:val="continuous"/>
        </w:sectPr>
      </w:pPr>
    </w:p>
    <w:p>
      <w:pPr>
        <w:spacing w:after="0" w:line="146" w:lineRule="exact"/>
        <w:rPr>
          <w:sz w:val="24"/>
          <w:szCs w:val="24"/>
          <w:color w:val="auto"/>
        </w:rPr>
      </w:pPr>
    </w:p>
    <w:p>
      <w:pPr>
        <w:ind w:left="340" w:right="1940"/>
        <w:spacing w:after="0" w:line="272" w:lineRule="exact"/>
        <w:rPr>
          <w:sz w:val="20"/>
          <w:szCs w:val="20"/>
          <w:color w:val="auto"/>
        </w:rPr>
      </w:pPr>
      <w:r>
        <w:rPr>
          <w:rFonts w:ascii="Calibri" w:cs="Calibri" w:eastAsia="Calibri" w:hAnsi="Calibri"/>
          <w:sz w:val="16"/>
          <w:szCs w:val="16"/>
          <w:color w:val="auto"/>
        </w:rPr>
        <w:t xml:space="preserve">Indicate by check mark if the registrant is a well-known seasoned issuer, as defned in Rule 405 of the Securites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by check mark if the registrant is not required to fle reports pursuant to Secton 13 or Secton 15(d)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60" w:firstLine="324"/>
        <w:spacing w:after="0" w:line="206"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twelve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ind w:firstLine="324"/>
        <w:spacing w:after="0" w:line="208"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ind w:right="280" w:firstLine="324"/>
        <w:spacing w:after="0" w:line="239"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ectPr>
          <w:pgSz w:w="11900" w:h="16838" w:orient="portrait"/>
          <w:cols w:equalWidth="0" w:num="1">
            <w:col w:w="11220"/>
          </w:cols>
          <w:pgMar w:left="320" w:top="689" w:right="359" w:bottom="1440" w:gutter="0" w:footer="0" w:header="0"/>
          <w:type w:val="continuous"/>
        </w:sectPr>
      </w:pPr>
    </w:p>
    <w:p>
      <w:pPr>
        <w:spacing w:after="0" w:line="6" w:lineRule="exact"/>
        <w:rPr>
          <w:sz w:val="24"/>
          <w:szCs w:val="24"/>
          <w:color w:val="auto"/>
        </w:rPr>
      </w:pPr>
    </w:p>
    <w:p>
      <w:pPr>
        <w:ind w:left="420"/>
        <w:spacing w:after="0" w:line="196" w:lineRule="exact"/>
        <w:rPr>
          <w:sz w:val="20"/>
          <w:szCs w:val="20"/>
          <w:color w:val="auto"/>
        </w:rPr>
      </w:pPr>
      <w:r>
        <w:rPr>
          <w:rFonts w:ascii="Calibri" w:cs="Calibri" w:eastAsia="Calibri" w:hAnsi="Calibri"/>
          <w:sz w:val="16"/>
          <w:szCs w:val="16"/>
          <w:color w:val="auto"/>
        </w:rPr>
        <w:t xml:space="preserve">Large accelerated fler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2" w:lineRule="exact"/>
        <w:rPr>
          <w:sz w:val="20"/>
          <w:szCs w:val="20"/>
          <w:color w:val="auto"/>
        </w:rPr>
      </w:pPr>
      <w:r>
        <w:rPr>
          <w:rFonts w:ascii="Calibri" w:cs="Calibri" w:eastAsia="Calibri" w:hAnsi="Calibri"/>
          <w:sz w:val="16"/>
          <w:szCs w:val="16"/>
          <w:color w:val="auto"/>
        </w:rPr>
        <w:t xml:space="preserve">Accelerated fler </w:t>
      </w: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9140" w:space="720"/>
            <w:col w:w="1360"/>
          </w:cols>
          <w:pgMar w:left="320" w:top="689" w:right="359" w:bottom="1440" w:gutter="0" w:footer="0" w:header="0"/>
          <w:type w:val="continuous"/>
        </w:sectPr>
      </w:pPr>
    </w:p>
    <w:p>
      <w:pPr>
        <w:ind w:left="480"/>
        <w:spacing w:after="0" w:line="196" w:lineRule="exact"/>
        <w:rPr>
          <w:sz w:val="20"/>
          <w:szCs w:val="20"/>
          <w:color w:val="auto"/>
        </w:rPr>
      </w:pPr>
      <w:r>
        <w:rPr>
          <w:rFonts w:ascii="Calibri" w:cs="Calibri" w:eastAsia="Calibri" w:hAnsi="Calibri"/>
          <w:sz w:val="16"/>
          <w:szCs w:val="16"/>
          <w:color w:val="auto"/>
        </w:rPr>
        <w:t xml:space="preserve">Non-accelerated fler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Calibri" w:cs="Calibri" w:eastAsia="Calibri" w:hAnsi="Calibri"/>
          <w:sz w:val="16"/>
          <w:szCs w:val="16"/>
          <w:color w:val="auto"/>
        </w:rPr>
        <w:t xml:space="preserve">Smaller reportng company </w:t>
      </w: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8440" w:space="720"/>
            <w:col w:w="2060"/>
          </w:cols>
          <w:pgMar w:left="320" w:top="689" w:right="359" w:bottom="1440" w:gutter="0" w:footer="0" w:header="0"/>
          <w:type w:val="continuous"/>
        </w:sectPr>
      </w:pPr>
    </w:p>
    <w:p>
      <w:pPr>
        <w:ind w:left="9180"/>
        <w:spacing w:after="0" w:line="184" w:lineRule="exact"/>
        <w:rPr>
          <w:sz w:val="20"/>
          <w:szCs w:val="20"/>
          <w:color w:val="auto"/>
        </w:rPr>
      </w:pPr>
      <w:r>
        <w:rPr>
          <w:rFonts w:ascii="Calibri" w:cs="Calibri" w:eastAsia="Calibri" w:hAnsi="Calibri"/>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220"/>
          </w:cols>
          <w:pgMar w:left="320" w:top="689" w:right="359" w:bottom="1440" w:gutter="0" w:footer="0" w:header="0"/>
          <w:type w:val="continuous"/>
        </w:sectPr>
      </w:pPr>
    </w:p>
    <w:p>
      <w:pPr>
        <w:spacing w:after="0" w:line="226" w:lineRule="exact"/>
        <w:rPr>
          <w:sz w:val="24"/>
          <w:szCs w:val="24"/>
          <w:color w:val="auto"/>
        </w:rPr>
      </w:pPr>
    </w:p>
    <w:p>
      <w:pPr>
        <w:ind w:right="100" w:firstLine="324"/>
        <w:spacing w:after="0" w:line="208"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40" w:firstLine="324"/>
        <w:spacing w:after="0" w:line="235" w:lineRule="auto"/>
        <w:rPr>
          <w:sz w:val="20"/>
          <w:szCs w:val="20"/>
          <w:color w:val="auto"/>
        </w:rPr>
      </w:pPr>
      <w:r>
        <w:rPr>
          <w:rFonts w:ascii="Calibri" w:cs="Calibri" w:eastAsia="Calibri" w:hAnsi="Calibri"/>
          <w:sz w:val="16"/>
          <w:szCs w:val="16"/>
          <w:color w:val="auto"/>
        </w:rPr>
        <w:t>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w:t>
      </w: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86" w:lineRule="exact"/>
        <w:rPr>
          <w:sz w:val="24"/>
          <w:szCs w:val="24"/>
          <w:color w:val="auto"/>
        </w:rPr>
      </w:pPr>
    </w:p>
    <w:p>
      <w:pPr>
        <w:ind w:left="340"/>
        <w:spacing w:after="0" w:line="198" w:lineRule="exact"/>
        <w:tabs>
          <w:tab w:leader="none" w:pos="7800" w:val="left"/>
          <w:tab w:leader="none" w:pos="8380" w:val="left"/>
        </w:tabs>
        <w:rPr>
          <w:sz w:val="20"/>
          <w:szCs w:val="20"/>
          <w:color w:val="auto"/>
        </w:rPr>
      </w:pPr>
      <w:r>
        <w:rPr>
          <w:rFonts w:ascii="Calibri" w:cs="Calibri" w:eastAsia="Calibri" w:hAnsi="Calibri"/>
          <w:sz w:val="16"/>
          <w:szCs w:val="16"/>
          <w:color w:val="auto"/>
        </w:rPr>
        <w:t>Indicate by check mark whether the registrant is a shell company (as defned in Rule 12b-2 of the Exchange Act).</w:t>
        <w:tab/>
        <w:t xml:space="preserve">Yes </w:t>
      </w:r>
      <w:r>
        <w:rPr>
          <w:rFonts w:ascii="MS PGothic" w:cs="MS PGothic" w:eastAsia="MS PGothic" w:hAnsi="MS PGothic"/>
          <w:sz w:val="16"/>
          <w:szCs w:val="16"/>
          <w:color w:val="auto"/>
        </w:rPr>
        <w:t>☐</w:t>
      </w:r>
      <w:r>
        <w:rPr>
          <w:rFonts w:ascii="Calibri" w:cs="Calibri" w:eastAsia="Calibri" w:hAnsi="Calibri"/>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80" w:firstLine="324"/>
        <w:spacing w:after="0" w:line="215" w:lineRule="exact"/>
        <w:rPr>
          <w:sz w:val="20"/>
          <w:szCs w:val="20"/>
          <w:color w:val="auto"/>
        </w:rPr>
      </w:pPr>
      <w:r>
        <w:rPr>
          <w:rFonts w:ascii="Calibri" w:cs="Calibri" w:eastAsia="Calibri" w:hAnsi="Calibri"/>
          <w:sz w:val="16"/>
          <w:szCs w:val="16"/>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29" w:lineRule="exact"/>
        <w:rPr>
          <w:sz w:val="24"/>
          <w:szCs w:val="24"/>
          <w:color w:val="auto"/>
        </w:rPr>
      </w:pPr>
    </w:p>
    <w:p>
      <w:pPr>
        <w:ind w:right="20" w:firstLine="324"/>
        <w:spacing w:after="0" w:line="215" w:lineRule="exact"/>
        <w:rPr>
          <w:sz w:val="20"/>
          <w:szCs w:val="20"/>
          <w:color w:val="auto"/>
        </w:rPr>
      </w:pPr>
      <w:r>
        <w:rPr>
          <w:rFonts w:ascii="Calibri" w:cs="Calibri" w:eastAsia="Calibri" w:hAnsi="Calibri"/>
          <w:sz w:val="16"/>
          <w:szCs w:val="16"/>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6"/>
          <w:szCs w:val="16"/>
          <w:color w:val="auto"/>
        </w:rPr>
        <w:t>☐</w:t>
      </w:r>
    </w:p>
    <w:p>
      <w:pPr>
        <w:spacing w:after="0" w:line="43" w:lineRule="exact"/>
        <w:rPr>
          <w:sz w:val="24"/>
          <w:szCs w:val="24"/>
          <w:color w:val="auto"/>
        </w:rPr>
      </w:pPr>
    </w:p>
    <w:p>
      <w:pPr>
        <w:ind w:firstLine="324"/>
        <w:spacing w:after="0"/>
        <w:rPr>
          <w:sz w:val="20"/>
          <w:szCs w:val="20"/>
          <w:color w:val="auto"/>
        </w:rPr>
      </w:pPr>
      <w:r>
        <w:rPr>
          <w:rFonts w:ascii="Calibri" w:cs="Calibri" w:eastAsia="Calibri" w:hAnsi="Calibri"/>
          <w:sz w:val="16"/>
          <w:szCs w:val="16"/>
          <w:color w:val="auto"/>
        </w:rPr>
        <w:t>The aggregate market value of votng stock held by non-afliates of the Registrant on October 1, 2023 (the last business day of the Registrant’s most recently completed second fscal quarter) was approximately $1,187.5 million based upon the closing sale price for the Registrant’s common shares on that date as reported by The Nasdaq Stock Market LLC, excluding all shares held by ofcers and directors of the Registrant and by the Trustees of the Registrant’s Employee Stock Ownership Plan and Trust.</w:t>
      </w:r>
    </w:p>
    <w:p>
      <w:pPr>
        <w:spacing w:after="0" w:line="249" w:lineRule="exact"/>
        <w:rPr>
          <w:sz w:val="24"/>
          <w:szCs w:val="24"/>
          <w:color w:val="auto"/>
        </w:rPr>
      </w:pPr>
    </w:p>
    <w:p>
      <w:pPr>
        <w:ind w:left="340"/>
        <w:spacing w:after="0"/>
        <w:rPr>
          <w:sz w:val="20"/>
          <w:szCs w:val="20"/>
          <w:color w:val="auto"/>
        </w:rPr>
      </w:pPr>
      <w:r>
        <w:rPr>
          <w:rFonts w:ascii="Calibri" w:cs="Calibri" w:eastAsia="Calibri" w:hAnsi="Calibri"/>
          <w:sz w:val="16"/>
          <w:szCs w:val="16"/>
          <w:color w:val="auto"/>
        </w:rPr>
        <w:t>As of May 10, 2024, the Registrant had 20,912,338 shares of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69215</wp:posOffset>
            </wp:positionV>
            <wp:extent cx="2014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230" w:lineRule="exact"/>
        <w:rPr>
          <w:sz w:val="24"/>
          <w:szCs w:val="24"/>
          <w:color w:val="auto"/>
        </w:rPr>
      </w:pPr>
    </w:p>
    <w:p>
      <w:pPr>
        <w:jc w:val="center"/>
        <w:ind w:right="-39"/>
        <w:spacing w:after="0"/>
        <w:rPr>
          <w:sz w:val="20"/>
          <w:szCs w:val="20"/>
          <w:color w:val="auto"/>
        </w:rPr>
      </w:pPr>
      <w:r>
        <w:rPr>
          <w:rFonts w:ascii="Calibri" w:cs="Calibri" w:eastAsia="Calibri" w:hAnsi="Calibri"/>
          <w:sz w:val="16"/>
          <w:szCs w:val="16"/>
          <w:b w:val="1"/>
          <w:bCs w:val="1"/>
          <w:color w:val="auto"/>
        </w:rPr>
        <w:t>DOCUMENTS INCORPORATED BY REFERENCE</w:t>
      </w:r>
    </w:p>
    <w:p>
      <w:pPr>
        <w:jc w:val="center"/>
        <w:ind w:right="-39"/>
        <w:spacing w:after="0" w:line="232" w:lineRule="auto"/>
        <w:rPr>
          <w:sz w:val="20"/>
          <w:szCs w:val="20"/>
          <w:color w:val="auto"/>
        </w:rPr>
      </w:pPr>
      <w:r>
        <w:rPr>
          <w:rFonts w:ascii="Calibri" w:cs="Calibri" w:eastAsia="Calibri" w:hAnsi="Calibri"/>
          <w:sz w:val="16"/>
          <w:szCs w:val="16"/>
          <w:color w:val="auto"/>
        </w:rPr>
        <w:t>Portons of our defnitve Proxy Statement for the annual meetng of shareholders to be held July 31, 2024, are incorporated by reference in Part III of this Annual Report</w:t>
      </w:r>
    </w:p>
    <w:p>
      <w:pPr>
        <w:jc w:val="center"/>
        <w:ind w:right="-39"/>
        <w:spacing w:after="0" w:line="232" w:lineRule="auto"/>
        <w:rPr>
          <w:sz w:val="20"/>
          <w:szCs w:val="20"/>
          <w:color w:val="auto"/>
        </w:rPr>
      </w:pPr>
      <w:r>
        <w:rPr>
          <w:rFonts w:ascii="Calibri" w:cs="Calibri" w:eastAsia="Calibri" w:hAnsi="Calibri"/>
          <w:sz w:val="16"/>
          <w:szCs w:val="16"/>
          <w:color w:val="auto"/>
        </w:rPr>
        <w:t>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69215</wp:posOffset>
            </wp:positionV>
            <wp:extent cx="6763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34925</wp:posOffset>
            </wp:positionV>
            <wp:extent cx="6763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type w:val="continuous"/>
        </w:sectPr>
      </w:pPr>
    </w:p>
    <w:bookmarkStart w:id="1" w:name="page2"/>
    <w:bookmarkEnd w:id="1"/>
    <w:p>
      <w:pPr>
        <w:jc w:val="center"/>
        <w:ind w:right="-19"/>
        <w:spacing w:after="0"/>
        <w:rPr>
          <w:sz w:val="20"/>
          <w:szCs w:val="20"/>
          <w:color w:val="auto"/>
        </w:rPr>
      </w:pPr>
      <w:r>
        <w:rPr>
          <w:rFonts w:ascii="Calibri" w:cs="Calibri" w:eastAsia="Calibri" w:hAnsi="Calibri"/>
          <w:sz w:val="18"/>
          <w:szCs w:val="18"/>
          <w:b w:val="1"/>
          <w:bCs w:val="1"/>
          <w:color w:val="auto"/>
        </w:rPr>
        <w:t>FORWARD-LOOKING STATEMENTS</w:t>
      </w:r>
    </w:p>
    <w:p>
      <w:pPr>
        <w:spacing w:after="0" w:line="24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informaton presented in this Annual Report on Form 10-K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“expect,” “intend,” “plan,” “believe,” “seek,” “estmate,” “will” and similar expressions may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These risks and uncertaintes are described in the risk factors and elsewhere in this Annual Report on Form 10-K. We cauton you not to place undue reliance on these forward-looking statements, which refect our management’s view only as of the date of this Annual Report on Form 10-K. We are not obligated to update these statements or publicly release the result of any revisions to them to refect events or circumstances afer the date of this Annual Report on Form 10-K or to refect the occurrence of unantcipated events.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7"/>
          <w:szCs w:val="17"/>
          <w:color w:val="auto"/>
        </w:rPr>
        <w:t>As used in this Annual Report on Form 10-K, except where otherwise stated or indicated by the context, “Hawkins,” “we,” “us,” “the Company,” “our,” or “the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Registrant” means Hawkins, Inc. References to "fscal 2025" means our fscal year ending March 30, 2025, “fscal 2024” means our fscal year ended</w:t>
      </w:r>
    </w:p>
    <w:p>
      <w:pPr>
        <w:spacing w:after="0" w:line="235" w:lineRule="auto"/>
        <w:rPr>
          <w:sz w:val="20"/>
          <w:szCs w:val="20"/>
          <w:color w:val="auto"/>
        </w:rPr>
      </w:pPr>
      <w:r>
        <w:rPr>
          <w:rFonts w:ascii="Calibri" w:cs="Calibri" w:eastAsia="Calibri" w:hAnsi="Calibri"/>
          <w:sz w:val="18"/>
          <w:szCs w:val="18"/>
          <w:color w:val="auto"/>
        </w:rPr>
        <w:t>March 31, 2024, “fscal 2023” means our fscal year ended April 2, 2023, and “fscal 2022” means our fscal year ended April 3, 2022.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60" w:type="dxa"/>
            <w:vAlign w:val="bottom"/>
            <w:gridSpan w:val="8"/>
          </w:tcPr>
          <w:p>
            <w:pPr>
              <w:jc w:val="center"/>
              <w:ind w:right="3920"/>
              <w:spacing w:after="0"/>
              <w:rPr>
                <w:sz w:val="20"/>
                <w:szCs w:val="20"/>
                <w:color w:val="auto"/>
              </w:rPr>
            </w:pPr>
            <w:r>
              <w:rPr>
                <w:rFonts w:ascii="Calibri" w:cs="Calibri" w:eastAsia="Calibri" w:hAnsi="Calibri"/>
                <w:sz w:val="18"/>
                <w:szCs w:val="18"/>
                <w:b w:val="1"/>
                <w:bCs w:val="1"/>
                <w:color w:val="auto"/>
                <w:w w:val="96"/>
              </w:rPr>
              <w:t>Hawkins, Inc.</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9"/>
          </w:tcPr>
          <w:p>
            <w:pPr>
              <w:jc w:val="center"/>
              <w:ind w:right="3180"/>
              <w:spacing w:after="0"/>
              <w:rPr>
                <w:sz w:val="20"/>
                <w:szCs w:val="20"/>
                <w:color w:val="auto"/>
              </w:rPr>
            </w:pPr>
            <w:r>
              <w:rPr>
                <w:rFonts w:ascii="Calibri" w:cs="Calibri" w:eastAsia="Calibri" w:hAnsi="Calibri"/>
                <w:sz w:val="18"/>
                <w:szCs w:val="18"/>
                <w:b w:val="1"/>
                <w:bCs w:val="1"/>
                <w:color w:val="auto"/>
                <w:w w:val="96"/>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0" w:type="dxa"/>
            <w:vAlign w:val="bottom"/>
            <w:gridSpan w:val="11"/>
          </w:tcPr>
          <w:p>
            <w:pPr>
              <w:jc w:val="center"/>
              <w:ind w:right="2660"/>
              <w:spacing w:after="0" w:line="216" w:lineRule="exact"/>
              <w:rPr>
                <w:sz w:val="20"/>
                <w:szCs w:val="20"/>
                <w:color w:val="auto"/>
              </w:rPr>
            </w:pPr>
            <w:r>
              <w:rPr>
                <w:rFonts w:ascii="Calibri" w:cs="Calibri" w:eastAsia="Calibri" w:hAnsi="Calibri"/>
                <w:sz w:val="18"/>
                <w:szCs w:val="18"/>
                <w:b w:val="1"/>
                <w:bCs w:val="1"/>
                <w:color w:val="auto"/>
                <w:w w:val="97"/>
              </w:rPr>
              <w:t>For the Fiscal Year Ended March 31, 2024</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6"/>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ind w:left="420"/>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7"/>
        </w:trPr>
        <w:tc>
          <w:tcPr>
            <w:tcW w:w="1060" w:type="dxa"/>
            <w:vAlign w:val="bottom"/>
          </w:tcPr>
          <w:p>
            <w:pPr>
              <w:spacing w:after="0"/>
              <w:rPr>
                <w:sz w:val="4"/>
                <w:szCs w:val="4"/>
                <w:color w:val="auto"/>
              </w:rPr>
            </w:pPr>
          </w:p>
        </w:tc>
        <w:tc>
          <w:tcPr>
            <w:tcW w:w="6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78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7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4780" w:type="dxa"/>
            <w:vAlign w:val="bottom"/>
            <w:gridSpan w:val="7"/>
            <w:vMerge w:val="restart"/>
          </w:tcPr>
          <w:p>
            <w:pPr>
              <w:jc w:val="center"/>
              <w:ind w:right="4120"/>
              <w:spacing w:after="0"/>
              <w:rPr>
                <w:sz w:val="20"/>
                <w:szCs w:val="20"/>
                <w:color w:val="auto"/>
              </w:rPr>
            </w:pPr>
            <w:r>
              <w:rPr>
                <w:rFonts w:ascii="Calibri" w:cs="Calibri" w:eastAsia="Calibri" w:hAnsi="Calibri"/>
                <w:sz w:val="18"/>
                <w:szCs w:val="18"/>
                <w:b w:val="1"/>
                <w:bCs w:val="1"/>
                <w:color w:val="auto"/>
                <w:w w:val="94"/>
              </w:rPr>
              <w:t>PART I</w:t>
            </w: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780" w:type="dxa"/>
            <w:vAlign w:val="bottom"/>
            <w:gridSpan w:val="7"/>
            <w:vMerge w:val="continue"/>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Borders>
              <w:bottom w:val="single" w:sz="8" w:color="CCEEFF"/>
            </w:tcBorders>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w:t>
            </w:r>
          </w:p>
        </w:tc>
        <w:tc>
          <w:tcPr>
            <w:tcW w:w="620" w:type="dxa"/>
            <w:vAlign w:val="bottom"/>
            <w:tcBorders>
              <w:bottom w:val="single" w:sz="8" w:color="0000FF"/>
            </w:tcBorders>
            <w:shd w:val="clear" w:color="auto" w:fill="CCEEFF"/>
          </w:tcPr>
          <w:p>
            <w:pPr>
              <w:spacing w:after="0" w:line="175" w:lineRule="exact"/>
              <w:rPr>
                <w:sz w:val="20"/>
                <w:szCs w:val="20"/>
                <w:color w:val="auto"/>
              </w:rPr>
            </w:pPr>
            <w:r>
              <w:rPr>
                <w:rFonts w:ascii="Calibri" w:cs="Calibri" w:eastAsia="Calibri" w:hAnsi="Calibri"/>
                <w:sz w:val="18"/>
                <w:szCs w:val="18"/>
                <w:color w:val="0000FF"/>
                <w:w w:val="95"/>
              </w:rPr>
              <w:t>Business</w:t>
            </w:r>
          </w:p>
        </w:tc>
        <w:tc>
          <w:tcPr>
            <w:tcW w:w="8340" w:type="dxa"/>
            <w:vAlign w:val="bottom"/>
            <w:tcBorders>
              <w:bottom w:val="single" w:sz="8" w:color="CCEEFF"/>
            </w:tcBorders>
            <w:gridSpan w:val="22"/>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75" w:lineRule="exact"/>
              <w:rPr>
                <w:sz w:val="20"/>
                <w:szCs w:val="20"/>
                <w:color w:val="auto"/>
              </w:rPr>
            </w:pPr>
            <w:r>
              <w:rPr>
                <w:rFonts w:ascii="Calibri" w:cs="Calibri" w:eastAsia="Calibri" w:hAnsi="Calibri"/>
                <w:sz w:val="18"/>
                <w:szCs w:val="18"/>
                <w:color w:val="0000FF"/>
                <w:w w:val="87"/>
              </w:rPr>
              <w:t>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1A.</w:t>
            </w:r>
          </w:p>
        </w:tc>
        <w:tc>
          <w:tcPr>
            <w:tcW w:w="8960" w:type="dxa"/>
            <w:vAlign w:val="bottom"/>
            <w:gridSpan w:val="23"/>
          </w:tcPr>
          <w:p>
            <w:pPr>
              <w:spacing w:after="0" w:line="175" w:lineRule="exact"/>
              <w:rPr>
                <w:sz w:val="20"/>
                <w:szCs w:val="20"/>
                <w:color w:val="auto"/>
              </w:rPr>
            </w:pPr>
            <w:r>
              <w:rPr>
                <w:rFonts w:ascii="Calibri" w:cs="Calibri" w:eastAsia="Calibri" w:hAnsi="Calibri"/>
                <w:sz w:val="18"/>
                <w:szCs w:val="18"/>
                <w:color w:val="0000FF"/>
              </w:rPr>
              <w:t>Risk Factors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4</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1B.</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Unresolved Staf Comments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11</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1C.</w:t>
            </w:r>
          </w:p>
        </w:tc>
        <w:tc>
          <w:tcPr>
            <w:tcW w:w="1980" w:type="dxa"/>
            <w:vAlign w:val="bottom"/>
            <w:gridSpan w:val="11"/>
          </w:tcPr>
          <w:p>
            <w:pPr>
              <w:spacing w:after="0" w:line="175" w:lineRule="exact"/>
              <w:rPr>
                <w:sz w:val="20"/>
                <w:szCs w:val="20"/>
                <w:color w:val="auto"/>
              </w:rPr>
            </w:pPr>
            <w:r>
              <w:rPr>
                <w:rFonts w:ascii="Calibri" w:cs="Calibri" w:eastAsia="Calibri" w:hAnsi="Calibri"/>
                <w:sz w:val="18"/>
                <w:szCs w:val="18"/>
                <w:color w:val="0000FF"/>
              </w:rPr>
              <w:t>Cybersecurity</w:t>
            </w:r>
          </w:p>
        </w:tc>
        <w:tc>
          <w:tcPr>
            <w:tcW w:w="6980" w:type="dxa"/>
            <w:vAlign w:val="bottom"/>
            <w:gridSpan w:val="12"/>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12</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2.</w:t>
            </w:r>
          </w:p>
        </w:tc>
        <w:tc>
          <w:tcPr>
            <w:tcW w:w="740" w:type="dxa"/>
            <w:vAlign w:val="bottom"/>
            <w:gridSpan w:val="3"/>
            <w:shd w:val="clear" w:color="auto" w:fill="CCEEFF"/>
          </w:tcPr>
          <w:p>
            <w:pPr>
              <w:spacing w:after="0" w:line="175" w:lineRule="exact"/>
              <w:rPr>
                <w:sz w:val="20"/>
                <w:szCs w:val="20"/>
                <w:color w:val="auto"/>
              </w:rPr>
            </w:pPr>
            <w:r>
              <w:rPr>
                <w:rFonts w:ascii="Calibri" w:cs="Calibri" w:eastAsia="Calibri" w:hAnsi="Calibri"/>
                <w:sz w:val="18"/>
                <w:szCs w:val="18"/>
                <w:color w:val="0000FF"/>
              </w:rPr>
              <w:t>Propertes</w:t>
            </w:r>
          </w:p>
        </w:tc>
        <w:tc>
          <w:tcPr>
            <w:tcW w:w="8220" w:type="dxa"/>
            <w:vAlign w:val="bottom"/>
            <w:gridSpan w:val="20"/>
            <w:shd w:val="clear" w:color="auto" w:fill="CCEEFF"/>
          </w:tcPr>
          <w:p>
            <w:pPr>
              <w:spacing w:after="0"/>
              <w:rPr>
                <w:sz w:val="15"/>
                <w:szCs w:val="15"/>
                <w:color w:val="auto"/>
              </w:rPr>
            </w:pP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13</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3.</w:t>
            </w:r>
          </w:p>
        </w:tc>
        <w:tc>
          <w:tcPr>
            <w:tcW w:w="8960" w:type="dxa"/>
            <w:vAlign w:val="bottom"/>
            <w:gridSpan w:val="23"/>
          </w:tcPr>
          <w:p>
            <w:pPr>
              <w:spacing w:after="0" w:line="175" w:lineRule="exact"/>
              <w:rPr>
                <w:sz w:val="20"/>
                <w:szCs w:val="20"/>
                <w:color w:val="auto"/>
              </w:rPr>
            </w:pPr>
            <w:r>
              <w:rPr>
                <w:rFonts w:ascii="Calibri" w:cs="Calibri" w:eastAsia="Calibri" w:hAnsi="Calibri"/>
                <w:sz w:val="18"/>
                <w:szCs w:val="18"/>
                <w:color w:val="0000FF"/>
              </w:rPr>
              <w:t>Legal Proceedings</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13</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4.</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Mine Safety Disclosures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13</w:t>
            </w:r>
          </w:p>
        </w:tc>
        <w:tc>
          <w:tcPr>
            <w:tcW w:w="0" w:type="dxa"/>
            <w:vAlign w:val="bottom"/>
          </w:tcPr>
          <w:p>
            <w:pPr>
              <w:spacing w:after="0"/>
              <w:rPr>
                <w:sz w:val="1"/>
                <w:szCs w:val="1"/>
                <w:color w:val="auto"/>
              </w:rPr>
            </w:pPr>
          </w:p>
        </w:tc>
      </w:tr>
      <w:tr>
        <w:trPr>
          <w:trHeight w:val="222"/>
        </w:trPr>
        <w:tc>
          <w:tcPr>
            <w:tcW w:w="106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780" w:type="dxa"/>
            <w:vAlign w:val="bottom"/>
            <w:tcBorders>
              <w:top w:val="single" w:sz="8" w:color="CCEEFF"/>
            </w:tcBorders>
            <w:gridSpan w:val="7"/>
          </w:tcPr>
          <w:p>
            <w:pPr>
              <w:jc w:val="center"/>
              <w:ind w:right="4120"/>
              <w:spacing w:after="0" w:line="215" w:lineRule="exact"/>
              <w:rPr>
                <w:sz w:val="20"/>
                <w:szCs w:val="20"/>
                <w:color w:val="auto"/>
              </w:rPr>
            </w:pPr>
            <w:r>
              <w:rPr>
                <w:rFonts w:ascii="Calibri" w:cs="Calibri" w:eastAsia="Calibri" w:hAnsi="Calibri"/>
                <w:sz w:val="18"/>
                <w:szCs w:val="18"/>
                <w:b w:val="1"/>
                <w:bCs w:val="1"/>
                <w:color w:val="auto"/>
                <w:w w:val="93"/>
              </w:rPr>
              <w:t>PART II</w:t>
            </w:r>
          </w:p>
        </w:tc>
        <w:tc>
          <w:tcPr>
            <w:tcW w:w="9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60" w:type="dxa"/>
            <w:vAlign w:val="bottom"/>
            <w:tcBorders>
              <w:bottom w:val="single" w:sz="8" w:color="CCEEFF"/>
            </w:tcBorders>
            <w:shd w:val="clear" w:color="auto" w:fill="CCEEFF"/>
          </w:tcPr>
          <w:p>
            <w:pPr>
              <w:ind w:left="20"/>
              <w:spacing w:after="0" w:line="190" w:lineRule="exact"/>
              <w:rPr>
                <w:sz w:val="20"/>
                <w:szCs w:val="20"/>
                <w:color w:val="auto"/>
              </w:rPr>
            </w:pPr>
            <w:r>
              <w:rPr>
                <w:rFonts w:ascii="Calibri" w:cs="Calibri" w:eastAsia="Calibri" w:hAnsi="Calibri"/>
                <w:sz w:val="18"/>
                <w:szCs w:val="18"/>
                <w:color w:val="auto"/>
              </w:rPr>
              <w:t>ITEM 5.</w:t>
            </w:r>
          </w:p>
        </w:tc>
        <w:tc>
          <w:tcPr>
            <w:tcW w:w="8120" w:type="dxa"/>
            <w:vAlign w:val="bottom"/>
            <w:tcBorders>
              <w:bottom w:val="single" w:sz="8" w:color="0000FF"/>
            </w:tcBorders>
            <w:gridSpan w:val="22"/>
            <w:shd w:val="clear" w:color="auto" w:fill="CCEEFF"/>
          </w:tcPr>
          <w:p>
            <w:pPr>
              <w:spacing w:after="0" w:line="176" w:lineRule="exact"/>
              <w:rPr>
                <w:sz w:val="20"/>
                <w:szCs w:val="20"/>
                <w:color w:val="auto"/>
              </w:rPr>
            </w:pPr>
            <w:r>
              <w:rPr>
                <w:rFonts w:ascii="Calibri" w:cs="Calibri" w:eastAsia="Calibri" w:hAnsi="Calibri"/>
                <w:sz w:val="18"/>
                <w:szCs w:val="18"/>
                <w:color w:val="0000FF"/>
                <w:w w:val="97"/>
              </w:rPr>
              <w:t>Market for the Company’s Common Equity, Related Shareholder Maters, and Issuer Purchases of Equity Securites</w:t>
            </w:r>
          </w:p>
        </w:tc>
        <w:tc>
          <w:tcPr>
            <w:tcW w:w="8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4"/>
            <w:shd w:val="clear" w:color="auto" w:fill="CCEEFF"/>
          </w:tcPr>
          <w:p>
            <w:pPr>
              <w:jc w:val="right"/>
              <w:ind w:right="20"/>
              <w:spacing w:after="0" w:line="190" w:lineRule="exact"/>
              <w:rPr>
                <w:sz w:val="20"/>
                <w:szCs w:val="20"/>
                <w:color w:val="auto"/>
              </w:rPr>
            </w:pPr>
            <w:r>
              <w:rPr>
                <w:rFonts w:ascii="Calibri" w:cs="Calibri" w:eastAsia="Calibri" w:hAnsi="Calibri"/>
                <w:sz w:val="18"/>
                <w:szCs w:val="18"/>
                <w:color w:val="0000FF"/>
              </w:rPr>
              <w:t>14</w:t>
            </w: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6.</w:t>
            </w:r>
          </w:p>
        </w:tc>
        <w:tc>
          <w:tcPr>
            <w:tcW w:w="8960" w:type="dxa"/>
            <w:vAlign w:val="bottom"/>
            <w:gridSpan w:val="23"/>
          </w:tcPr>
          <w:p>
            <w:pPr>
              <w:spacing w:after="0" w:line="175" w:lineRule="exact"/>
              <w:rPr>
                <w:sz w:val="20"/>
                <w:szCs w:val="20"/>
                <w:color w:val="auto"/>
              </w:rPr>
            </w:pPr>
            <w:r>
              <w:rPr>
                <w:rFonts w:ascii="Calibri" w:cs="Calibri" w:eastAsia="Calibri" w:hAnsi="Calibri"/>
                <w:sz w:val="18"/>
                <w:szCs w:val="18"/>
                <w:color w:val="0000FF"/>
              </w:rPr>
              <w:t>Reserved</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15</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7.</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15</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7A.</w:t>
            </w:r>
          </w:p>
        </w:tc>
        <w:tc>
          <w:tcPr>
            <w:tcW w:w="6220" w:type="dxa"/>
            <w:vAlign w:val="bottom"/>
            <w:gridSpan w:val="19"/>
          </w:tcPr>
          <w:p>
            <w:pPr>
              <w:spacing w:after="0" w:line="175" w:lineRule="exact"/>
              <w:rPr>
                <w:sz w:val="20"/>
                <w:szCs w:val="20"/>
                <w:color w:val="auto"/>
              </w:rPr>
            </w:pPr>
            <w:r>
              <w:rPr>
                <w:rFonts w:ascii="Calibri" w:cs="Calibri" w:eastAsia="Calibri" w:hAnsi="Calibri"/>
                <w:sz w:val="18"/>
                <w:szCs w:val="18"/>
                <w:color w:val="0000FF"/>
              </w:rPr>
              <w:t>Quanttatve and Qualitatve Disclosures about Market Risk</w:t>
            </w:r>
          </w:p>
        </w:tc>
        <w:tc>
          <w:tcPr>
            <w:tcW w:w="2740" w:type="dxa"/>
            <w:vAlign w:val="bottom"/>
            <w:gridSpan w:val="4"/>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22</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8.</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Financial Statements and Supplementary Data</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23</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9.</w:t>
            </w:r>
          </w:p>
        </w:tc>
        <w:tc>
          <w:tcPr>
            <w:tcW w:w="8960" w:type="dxa"/>
            <w:vAlign w:val="bottom"/>
            <w:gridSpan w:val="23"/>
          </w:tcPr>
          <w:p>
            <w:pPr>
              <w:spacing w:after="0" w:line="175" w:lineRule="exact"/>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48</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9A.</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Controls and Procedures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48</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9B.</w:t>
            </w:r>
          </w:p>
        </w:tc>
        <w:tc>
          <w:tcPr>
            <w:tcW w:w="1740" w:type="dxa"/>
            <w:vAlign w:val="bottom"/>
            <w:gridSpan w:val="10"/>
          </w:tcPr>
          <w:p>
            <w:pPr>
              <w:spacing w:after="0" w:line="175" w:lineRule="exact"/>
              <w:rPr>
                <w:sz w:val="20"/>
                <w:szCs w:val="20"/>
                <w:color w:val="auto"/>
              </w:rPr>
            </w:pPr>
            <w:r>
              <w:rPr>
                <w:rFonts w:ascii="Calibri" w:cs="Calibri" w:eastAsia="Calibri" w:hAnsi="Calibri"/>
                <w:sz w:val="18"/>
                <w:szCs w:val="18"/>
                <w:color w:val="0000FF"/>
              </w:rPr>
              <w:t>Other Informaton</w:t>
            </w:r>
          </w:p>
        </w:tc>
        <w:tc>
          <w:tcPr>
            <w:tcW w:w="7220" w:type="dxa"/>
            <w:vAlign w:val="bottom"/>
            <w:gridSpan w:val="13"/>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49</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9C.</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Disclosure Regarding Foreign Jurisdictons That Prevent Inspectons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49</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80" w:type="dxa"/>
            <w:vAlign w:val="bottom"/>
            <w:gridSpan w:val="7"/>
          </w:tcPr>
          <w:p>
            <w:pPr>
              <w:jc w:val="center"/>
              <w:ind w:right="4120"/>
              <w:spacing w:after="0" w:line="215" w:lineRule="exact"/>
              <w:rPr>
                <w:sz w:val="20"/>
                <w:szCs w:val="20"/>
                <w:color w:val="auto"/>
              </w:rPr>
            </w:pPr>
            <w:r>
              <w:rPr>
                <w:rFonts w:ascii="Calibri" w:cs="Calibri" w:eastAsia="Calibri" w:hAnsi="Calibri"/>
                <w:sz w:val="18"/>
                <w:szCs w:val="18"/>
                <w:b w:val="1"/>
                <w:bCs w:val="1"/>
                <w:color w:val="auto"/>
                <w:w w:val="92"/>
              </w:rPr>
              <w:t>PART III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line="183" w:lineRule="exact"/>
              <w:rPr>
                <w:sz w:val="20"/>
                <w:szCs w:val="20"/>
                <w:color w:val="auto"/>
              </w:rPr>
            </w:pPr>
            <w:r>
              <w:rPr>
                <w:rFonts w:ascii="Calibri" w:cs="Calibri" w:eastAsia="Calibri" w:hAnsi="Calibri"/>
                <w:sz w:val="18"/>
                <w:szCs w:val="18"/>
                <w:color w:val="auto"/>
              </w:rPr>
              <w:t>ITEM 10.</w:t>
            </w:r>
          </w:p>
        </w:tc>
        <w:tc>
          <w:tcPr>
            <w:tcW w:w="4000" w:type="dxa"/>
            <w:vAlign w:val="bottom"/>
            <w:gridSpan w:val="15"/>
            <w:shd w:val="clear" w:color="auto" w:fill="CCEEFF"/>
          </w:tcPr>
          <w:p>
            <w:pPr>
              <w:spacing w:after="0" w:line="183" w:lineRule="exact"/>
              <w:rPr>
                <w:sz w:val="20"/>
                <w:szCs w:val="20"/>
                <w:color w:val="auto"/>
              </w:rPr>
            </w:pPr>
            <w:r>
              <w:rPr>
                <w:rFonts w:ascii="Calibri" w:cs="Calibri" w:eastAsia="Calibri" w:hAnsi="Calibri"/>
                <w:sz w:val="18"/>
                <w:szCs w:val="18"/>
                <w:color w:val="0000FF"/>
                <w:w w:val="99"/>
              </w:rPr>
              <w:t>Directors, Executve Ofcers, and Corporate Governance</w:t>
            </w:r>
          </w:p>
        </w:tc>
        <w:tc>
          <w:tcPr>
            <w:tcW w:w="4960" w:type="dxa"/>
            <w:vAlign w:val="bottom"/>
            <w:gridSpan w:val="8"/>
            <w:shd w:val="clear" w:color="auto" w:fill="CCEEFF"/>
          </w:tcPr>
          <w:p>
            <w:pPr>
              <w:spacing w:after="0"/>
              <w:rPr>
                <w:sz w:val="15"/>
                <w:szCs w:val="15"/>
                <w:color w:val="auto"/>
              </w:rPr>
            </w:pPr>
          </w:p>
        </w:tc>
        <w:tc>
          <w:tcPr>
            <w:tcW w:w="1120" w:type="dxa"/>
            <w:vAlign w:val="bottom"/>
            <w:gridSpan w:val="4"/>
            <w:shd w:val="clear" w:color="auto" w:fill="CCEEFF"/>
          </w:tcPr>
          <w:p>
            <w:pPr>
              <w:jc w:val="right"/>
              <w:ind w:right="20"/>
              <w:spacing w:after="0" w:line="183" w:lineRule="exact"/>
              <w:rPr>
                <w:sz w:val="20"/>
                <w:szCs w:val="20"/>
                <w:color w:val="auto"/>
              </w:rPr>
            </w:pPr>
            <w:r>
              <w:rPr>
                <w:rFonts w:ascii="Calibri" w:cs="Calibri" w:eastAsia="Calibri" w:hAnsi="Calibri"/>
                <w:sz w:val="18"/>
                <w:szCs w:val="18"/>
                <w:color w:val="0000FF"/>
              </w:rPr>
              <w:t>50</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11.</w:t>
            </w:r>
          </w:p>
        </w:tc>
        <w:tc>
          <w:tcPr>
            <w:tcW w:w="4000" w:type="dxa"/>
            <w:vAlign w:val="bottom"/>
            <w:gridSpan w:val="15"/>
          </w:tcPr>
          <w:p>
            <w:pPr>
              <w:spacing w:after="0" w:line="175" w:lineRule="exact"/>
              <w:rPr>
                <w:sz w:val="20"/>
                <w:szCs w:val="20"/>
                <w:color w:val="auto"/>
              </w:rPr>
            </w:pPr>
            <w:r>
              <w:rPr>
                <w:rFonts w:ascii="Calibri" w:cs="Calibri" w:eastAsia="Calibri" w:hAnsi="Calibri"/>
                <w:sz w:val="18"/>
                <w:szCs w:val="18"/>
                <w:color w:val="0000FF"/>
              </w:rPr>
              <w:t>Executve Compensaton</w:t>
            </w:r>
          </w:p>
        </w:tc>
        <w:tc>
          <w:tcPr>
            <w:tcW w:w="4960" w:type="dxa"/>
            <w:vAlign w:val="bottom"/>
            <w:gridSpan w:val="8"/>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60" w:type="dxa"/>
            <w:vAlign w:val="bottom"/>
            <w:tcBorders>
              <w:bottom w:val="single" w:sz="8" w:color="CCEEFF"/>
            </w:tcBorders>
            <w:shd w:val="clear" w:color="auto" w:fill="CCEEFF"/>
          </w:tcPr>
          <w:p>
            <w:pPr>
              <w:ind w:left="20"/>
              <w:spacing w:after="0" w:line="183" w:lineRule="exact"/>
              <w:rPr>
                <w:sz w:val="20"/>
                <w:szCs w:val="20"/>
                <w:color w:val="auto"/>
              </w:rPr>
            </w:pPr>
            <w:r>
              <w:rPr>
                <w:rFonts w:ascii="Calibri" w:cs="Calibri" w:eastAsia="Calibri" w:hAnsi="Calibri"/>
                <w:sz w:val="18"/>
                <w:szCs w:val="18"/>
                <w:color w:val="auto"/>
              </w:rPr>
              <w:t>ITEM 12.</w:t>
            </w:r>
          </w:p>
        </w:tc>
        <w:tc>
          <w:tcPr>
            <w:tcW w:w="7140" w:type="dxa"/>
            <w:vAlign w:val="bottom"/>
            <w:tcBorders>
              <w:bottom w:val="single" w:sz="8" w:color="0000FF"/>
            </w:tcBorders>
            <w:gridSpan w:val="21"/>
            <w:shd w:val="clear" w:color="auto" w:fill="CCEEFF"/>
          </w:tcPr>
          <w:p>
            <w:pPr>
              <w:spacing w:after="0" w:line="169" w:lineRule="exact"/>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82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CCEEFF"/>
            </w:tcBorders>
            <w:gridSpan w:val="4"/>
            <w:shd w:val="clear" w:color="auto" w:fill="CCEEFF"/>
          </w:tcPr>
          <w:p>
            <w:pPr>
              <w:jc w:val="right"/>
              <w:ind w:right="20"/>
              <w:spacing w:after="0" w:line="183"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13.</w:t>
            </w:r>
          </w:p>
        </w:tc>
        <w:tc>
          <w:tcPr>
            <w:tcW w:w="8960" w:type="dxa"/>
            <w:vAlign w:val="bottom"/>
            <w:gridSpan w:val="23"/>
          </w:tcPr>
          <w:p>
            <w:pPr>
              <w:spacing w:after="0" w:line="175" w:lineRule="exact"/>
              <w:rPr>
                <w:sz w:val="20"/>
                <w:szCs w:val="20"/>
                <w:color w:val="auto"/>
              </w:rPr>
            </w:pPr>
            <w:r>
              <w:rPr>
                <w:rFonts w:ascii="Calibri" w:cs="Calibri" w:eastAsia="Calibri" w:hAnsi="Calibri"/>
                <w:sz w:val="18"/>
                <w:szCs w:val="18"/>
                <w:color w:val="0000FF"/>
              </w:rPr>
              <w:t>Certain Relatonships and Related Transactons, and Director Independence</w:t>
            </w: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ind w:left="20"/>
              <w:spacing w:after="0" w:line="175" w:lineRule="exact"/>
              <w:rPr>
                <w:sz w:val="20"/>
                <w:szCs w:val="20"/>
                <w:color w:val="auto"/>
              </w:rPr>
            </w:pPr>
            <w:r>
              <w:rPr>
                <w:rFonts w:ascii="Calibri" w:cs="Calibri" w:eastAsia="Calibri" w:hAnsi="Calibri"/>
                <w:sz w:val="18"/>
                <w:szCs w:val="18"/>
                <w:color w:val="auto"/>
              </w:rPr>
              <w:t>ITEM 14.</w:t>
            </w:r>
          </w:p>
        </w:tc>
        <w:tc>
          <w:tcPr>
            <w:tcW w:w="8960" w:type="dxa"/>
            <w:vAlign w:val="bottom"/>
            <w:gridSpan w:val="23"/>
            <w:shd w:val="clear" w:color="auto" w:fill="CCEEFF"/>
          </w:tcPr>
          <w:p>
            <w:pPr>
              <w:spacing w:after="0" w:line="175" w:lineRule="exact"/>
              <w:rPr>
                <w:sz w:val="20"/>
                <w:szCs w:val="20"/>
                <w:color w:val="auto"/>
              </w:rPr>
            </w:pPr>
            <w:r>
              <w:rPr>
                <w:rFonts w:ascii="Calibri" w:cs="Calibri" w:eastAsia="Calibri" w:hAnsi="Calibri"/>
                <w:sz w:val="18"/>
                <w:szCs w:val="18"/>
                <w:color w:val="0000FF"/>
              </w:rPr>
              <w:t>Principal Accountant Fees and Services</w:t>
            </w:r>
          </w:p>
        </w:tc>
        <w:tc>
          <w:tcPr>
            <w:tcW w:w="1120" w:type="dxa"/>
            <w:vAlign w:val="bottom"/>
            <w:gridSpan w:val="4"/>
            <w:shd w:val="clear" w:color="auto" w:fill="CCEEFF"/>
          </w:tcPr>
          <w:p>
            <w:pPr>
              <w:jc w:val="right"/>
              <w:ind w:right="20"/>
              <w:spacing w:after="0" w:line="175" w:lineRule="exact"/>
              <w:rPr>
                <w:sz w:val="20"/>
                <w:szCs w:val="20"/>
                <w:color w:val="auto"/>
              </w:rPr>
            </w:pPr>
            <w:r>
              <w:rPr>
                <w:rFonts w:ascii="Calibri" w:cs="Calibri" w:eastAsia="Calibri" w:hAnsi="Calibri"/>
                <w:sz w:val="18"/>
                <w:szCs w:val="18"/>
                <w:color w:val="0000FF"/>
              </w:rPr>
              <w:t>51</w:t>
            </w:r>
          </w:p>
        </w:tc>
        <w:tc>
          <w:tcPr>
            <w:tcW w:w="0" w:type="dxa"/>
            <w:vAlign w:val="bottom"/>
          </w:tcPr>
          <w:p>
            <w:pPr>
              <w:spacing w:after="0"/>
              <w:rPr>
                <w:sz w:val="1"/>
                <w:szCs w:val="1"/>
                <w:color w:val="auto"/>
              </w:rPr>
            </w:pPr>
          </w:p>
        </w:tc>
      </w:tr>
      <w:tr>
        <w:trPr>
          <w:trHeight w:val="222"/>
        </w:trPr>
        <w:tc>
          <w:tcPr>
            <w:tcW w:w="106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780" w:type="dxa"/>
            <w:vAlign w:val="bottom"/>
            <w:tcBorders>
              <w:top w:val="single" w:sz="8" w:color="CCEEFF"/>
            </w:tcBorders>
            <w:gridSpan w:val="7"/>
          </w:tcPr>
          <w:p>
            <w:pPr>
              <w:jc w:val="center"/>
              <w:ind w:right="4120"/>
              <w:spacing w:after="0" w:line="215" w:lineRule="exact"/>
              <w:rPr>
                <w:sz w:val="20"/>
                <w:szCs w:val="20"/>
                <w:color w:val="auto"/>
              </w:rPr>
            </w:pPr>
            <w:r>
              <w:rPr>
                <w:rFonts w:ascii="Calibri" w:cs="Calibri" w:eastAsia="Calibri" w:hAnsi="Calibri"/>
                <w:sz w:val="18"/>
                <w:szCs w:val="18"/>
                <w:b w:val="1"/>
                <w:bCs w:val="1"/>
                <w:color w:val="auto"/>
                <w:w w:val="98"/>
              </w:rPr>
              <w:t>PART IV</w:t>
            </w:r>
          </w:p>
        </w:tc>
        <w:tc>
          <w:tcPr>
            <w:tcW w:w="9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line="183" w:lineRule="exact"/>
              <w:rPr>
                <w:sz w:val="20"/>
                <w:szCs w:val="20"/>
                <w:color w:val="auto"/>
              </w:rPr>
            </w:pPr>
            <w:r>
              <w:rPr>
                <w:rFonts w:ascii="Calibri" w:cs="Calibri" w:eastAsia="Calibri" w:hAnsi="Calibri"/>
                <w:sz w:val="18"/>
                <w:szCs w:val="18"/>
                <w:color w:val="auto"/>
              </w:rPr>
              <w:t>ITEM 15.</w:t>
            </w:r>
          </w:p>
        </w:tc>
        <w:tc>
          <w:tcPr>
            <w:tcW w:w="8960" w:type="dxa"/>
            <w:vAlign w:val="bottom"/>
            <w:gridSpan w:val="23"/>
            <w:shd w:val="clear" w:color="auto" w:fill="CCEEFF"/>
          </w:tcPr>
          <w:p>
            <w:pPr>
              <w:spacing w:after="0" w:line="183" w:lineRule="exact"/>
              <w:rPr>
                <w:sz w:val="20"/>
                <w:szCs w:val="20"/>
                <w:color w:val="auto"/>
              </w:rPr>
            </w:pPr>
            <w:r>
              <w:rPr>
                <w:rFonts w:ascii="Calibri" w:cs="Calibri" w:eastAsia="Calibri" w:hAnsi="Calibri"/>
                <w:sz w:val="18"/>
                <w:szCs w:val="18"/>
                <w:color w:val="0000FF"/>
              </w:rPr>
              <w:t>Exhibits and Financial Statement Schedules</w:t>
            </w:r>
          </w:p>
        </w:tc>
        <w:tc>
          <w:tcPr>
            <w:tcW w:w="1120" w:type="dxa"/>
            <w:vAlign w:val="bottom"/>
            <w:gridSpan w:val="4"/>
            <w:shd w:val="clear" w:color="auto" w:fill="CCEEFF"/>
          </w:tcPr>
          <w:p>
            <w:pPr>
              <w:jc w:val="right"/>
              <w:ind w:right="20"/>
              <w:spacing w:after="0" w:line="183" w:lineRule="exact"/>
              <w:rPr>
                <w:sz w:val="20"/>
                <w:szCs w:val="20"/>
                <w:color w:val="auto"/>
              </w:rPr>
            </w:pPr>
            <w:r>
              <w:rPr>
                <w:rFonts w:ascii="Calibri" w:cs="Calibri" w:eastAsia="Calibri" w:hAnsi="Calibri"/>
                <w:sz w:val="18"/>
                <w:szCs w:val="18"/>
                <w:color w:val="0000FF"/>
              </w:rPr>
              <w:t>52</w:t>
            </w: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Calibri" w:cs="Calibri" w:eastAsia="Calibri" w:hAnsi="Calibri"/>
                <w:sz w:val="18"/>
                <w:szCs w:val="18"/>
                <w:color w:val="auto"/>
              </w:rPr>
              <w:t>ITEM 16.</w:t>
            </w:r>
          </w:p>
        </w:tc>
        <w:tc>
          <w:tcPr>
            <w:tcW w:w="1460" w:type="dxa"/>
            <w:vAlign w:val="bottom"/>
            <w:gridSpan w:val="8"/>
          </w:tcPr>
          <w:p>
            <w:pPr>
              <w:spacing w:after="0" w:line="175" w:lineRule="exact"/>
              <w:rPr>
                <w:sz w:val="20"/>
                <w:szCs w:val="20"/>
                <w:color w:val="auto"/>
              </w:rPr>
            </w:pPr>
            <w:r>
              <w:rPr>
                <w:rFonts w:ascii="Calibri" w:cs="Calibri" w:eastAsia="Calibri" w:hAnsi="Calibri"/>
                <w:sz w:val="18"/>
                <w:szCs w:val="18"/>
                <w:color w:val="0000FF"/>
                <w:w w:val="96"/>
              </w:rPr>
              <w:t>Form 10-K Summary</w:t>
            </w:r>
          </w:p>
        </w:tc>
        <w:tc>
          <w:tcPr>
            <w:tcW w:w="1600" w:type="dxa"/>
            <w:vAlign w:val="bottom"/>
            <w:gridSpan w:val="5"/>
          </w:tcPr>
          <w:p>
            <w:pPr>
              <w:spacing w:after="0"/>
              <w:rPr>
                <w:sz w:val="15"/>
                <w:szCs w:val="15"/>
                <w:color w:val="auto"/>
              </w:rPr>
            </w:pPr>
          </w:p>
        </w:tc>
        <w:tc>
          <w:tcPr>
            <w:tcW w:w="5900" w:type="dxa"/>
            <w:vAlign w:val="bottom"/>
            <w:gridSpan w:val="10"/>
          </w:tcPr>
          <w:p>
            <w:pPr>
              <w:spacing w:after="0"/>
              <w:rPr>
                <w:sz w:val="15"/>
                <w:szCs w:val="15"/>
                <w:color w:val="auto"/>
              </w:rPr>
            </w:pPr>
          </w:p>
        </w:tc>
        <w:tc>
          <w:tcPr>
            <w:tcW w:w="1120" w:type="dxa"/>
            <w:vAlign w:val="bottom"/>
            <w:gridSpan w:val="4"/>
          </w:tcPr>
          <w:p>
            <w:pPr>
              <w:jc w:val="right"/>
              <w:ind w:right="20"/>
              <w:spacing w:after="0" w:line="175" w:lineRule="exact"/>
              <w:rPr>
                <w:sz w:val="20"/>
                <w:szCs w:val="20"/>
                <w:color w:val="auto"/>
              </w:rPr>
            </w:pPr>
            <w:r>
              <w:rPr>
                <w:rFonts w:ascii="Calibri" w:cs="Calibri" w:eastAsia="Calibri" w:hAnsi="Calibri"/>
                <w:sz w:val="18"/>
                <w:szCs w:val="18"/>
                <w:color w:val="0000FF"/>
              </w:rPr>
              <w:t>54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922" w:right="39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 </w:t>
      </w:r>
      <w:r>
        <w:rPr>
          <w:rFonts w:ascii="Calibri" w:cs="Calibri" w:eastAsia="Calibri" w:hAnsi="Calibri"/>
          <w:sz w:val="18"/>
          <w:szCs w:val="18"/>
          <w:b w:val="1"/>
          <w:bCs w:val="1"/>
          <w:i w:val="1"/>
          <w:iCs w:val="1"/>
          <w:color w:val="auto"/>
        </w:rPr>
        <w:t>BUSINESS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leading specialty chemical and ingredients company that formulates, distributes, blends and manufactures products for our Industrial, Water Treatment and Health and Nutriton customers. We believe that we create value for our customers through superb service and support, quality products, personalized applicatons and trustworthy, creatve employees.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We conduct our business in three segments: Industrial, Water Treatment, and Health and Nutriton.</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Our Industrial Group specializes in providing industrial chemicals, products and services to industries such as agriculture, chemical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processing, electronics, energy, food, pharmaceutcal and platng. This group’s principal products are acids, alkalis and food-grade and pharmaceutcal salts and ingredients.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The Industrial Group:</w:t>
      </w:r>
    </w:p>
    <w:p>
      <w:pPr>
        <w:spacing w:after="0" w:line="244" w:lineRule="exact"/>
        <w:rPr>
          <w:sz w:val="20"/>
          <w:szCs w:val="20"/>
          <w:color w:val="auto"/>
        </w:rPr>
      </w:pPr>
    </w:p>
    <w:p>
      <w:pPr>
        <w:ind w:left="420" w:hanging="169"/>
        <w:spacing w:after="0" w:line="235" w:lineRule="auto"/>
        <w:tabs>
          <w:tab w:leader="none" w:pos="41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Manufactures sodium hypochlorite (bleach), certain food-grade and pharmaceutcal products, including liquid phosphates, lactates and other blended products, and agricultural products;</w:t>
      </w:r>
    </w:p>
    <w:p>
      <w:pPr>
        <w:spacing w:after="0" w:line="244" w:lineRule="exact"/>
        <w:rPr>
          <w:rFonts w:ascii="Calibri" w:cs="Calibri" w:eastAsia="Calibri" w:hAnsi="Calibri"/>
          <w:sz w:val="18"/>
          <w:szCs w:val="18"/>
          <w:color w:val="auto"/>
        </w:rPr>
      </w:pPr>
    </w:p>
    <w:p>
      <w:pPr>
        <w:ind w:left="420" w:hanging="169"/>
        <w:spacing w:after="0" w:line="235" w:lineRule="auto"/>
        <w:tabs>
          <w:tab w:leader="none" w:pos="41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Receives, stores and distributes various chemicals in bulk quanttes, including liquid caustc soda, sulfuric acid, hydrochloric acid, urea, phosphoric acid, aqua ammonia and potassium hydroxide;</w:t>
      </w:r>
    </w:p>
    <w:p>
      <w:pPr>
        <w:spacing w:after="0" w:line="244" w:lineRule="exact"/>
        <w:rPr>
          <w:rFonts w:ascii="Calibri" w:cs="Calibri" w:eastAsia="Calibri" w:hAnsi="Calibri"/>
          <w:sz w:val="18"/>
          <w:szCs w:val="18"/>
          <w:color w:val="auto"/>
        </w:rPr>
      </w:pPr>
    </w:p>
    <w:p>
      <w:pPr>
        <w:ind w:left="400" w:hanging="149"/>
        <w:spacing w:after="0"/>
        <w:tabs>
          <w:tab w:leader="none" w:pos="400" w:val="left"/>
        </w:tabs>
        <w:numPr>
          <w:ilvl w:val="0"/>
          <w:numId w:val="1"/>
        </w:numPr>
        <w:rPr>
          <w:rFonts w:ascii="Calibri" w:cs="Calibri" w:eastAsia="Calibri" w:hAnsi="Calibri"/>
          <w:sz w:val="17"/>
          <w:szCs w:val="17"/>
          <w:color w:val="auto"/>
        </w:rPr>
      </w:pPr>
      <w:r>
        <w:rPr>
          <w:rFonts w:ascii="Calibri" w:cs="Calibri" w:eastAsia="Calibri" w:hAnsi="Calibri"/>
          <w:sz w:val="17"/>
          <w:szCs w:val="17"/>
          <w:color w:val="auto"/>
        </w:rPr>
        <w:t>Repackages water treatment chemicals for our Water Treatment Group and bulk industrial chemicals to sell in smaller quanttes to our customers; and</w:t>
      </w:r>
    </w:p>
    <w:p>
      <w:pPr>
        <w:spacing w:after="0" w:line="246" w:lineRule="exact"/>
        <w:rPr>
          <w:rFonts w:ascii="Calibri" w:cs="Calibri" w:eastAsia="Calibri" w:hAnsi="Calibri"/>
          <w:sz w:val="17"/>
          <w:szCs w:val="17"/>
          <w:color w:val="auto"/>
        </w:rPr>
      </w:pPr>
    </w:p>
    <w:p>
      <w:pPr>
        <w:ind w:left="400" w:hanging="149"/>
        <w:spacing w:after="0"/>
        <w:tabs>
          <w:tab w:leader="none" w:pos="4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Performs custom blending of chemicals according to customer formulas and specifcatons.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group’s sales are concentrated primarily in the central United States, while the group sells food and pharmaceutcal products, as well as some agricultural products, natonally. The Industrial Group relies on a specially trained sales staf that works directly with customers on their specifc needs. The group conducts its business primarily through manufacturing locatons and terminal operatons. Agricultural sales within this group tend to be seasonal, with higher sales during the typical plantng season of March through June given the regions of the country we serve.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Our Water Treatment Group specializes in providing chemicals, products, equipment, services and solutons for potable water,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municipal and industrial wastewater, industrial process water, non-residental swimming pool water and agricultural water. This group has the resources and fexibility to treat systems ranging in size from a single small well to a mult-million-gallon-per-day facility.</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group utlizes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municipalites and other customers that we serve. We also believe that there are signifcant synergies between our Water Treatment and Industrial Groups that allow us to obtain a compettve cost positon on many of the chemicals sold by the Water Treatment Group due to the volumes of these chemicals purchased by our Industrial Group. In additon, our Industrial and Water Treatment groups share certain resources, which leverage fxed costs across both groups.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Water Treatment group operates out of 47 warehouses supplying products and services to customers in 46 states. We expect to contnue to invest in existng and new branches to expand the group’s geographic coverage. Our Water Treatment Group has historically experienced higher sales during April to September, primarily due to a seasonal increase in chemicals used by municipal water treatment facilites.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Health and Nutriton Segment. </w:t>
      </w:r>
      <w:r>
        <w:rPr>
          <w:rFonts w:ascii="Calibri" w:cs="Calibri" w:eastAsia="Calibri" w:hAnsi="Calibri"/>
          <w:sz w:val="18"/>
          <w:szCs w:val="18"/>
          <w:color w:val="auto"/>
        </w:rPr>
        <w:t>Our Health and Nutriton Group specializes in providing ingredient distributon, processing and formulaton solutons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manufacturers of nutraceutcal, functonal food and beverage, personal care, dietary supplement and other nutritonal food, health and wellness products. This group ofers a diverse product portolio including minerals, vitamins and amino acids, excipients, joint products, botanicals and herbs, sweeteners and enzymes.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 w:name="page5"/>
    <w:bookmarkEnd w:id="4"/>
    <w:p>
      <w:pPr>
        <w:jc w:val="both"/>
        <w:spacing w:after="0" w:line="235" w:lineRule="auto"/>
        <w:rPr>
          <w:sz w:val="20"/>
          <w:szCs w:val="20"/>
          <w:color w:val="auto"/>
        </w:rPr>
      </w:pPr>
      <w:r>
        <w:rPr>
          <w:rFonts w:ascii="Calibri" w:cs="Calibri" w:eastAsia="Calibri" w:hAnsi="Calibri"/>
          <w:sz w:val="18"/>
          <w:szCs w:val="18"/>
          <w:color w:val="auto"/>
        </w:rPr>
        <w:t>The Health and Nutriton Group relies on a specially trained sales staf that works directly with customers on their specifc needs. The group’s extensive product portolio combined with value-added services, including product formulaton, sourcing and distributon, and processing and blending, positons this group as a one-stop ingredient solutons provider to its customers. The group also follows rigorous quality control and compliance processes to provide reliable, high-quality products to its customers. The group operates out of facilites in California and New York and its products are sold natonally and, in certain cases, internatonally.</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Raw Materials. </w:t>
      </w:r>
      <w:r>
        <w:rPr>
          <w:rFonts w:ascii="Calibri" w:cs="Calibri" w:eastAsia="Calibri" w:hAnsi="Calibri"/>
          <w:sz w:val="18"/>
          <w:szCs w:val="18"/>
          <w:color w:val="auto"/>
        </w:rPr>
        <w:t>We have numerous suppliers, including many of the major chemical producers in the United States. We source our health and nutriton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ingredients from a wide array of domestc and internatonal vendors. We typically have distributorship agreements or supply contracts with our suppliers that are periodically renewed. We believe that most of the products we purchase can be obtained from alternatve sources should existng relatonships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tmes or limit or cut of the supply of materials to us. As a result, we may not be able to supply or manufacture products for our customers.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Intellectual Property. </w:t>
      </w:r>
      <w:r>
        <w:rPr>
          <w:rFonts w:ascii="Calibri" w:cs="Calibri" w:eastAsia="Calibri" w:hAnsi="Calibri"/>
          <w:sz w:val="18"/>
          <w:szCs w:val="18"/>
          <w:color w:val="auto"/>
        </w:rPr>
        <w:t>Our intellectual property portolio is of economic importance to our business. When appropriate, we have pursued, and we will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contnue to pursue, patents covering our products. We have also obtained certain trademarks for our products to distnguish them from our compettors’ products. We regard many of the formulas, informaton and processes that we generate and use in the conduct of our business as proprietary and protectable under applicable copyright, patent, trademark, trade secret and unfair competton laws.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Customer Concentraton. </w:t>
      </w:r>
      <w:r>
        <w:rPr>
          <w:rFonts w:ascii="Calibri" w:cs="Calibri" w:eastAsia="Calibri" w:hAnsi="Calibri"/>
          <w:sz w:val="18"/>
          <w:szCs w:val="18"/>
          <w:color w:val="auto"/>
        </w:rPr>
        <w:t>In fscal 2024, none of our customers accounted for 10% or more of our total sales.</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Competton. </w:t>
      </w:r>
      <w:r>
        <w:rPr>
          <w:rFonts w:ascii="Calibri" w:cs="Calibri" w:eastAsia="Calibri" w:hAnsi="Calibri"/>
          <w:sz w:val="18"/>
          <w:szCs w:val="18"/>
          <w:color w:val="auto"/>
        </w:rPr>
        <w:t>We operate in a compettve industry and compete with many producers, distributors and sales agents ofering products equivalent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substantally all of the products we ofer. Many of our compettors are larger than we are and may have greater fnancial resources, although no one compettor is dominant in all of the markets we serve. We compete by ofering quality products with outstanding customer service at compettve prices coupled with value-added services or product formulaton where needed. Because of our long-standing relatonships with many of our suppliers, we are ofen able to leverage those relatonships to obtain products when supplies are limited or to obtain compettve pricing.</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Working Capital. </w:t>
      </w:r>
      <w:r>
        <w:rPr>
          <w:rFonts w:ascii="Calibri" w:cs="Calibri" w:eastAsia="Calibri" w:hAnsi="Calibri"/>
          <w:sz w:val="18"/>
          <w:szCs w:val="18"/>
          <w:color w:val="auto"/>
        </w:rPr>
        <w:t>Due to the nature of our operatons, which includes purchases of large quanttes of bulk chemicals, the tming of purchases can result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signifcant changes in working capital and the resultng operatng cash fow. Historically, our cash requirements for working capital increase during the period from March through November as caustc soda inventory levels increase with most of our barges received during this period.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Regulatory Maters. </w:t>
      </w:r>
      <w:r>
        <w:rPr>
          <w:rFonts w:ascii="Calibri" w:cs="Calibri" w:eastAsia="Calibri" w:hAnsi="Calibri"/>
          <w:sz w:val="18"/>
          <w:szCs w:val="18"/>
          <w:color w:val="auto"/>
        </w:rPr>
        <w:t>We are subject to numerous federal, state and local environmental, health and safety laws and regulatons in the jurisdictons in which</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we operate, including laws and regulatons relatng to the management, storage, transportaton and disposal of chemicals and wastes; product regulaton; air, water and soil contaminaton; and the investgaton and cleanup of any spills or releases that may result from our management, handling, storage, sale, or transportaton of chemicals and other products. In additon, societal concerns regarding the safety of chemicals in commerce and their potental impact on the environment have resulted in a growing trend towards increasing levels of product safety and environmental protecton regulatons. These concerns have led to, and could contnue to result in, more stringent regulatory interventon by governmental authorites.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operate a feet of more than 350 commercial vehicles, primarily in our Water Treatment Group, which are highly regulated, including by the U.S. Department of Transportaton (“DOT”). The DOT governs transportaton maters including authorizaton to engage in motor carrier service, including the necessary permits to conduct our businesses, equipment operaton,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both"/>
        <w:spacing w:after="0" w:line="235" w:lineRule="auto"/>
        <w:rPr>
          <w:sz w:val="20"/>
          <w:szCs w:val="20"/>
          <w:color w:val="auto"/>
        </w:rPr>
      </w:pPr>
      <w:r>
        <w:rPr>
          <w:rFonts w:ascii="Calibri" w:cs="Calibri" w:eastAsia="Calibri" w:hAnsi="Calibri"/>
          <w:sz w:val="18"/>
          <w:szCs w:val="18"/>
          <w:color w:val="auto"/>
        </w:rPr>
        <w:t>The manufacture, packaging, labeling, advertsing, promoton, distributon and sale of our agricultural, food, pharmaceutcal, pestcide and health and nutriton products are subject to regulaton by numerous natonal and local governmental agencies in the United States and other countries. The primary regulatory bodies in the United States are the Food and Drug Administraton (the “FDA”), the Environmental Protecton Agency, the United States Department of Agriculture and the Federal Trade Commission, and we are also subject to similar regulators in other countries. In partcular, the FDA’s current good manufacturing practces (“GMPs”) describe policies and procedures designed to ensure that nutraceutcals, pharmaceutcals and dietary supplements are produced in a quality manner, do not contain contaminants or impurites, and are accurately labeled and cover the manufacturing, packaging, labeling and storing of products, with requirements for quality control, design and constructon of manufacturing plants, testng of ingredients and fnal products, record keeping, and complaints processes.</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informaton related to government regulaton applicable to our business is included in this Annual Report on Form 10-K, in Part I, Item 1A - Risk Factors.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Human Capital. </w:t>
      </w:r>
      <w:r>
        <w:rPr>
          <w:rFonts w:ascii="Calibri" w:cs="Calibri" w:eastAsia="Calibri" w:hAnsi="Calibri"/>
          <w:sz w:val="18"/>
          <w:szCs w:val="18"/>
          <w:color w:val="auto"/>
        </w:rPr>
        <w:t>Our team is a key to our success and we are commited to creatng a workplace that atracts top talent, develops leaders and drives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performance on behalf of our customers and shareholders.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strive to recruit the best people for the job regardless of race, color, natonality, gender, age, disability, sexual orientaton or any other status protected by law. It is our policy to comply fully with all applicable laws relatng to discriminaton in the workplace and are commited to advancing an inclusive, collaboratve and respectul culture.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health and safety of our employees is our highest priority. We work to ensure our employees have a thorough understanding of health and safety precautons that need to be taken in all business functons. Specifc safety initatves include accident preventon work, improving process controls, safety training, safety commitees, safety audits, incident investgaton and improvement measures.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strive to provide employees with compettve wages commensurate with their skill levels, experience, knowledge and the regional market. Full-tme employees are eligible for health, dental and vision insurance, paid and unpaid leaves, 401(K) plan, retrement plans, life and disability/accident coverage and our employee assistance program.</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March 31, 2024, we had 934 employees across the United States, of which 928 were full-tme employees. Approximately 41% of our employees were female or racially and ethnically diverse, and approximately 10% were covered by a collectve bargaining agreement. Of the eight members of our Board of Directors, two are female, six are male, one is Asian American and seven are white.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Available Informaton. </w:t>
      </w:r>
      <w:r>
        <w:rPr>
          <w:rFonts w:ascii="Calibri" w:cs="Calibri" w:eastAsia="Calibri" w:hAnsi="Calibri"/>
          <w:sz w:val="18"/>
          <w:szCs w:val="18"/>
          <w:color w:val="auto"/>
        </w:rPr>
        <w:t>Our Internet address is www.hawkinsinc.com. We have made available, free of charge, our Annual Reports on Form 10-K, Quarterly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Reports on Form 10-Q, Current Reports on Form 8-K, and, if applicable, amendments to those reports, as soon as reasonably practcable afer we electronically fle these materials with, or furnish them to, the Securites and Exchange Commission ("SEC"). Reports of benefcial ownership fled by our directors and executve ofcers pursuant to Secton 16(a) of the Exchange Act are also available on our website. We are not including the informaton contained on our website as part of, or incorporatng it by reference into, this Annual Report on Form 10-K. The SEC also maintains an internet site that contains reports, proxy and informaton statements, and other informaton regarding our company at htp://www.sec.gov.</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 xml:space="preserve">ITEM 1A. </w:t>
      </w:r>
      <w:r>
        <w:rPr>
          <w:rFonts w:ascii="Calibri" w:cs="Calibri" w:eastAsia="Calibri" w:hAnsi="Calibri"/>
          <w:sz w:val="18"/>
          <w:szCs w:val="18"/>
          <w:b w:val="1"/>
          <w:bCs w:val="1"/>
          <w:i w:val="1"/>
          <w:iCs w:val="1"/>
          <w:color w:val="auto"/>
        </w:rPr>
        <w:t>RISK FACTORS</w:t>
      </w:r>
    </w:p>
    <w:p>
      <w:pPr>
        <w:spacing w:after="0" w:line="244"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i w:val="1"/>
          <w:iCs w:val="1"/>
          <w:color w:val="auto"/>
        </w:rPr>
        <w:t>You should carefully consider the following material factors regarding risks relatng to an investment in our securites and when reading the informaton, including the fnancial informaton, contained in this Annual Report on Form 10-K. Shareholders are cautoned that these and other factors may afect future performance and cause actual results to difer materially from those that may be antcipated.</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COMPETITIVE AND REPUTATIONAL RISKS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operate in a highly compettve environment and face signifcant competton and price pressure.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operate in a highly compettve industry and compete with producers, manufacturers, distributors and sales agents ofering products equivalent to substantally all of the products we ofer. Competton is based on several key criteria, including product price, product performance, product quality, product availability and security of supply, breadth of product oferings, geographic reach, responsiveness of product development in cooperaton with customers, technical expertse and customer service. Many of our compettors are larger than we are and may have greater fnancial resources, more product oferings and a broader geographic reach. As a result, these compettors may be able to ofer a broader array of products to a larger geographic area and may be beter able than us to withstand changes in conditons within our industry, changes in the prices and availability of raw materials and changes in general economic conditons as well as be able to introduce innovatve products that reduce demand for or the proft from our products. Additonally, compettors’ pricing decisions could compel us to decrease our prices, which could adversely afect our margins and proftability. Our ability to maintain or increase our proftability would be dependent upon our ability to ofset compettve decreases in the prices and margins of our products by improving producton efciency, investng in infrastructure to reduce freight costs, identfying and selling higher margin products, providing higher levels of technical expertse and customer service, and improving existng products through innovaton and research and development. If we are unable to maintain our proftability or compettve positon, we could lose market share to our compettors and experience reduced proftability.</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businesses expose us to potental product liability claims and recalls, which could adversely afect our fnancial conditon and performance.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repackaging, blending, mixing and distributon of products by us, including chemical products and products used in food or food ingredients or with medical, pharmaceutcal or dietary supplement applicatons, involve an inherent risk of exposure to product liability claims, product recalls, product seizures and related adverse publicity, including, without limitaton, claims for exposure to our products, spills or release of our products, personal injuries, food-related claims and property damage or environmental claims. A product liability claim, judgment or recall against our customers could also result in substantal and unexpected expenditures for us, afect consumer confdence in our products and divert management’s atenton from other responsibilites. Although we maintain product liability insurance, there can be no assurance that the type or level of coverage is adequate or that we will be able to contnue to maintain our existng insurance or obtain comparable insurance at a reasonable cost, if at all. A product recall or a partally or completely uninsured judgment against us could have a material adverse efect on our business, fnancial conditon and results of operatons.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our customers’ needs or failure of our products to meet customers’ requirements could adversely afect our sales and proftability.</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are used for a broad range of applicatons by our customers. Changes in our customers’ product needs or processes, or reductons in demand for their end products, may enable or require our customers to reduce or eliminate consumpton of the products that we provide. Customers may also fnd alternatve materials or processes that no longer require our products. Consequently, it is important that we develop new products to replace the sales of products that mature and decline in use.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provide important performance atributes to our customers’ products. If our products fail to meet the customers’ requirements or comply with applicable laws or regulatons, perform in a manner inconsistent with the customers’ expectatons or have a shorter useful life than required, a customer could seek replacement of the product or damages for costs incurred as a result of the product failure. A successful claim or series of claims against us could have a material adverse efect on our fnancial conditon and results of operatons and could result in a loss of one or more customers. Reductons in demand for our products could adversely afect our sales and fnancial results and result in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p>
      <w:pPr>
        <w:jc w:val="both"/>
        <w:spacing w:after="0" w:line="235" w:lineRule="auto"/>
        <w:rPr>
          <w:sz w:val="20"/>
          <w:szCs w:val="20"/>
          <w:color w:val="auto"/>
        </w:rPr>
      </w:pPr>
      <w:r>
        <w:rPr>
          <w:rFonts w:ascii="Calibri" w:cs="Calibri" w:eastAsia="Calibri" w:hAnsi="Calibri"/>
          <w:sz w:val="18"/>
          <w:szCs w:val="18"/>
          <w:b w:val="1"/>
          <w:bCs w:val="1"/>
          <w:i w:val="1"/>
          <w:iCs w:val="1"/>
          <w:color w:val="auto"/>
        </w:rPr>
        <w:t>Adverse publicity or negatve public percepton regarding partcular ingredients or products or the dietary supplement industry in general could adversely afect the fnancial performance of those portons of our business.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Purchasing decisions made by consumers of products that contain our ingredients may be afected by adverse publicity or negatve public percepton regarding partcular ingredients or products or the dietary supplement industry in general. This negatve public percepton may include publicity regarding the risks, efcacy, legality or quality of partcular ingredients or products in general or of other companies or our products or ingredients specifcally. Negatve public percepton may also arise from regulatory investgatons, regardless of whether those investgatons involve us. We are highly dependent upon consumers’ percepton of the safety and quality of products that contain our ingredients as well as similar products distributed by other companies. Thus, the mere publicaton of reports assertng that such products may be harmful could have a material adverse efect on us, regardless of whether these reports are scientfcally supported. Publicity related to dietary supplements or food ingredients may also result in increased regulatory scrutny of our industry. Adverse publicity may have a material adverse efect on our business, fnancial conditon, results of operatons and cash fows.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adequately protect critcal data and technology systems could materially afect our operatons.</w:t>
      </w:r>
    </w:p>
    <w:p>
      <w:pPr>
        <w:spacing w:after="0" w:line="24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Informaton technology system failures, network disruptons and breaches of data security due to internal or external factors including phishing or cyber-atacks could disrupt our operatons by causing delays or cancellaton of customer orders, impede the manufacture or shipment of products or cause standard business processes to become inefectve, resultng in the unintentonal disclosure of informaton or damage to our reputaton. While we have taken steps to address these concerns by implementng network security and internal control measures, including employee training, comprehensive monitoring of our networks and systems, maintenance of backup and protectve systems and disaster recovery and incident response plans, our employees, systems, networks, products, facilites and services remain vulnerable to phishing atacks and cyber-assault, and, as such, there can be no assurance that a system failure, network disrupton or data security breach will not have a material adverse efect on our business, fnancial conditon, operatng results or cash fows.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INDUSTRY</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Fluctuatons in the prices and availability of our raw materials, which may be cyclical in nature, could have a material adverse efect on our operatons and the margins we receive on sales of our products.</w:t>
      </w:r>
    </w:p>
    <w:p>
      <w:pPr>
        <w:spacing w:after="0" w:line="24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experience regular and recurring fuctuatons in the pricing of our raw materials. Those fuctuatons can be signifcant and occur rapidly. The cyclicality of commodity markets, such as the market for caustc soda, primarily results from changes in the balance between supply and demand and the level of general economic actvity. We cannot predict whether the markets for our raw materials will favorably impact or negatvely impact the margins we can realize.</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prices we pay for our principal chemical raw materials generally lag the market prices of the underlying raw material. The cost of inventory we have on hand, partcularly inventories of our bulk commodity chemicals where we have signifcant volumes stored at our facilites, generally will lag the current market pricing of such inventory. The pricing within our supply contracts generally adjusts quarterly or monthly. While we atempt to maintain compettve pricing and stable margin dollars, the potental variance in our cost of inventory from the current market pricing can cause signifcant volatlity in our margins realized. We do not engage in futures or other derivatves contracts to hedge against fuctuatons in future prices. We may enter into sales contracts where the selling prices for our products are fxed for a period of tme, exposing us to volatlity in raw materials prices that we acquire on a spot market or short-term contractual basis. We atempt to pass commodity pricing changes to our customers, but we may be unable to or be delayed in doing so. Our inability to pass through price increases or any limitaton or delay in our passing through price increases could adversely afect our proft margins.</w:t>
      </w:r>
    </w:p>
    <w:p>
      <w:pPr>
        <w:spacing w:after="0" w:line="25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are also dependent upon the availability of our raw materials. In the event that raw materials are in short supply or unavailable, raw material suppliers may extend lead tmes or limit or cut of supplies. As a result, we may not be able to supply or manufacture products for some or all of our customers. Constraints on the supply or delivery of critcal raw materials could disrupt our operatons and adversely afect the performance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both"/>
        <w:spacing w:after="0" w:line="235" w:lineRule="auto"/>
        <w:rPr>
          <w:sz w:val="20"/>
          <w:szCs w:val="20"/>
          <w:color w:val="auto"/>
        </w:rPr>
      </w:pPr>
      <w:r>
        <w:rPr>
          <w:rFonts w:ascii="Calibri" w:cs="Calibri" w:eastAsia="Calibri" w:hAnsi="Calibri"/>
          <w:sz w:val="18"/>
          <w:szCs w:val="18"/>
          <w:b w:val="1"/>
          <w:bCs w:val="1"/>
          <w:i w:val="1"/>
          <w:iCs w:val="1"/>
          <w:color w:val="auto"/>
        </w:rPr>
        <w:t>Demand for our products is afected by general economic conditons and by the cyclical nature of many of the industries we serve, which could cause signifcant fuctuatons in our sales volumes and results.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for our products is afected by general economic conditons. A decline in general economic or business conditons in the industries served by our customers could have a material adverse efect on our businesses. Although we sell to areas traditonally considered non-cyclical, such as water treatment, food products and health and nutritonal ingredients, many of our customers are in businesses that are cyclical in nature, such as the industrial manufacturing and energy industries which include the ethanol and agriculture industries. Downturns in these industries could adversely afect our sales and our fnancial results by afectng demand for and pricing of our products.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 is subject to hazards common to chemical businesses, any of which could interrupt our producton and adversely afect our results of operatons.</w:t>
      </w:r>
    </w:p>
    <w:p>
      <w:pPr>
        <w:spacing w:after="0" w:line="24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Our business is subject to hazards common to chemical manufacturing, blending, storage, handling and transportaton, including explosions, fres, severe weather, natural disasters, mechanical failure, unscheduled downtme, transportaton interruptons, trafc accidents involving our delivery vehicles, derailments, chemical spills, discharges or releases of toxic or hazardous substances or gases and other risks. These hazards could cause personal injury and loss of life, severe damage to or destructon of property and equipment, and environmental contaminaton. In additon, the occurrence of material operatng problems or the absence of personnel due to pandemics or other disasters at any of our facilites due to any of these hazards may make it impossible for us to make sales to our customers and may result in a negatve public or politcal reacton. Many of our facilites are near signifcant residental populatons which increases the risk of negatve public or politcal reacton should an environmental issue occur and could lead to adverse zoning or other regulatory actons that could limit our ability to operate our business in those locatons. Accordingly, these hazards and their consequences could have a material adverse efect on our operatons as a whole, including our results of operatons and cash fows, both during and afer the period of operatonal difcultes.</w:t>
      </w:r>
    </w:p>
    <w:p>
      <w:pPr>
        <w:spacing w:after="0" w:line="23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Environmental problems at any of our facilites could result in signifcant unexpected costs.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federal, state and local environmental regulatons regarding the ownership of real property and the operatons conducted on real property. Under various federal, state and local laws, ordinances and regulatons, we may own or operate real property or may have arranged for the disposal or treatment of hazardous or toxic substances at a property and, therefore, may become liable for the costs of removal or remediaton of certain hazardous substances released on or in our property or disposed of by us, as well as certain other potental costs which could relate to hazardous or toxic substances (including governmental fnes and injuries to persons and property). Such liability may be imposed whether or not we knew of, or were responsible for, the presence of these hazardous or toxic substances. Further, future changes in environmental laws or regulatons may require additonal investment in capital equipment or the implementaton of additonal compliance programs in the future. The cost of investgaton, remediaton or removal of such substances may be substantal.</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conduct of our operatons, we have handled and do handle materials that are considered hazardous, toxic or volatle under federal, state and local laws. The potental for the accidental release of such products cannot be completely eliminated. In additon, we operate or own facilites located on or near real property that was formerly owned and operated by others. These propertes may have been used in ways that involved hazardous materials. Contaminates may migrate from, within or through any such property, which may give rise to claims against us. Third partes who are responsible for contaminaton may not have funds, or may not make funds available when needed, to pay remediaton costs imposed upon us jointly with them under environmental laws and regulatons.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Water Treatment Group and our agricultural product sales within our Industrial Group are subject to seasonality and weather conditons, which could adversely afect our results of operatons.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Water Treatment Group has historically experienced higher sales during April to September, primarily due to a seasonal increase in chemicals used by municipal water treatment facilites. Our agricultural product sales within our Industrial Group are also seasonal, primarily corresponding with the plantng season. Demand in both of these areas is also afected by weather conditons, as either higher or lower than normal precipitaton or temperatures may afect water usage and the tming and the amount of consumpton of our products. We cannot assure you that seasonality or fuctuatng weather conditons will not have a material adverse efect on our results of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i w:val="1"/>
          <w:iCs w:val="1"/>
          <w:color w:val="auto"/>
        </w:rPr>
        <w:t>OPERATIONAL RISKS</w:t>
      </w:r>
    </w:p>
    <w:p>
      <w:pPr>
        <w:spacing w:after="0" w:line="231"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b w:val="1"/>
          <w:bCs w:val="1"/>
          <w:i w:val="1"/>
          <w:iCs w:val="1"/>
          <w:color w:val="auto"/>
        </w:rPr>
        <w:t>Disruptons within our supply chain have negatvely impacted, and could contnue to negatvely impact, our producton, fnancial conditon and results of operatons.</w:t>
      </w:r>
    </w:p>
    <w:p>
      <w:pPr>
        <w:spacing w:after="0" w:line="232"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We have been, and could contnue to be, adversely afected by disruptons within our supply chain and transportaton network. The raw materials we need are transported by truck, rail, barge or ship by third-party providers. The costs of transportng our products or necessary raw materials could be negatvely afected by factors outside of our control, including rail service interruptons or rate increases, extreme weather events, tarifs, rising fuel costs and capacity constraints. In recent years, unprecedented congeston in ocean shipping adversely impacted the reliability of our imported raw materials, and transport driver shortages caused extended lead tmes for domestc shipments. In additon, rail shipments can be unreliable, with signifcant delays in service and increased costs. The impacts of high-profle derailments could further degrade service levels and cause railroads to increase costs. Signifcant delays or increased costs relatng to transportaton could materially afect our fnancial conditon and results of operatons.</w:t>
      </w:r>
    </w:p>
    <w:p>
      <w:pPr>
        <w:spacing w:after="0" w:line="231" w:lineRule="exact"/>
        <w:rPr>
          <w:sz w:val="20"/>
          <w:szCs w:val="20"/>
          <w:color w:val="auto"/>
        </w:rPr>
      </w:pPr>
    </w:p>
    <w:p>
      <w:pPr>
        <w:jc w:val="both"/>
        <w:spacing w:after="0" w:line="222" w:lineRule="auto"/>
        <w:rPr>
          <w:sz w:val="20"/>
          <w:szCs w:val="20"/>
          <w:color w:val="auto"/>
        </w:rPr>
      </w:pPr>
      <w:r>
        <w:rPr>
          <w:rFonts w:ascii="Calibri" w:cs="Calibri" w:eastAsia="Calibri" w:hAnsi="Calibri"/>
          <w:sz w:val="18"/>
          <w:szCs w:val="18"/>
          <w:color w:val="auto"/>
        </w:rPr>
        <w:t>Similar supply chain issues have impacted and could contnue to impact both our suppliers and our customers. The supply of our necessary raw materials could be interrupted due to shortages of raw materials, efects of economic, politcal or fnancial market conditons on a supplier's operatons, labor disputes or weather conditons afectng products or shipments, transportaton disruptons, natural disasters, outbreaks of disease, informaton system disruptons or other reasons beyond our control. Similar disruptons at our customers could reduce demand for our products, reducing our sales and proftability. Product shortages or delays in deliveries, along with other factors such as price infaton and higher transportaton costs, have also resulted in price increases from our suppliers. We may be unable to pass these price increases on to our customers, which could erode our proft margins. These supply chain constraints, increased product costs and infatonary pressures could contnue or escalate in the future, which would have an adverse impact on our business and results of operatons.</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are highly dependent upon transportaton infrastructure to ship and receive our products and delays in these shipments could adversely afect our results of operatons.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we maintain a number of owned trucks and trailers, we rely heavily upon transportaton provided by third partes (including common carriers, barge companies, rail companies and trans-ocean cargo companies) to deliver products to us and to our customers. Our access to third-party transportaton is not guaranteed, and we may be unable to transport our products in a tmely manner, or at all, in certain circumstances, or at economically atractve rates. Disruptons in transportaton are common, are ofen out of our control, and can happen suddenly and without warning. Rail limitatons, such as limitatons in rail capacity, availability of railcars, workforce shortages, threats of strikes, derailments, embargoes and adverse weather conditons have disrupted or delayed rail shipments in the past and could do so in the future. Barge shipments are delayed or impossible under certain circumstances, including during tmes of high or low water levels, when waterways are frozen and when locks and dams are inoperable. The availability and reliability of truck transportaton has been negatvely impacted by a number of factors, including limited availability of qualifed drivers and equipment, limitatons on drivers’ hours of service and failures of critcal infrastructure, such as bridges. The volumes handled by, and operatng challenges at, ocean ports have at tmes been volatle and can delay the receipt of goods, or cause the cost of shipping goods to be more expensive. Our failure to ship or receive products in a tmely and efcient manner could have a material adverse efect on our fnancial conditon and results of operatons.</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are unable to retain key personnel or atract new skilled personnel, it could have an adverse impact on our businesses.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the specialized and technical nature of our businesses, our future performance is dependent on the contnued service of, and on our ability to atract and retain, qualifed management, scientfc, technical and support personnel. The unantcipated departure of key members of our management team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not be able to successfully consummate future acquisitons or dispositons or integrate acquisitons into our business, which could result in unantcipated expenses and losses.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business growth strategy, we have acquired businesses and may pursue acquisitons in the future. Our ability to pursue this strategy will be limited by our ability to identfy appropriate acquisiton candidates and our fnancial resources, including available cash and borrowing capacity. In additon, we may seek to divest of businesses that are underperforming or not core to our future business. The expense incurred in consummatng transactons, the tme it takes to integrate an acquisiton or our failure to integrate businesses successfully could result in unantcipated expenses and losses. Furthermore, we may not be able to realize the antcipated benefts from acquisitons.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process of integratng acquired operatons into our existng operatons may result in unforeseen operatng difcultes and may require signifcant fnancial resources that would otherwise be available for the ongoing development or expansion of existng operatons. The risks associated with the integraton of acquisitons include potental disrupton of our ongoing businesses and distracton of management, unforeseen claims, liabilites, adjustments, charges and write-ofs, difculty in conforming the acquired business’ standards, processes, procedures and controls with our operatons, and challenges arising from the increased scope, geographic diversity and complexity of the expanded operatons.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businesses are subject to risks stemming from natural disasters or other extraordinary events outside of our control, which could interrupt our producton and adversely afect our results of operatons.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Natural disasters have the potental of interruptng our operatons and damaging our propertes, which could adversely afect our businesses. Flooding of the Mississippi River has temporarily shifed the Company’s terminal operatons out of its buildings four tmes since the spring of 2010, including most recently the spring of 2019. We can give no assurance that fooding or other natural disasters will not recur or that there will not be material damage or interrupton to our operatons in the future from such disasters.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Chemical-related assets may be at greater risk of future terrorist atacks than other possible targets in the United States. Federal law imposes site security requirements, specifcally on chemical facilites, which have increased our overhead expenses. Federal regulatons have also been adopted to increase the security of the transportaton of hazardous chemicals in the United States. We ship and receive materials that are classifed as hazardous and we believe we have met these requirements, but additonal federal and local regulatons that limit the distributon of hazardous materials are being considered. Bans on movement of hazardous materials through certain cites or via certain modes of transportaton could adversely afect the efciency of our logistcal operatons. Broader restrictons on hazardous material movements could lead to additonal investment and could change where and what products we provide.</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occurrence of extraordinary events, including future terrorist atacks, wars, global health developments and pandemics, or escalaton of hostlites, cannot be predicted, but their occurrence can be expected to negatvely afect the economy in general, and specifcally the markets for our products. The resultng damage from a direct atack on our assets, or assets used by us, could include loss of life and property damage. In additon, available insurance coverage may not be sufcient to cover all of the damage incurred or, if available, may be prohibitvely expensive.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renew our leases of land where four of our operatons facilites reside.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lease the land where our three main terminals are located and where another signifcant manufacturing plant is located. These leases, including all renewal periods, have expiraton dates from 2024 to 2044. The failure to secure extended lease terms on any one of these facilites may have a material adverse impact on our business, as they are where a porton of our chemicals are manufactured and where the majority of our bulk chemicals are stored. While we can make no assurances, based on historical experience and antcipated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opton to either maintain the property or remove the property at our expense. The fourth lease provides that we turn any property remaining on the land over to the lessor for them to maintain or remove at their expense. The cost to relocate our operatons could have a material adverse efect on our results of operatons and fnancial conditon.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i w:val="1"/>
          <w:iCs w:val="1"/>
          <w:color w:val="auto"/>
        </w:rPr>
        <w:t>LEGAL AND REGULATORY RISKS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Environmental, health and safety, transportaton and storage laws and regulatons cause us to incur substantal costs and may subject us to future liabilites and risks.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numerous federal, state and local environmental, health, safety and land use laws and regulatons in the jurisdictons in which we operate, including the management, storage, transportaton and disposal of chemicals and wastes; product regulaton; air water and soil contaminaton; land use, fre code and zoning; and the investgaton and cleanup of any spills or releases that may result from our management, handling, storage, sale, or transportaton of chemicals and other products. The nature of our business exposes us to risks of liability under these laws and regulatons. Ongoing compliance with such laws and regulatons is an important consideraton for us and we invest substantal capital and incur signifcant operatng costs in our compliance eforts. In additon, societal concerns regarding the safety of chemicals in commerce and their potental impact on the environment have resulted in a growing trend towards increasing levels of product safety and environmental protecton regulatons and restrictons on the locatons and operatons of chemical facilites. These concerns have led to, and could contnue to result in, more stringent regulatory interventon by governmental authorites. In additon, these concerns could infuence public perceptons, impact the commercial viability of the products we sell and increase the costs to comply with increasingly complex regulatons, which could have a negatve impact on our business, fnancial conditon and results of operatons.</w:t>
      </w:r>
    </w:p>
    <w:p>
      <w:pPr>
        <w:spacing w:after="0" w:line="2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operate a feet of more than 350 commercial vehicles, primarily in our Water Treatment Group, which are highly regulated, including by the DOT. The DOT governs transportaton maters including authorizaton to engage in motor carrier service, including the necessary permits to conduct our businesses, equipment operaton, and safety. We are audited periodically by the DOT to ensure that we are in compliance with various safety, hours-of-service, and other rules and regulatons. If we were found to be out of compliance, the DOT could severely restrict or otherwise impact our operatons, which could have a material adverse efect on our operatons as a whole, including our results of operatons and cash fows.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violate applicable laws or regulatons, in additon to being required to correct such violatons, we could be held liable in administratve, civil or criminal proceedings for substantal fnes and other sanctons that could disrupt, limit or halt our operatons, which could have a material adverse efect on our operatons as a whole, including our results of operatons and cash fows. Liabilites associated with the investgaton and cleanup of releases of hazardous substances, as well as personal injury, property damages or natural resource damages arising out of such releases of hazardous substances, may be imposed in many situatons without regard to violatons of laws or regulatons or other fault, and may also be imposed jointly and severally (so that a responsible party may be held liable for more than its share of the losses involved, or even the entre loss). Such liabilites can be difcult to identfy and the extent of any such liabilites can be difcult to predict. We use, and in the past have used, hazardous substances at many of our facilites, and have generated, and contnue to generate, hazardous wastes at a number of our facilites. We have in the past been, and may in the future be, subject to claims relatng to exposure to hazardous materials and the associated liabilites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jc w:val="both"/>
        <w:spacing w:after="0" w:line="235" w:lineRule="auto"/>
        <w:rPr>
          <w:sz w:val="20"/>
          <w:szCs w:val="20"/>
          <w:color w:val="auto"/>
        </w:rPr>
      </w:pPr>
      <w:r>
        <w:rPr>
          <w:rFonts w:ascii="Calibri" w:cs="Calibri" w:eastAsia="Calibri" w:hAnsi="Calibri"/>
          <w:sz w:val="18"/>
          <w:szCs w:val="18"/>
          <w:b w:val="1"/>
          <w:bCs w:val="1"/>
          <w:i w:val="1"/>
          <w:iCs w:val="1"/>
          <w:color w:val="auto"/>
        </w:rPr>
        <w:t>Many of our products, partcularly our food, pharmaceutcal and health and nutriton products are subject to government regulaton, both in the United States and abroad, which could increase our costs signifcantly and limit or prevent the sale of such products.</w:t>
      </w:r>
    </w:p>
    <w:p>
      <w:pPr>
        <w:spacing w:after="0" w:line="24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manufacture, packaging, labeling, advertsing, promoton, distributon and sale of many of our products, but our food, pharmaceutcal, pestcide and health and nutriton products in partcular, are subject to regulaton by numerous natonal and local governmental agencies in the United States and other countries. The primary regulatory bodies in the United States are the Food and Drug Administraton (the “FDA”), the Environmental Protecton Agency, the United States Department of Agriculture and the Federal Trade Commission, and we are also subject to similar regulators in other countries. Failure to comply with these regulatory requirements may result in various types of penaltes or fnes. These include injunctons, product withdrawals, recalls, product seizures, fnes and criminal prosecutons. Individual states also regulate our products. A state may interpret claims or products presumptvely valid under federal law as illegal under that state’s regulatons. Approvals or licensing may be conditoned on reformulaton of products or may be unavailable with respect to certain products or product ingredients. Any of these government agencies, as well as legislatve bodies, can change existng regulatons, or impose new ones, or could take aggressive measures, causing or contributng to a variety of negatve consequences, which may include one or more of the following:</w:t>
      </w:r>
    </w:p>
    <w:p>
      <w:pPr>
        <w:spacing w:after="0" w:line="237" w:lineRule="exact"/>
        <w:rPr>
          <w:sz w:val="20"/>
          <w:szCs w:val="20"/>
          <w:color w:val="auto"/>
        </w:rPr>
      </w:pPr>
    </w:p>
    <w:p>
      <w:pPr>
        <w:ind w:left="260" w:hanging="252"/>
        <w:spacing w:after="0"/>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stopping the sale of products,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requirements for the reformulaton of certain or all products to meet new standards,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recall or discontnuance of certain or all products,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additonal record-keeping requirements,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expanded documentaton of the propertes of certain or all products,</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expanded or diferent labeling,</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adverse event tracking and reportng, and</w:t>
      </w:r>
    </w:p>
    <w:p>
      <w:pPr>
        <w:ind w:left="260" w:hanging="252"/>
        <w:spacing w:after="0" w:line="235" w:lineRule="auto"/>
        <w:tabs>
          <w:tab w:leader="none" w:pos="2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additonal scientfc substantaton.</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partcular, the FDA’s current GMPs describe policies and procedures designed to ensure that nutraceutcals, pharmaceutcals and dietary supplements are produced in a quality manner, do not contain contaminants or impurites, and are accurately labeled and cover the manufacturing, packaging, labeling and storing of products, with requirements for quality control, design and constructon of manufacturing plants, testng of ingredients and fnal products, record keeping, and complaints processes. Those who manufacture, package or store dietary supplements must comply with current GMPs. If we or our suppliers fail to comply with current GMPs, the FDA may take enforcement acton against us or our suppliers.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or all of the potental negatve consequences described above could have a material adverse efect on us or substantally increase the cost of doing business in these areas. There can be no assurance that the regulatory environment in which we operate will not change or that such regulatory environment, or any specifc acton taken against us, will not result in a material adverse efect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i w:val="1"/>
          <w:iCs w:val="1"/>
          <w:color w:val="auto"/>
        </w:rPr>
        <w:t>FINANCIAL RISKS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insurance that we maintain may not fully cover all potental exposures.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maintain lines of commercial insurance, such as property, general liability and casualty insurance, but such insurance may not cover all risks associated with the hazards of our businesses and is subject to limitatons, including deductbles and limits on the liabilites covered. We may incur losses beyond the limits or outside the coverage of our insurance policies, including liabilites for environmental remediaton and product liability. In additon, from tme to tme, various types of insurance for companies in the chemical, food or health and nutriton products industries have not been available on commercially acceptable terms or, in some cases, have not been available at all. In the future, we may not be able to obtain coverage at current levels, and our premiums may increase signifcantly on coverage that we maintain.</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comply with the covenants under our credit facility may have a material adverse efect.</w:t>
      </w:r>
    </w:p>
    <w:p>
      <w:pPr>
        <w:spacing w:after="0" w:line="15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are party to a credit agreement (the “Credit Agreement”) with U.S. Bank Natonal Associaton ("U.S. Bank") and other lenders (collectvely, the “Lenders”), which includes secured revolving credit facilites (the “Revolving Loan Facility”) totaling $250.0 million. The Revolving Loan Facility includes a $10.0 million leter of credit subfacility and $25.0 million swingline subfacility. At March 31, 2024, we had $99.0 million outstanding under the Revolving Loan Facility.</w:t>
      </w:r>
    </w:p>
    <w:p>
      <w:pPr>
        <w:spacing w:after="0" w:line="1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make payments on the Revolving Loan Facility from tme to tme. If we are unable to generate sufcient cash fow or otherwise obtain funds necessary to make payments on our credit facilites, we could be in default when the facilites become due in 2027. We are also required to comply with several fnancial covenants under the Credit Agreement. Our ability to comply with these fnancial covenants may be afected by events beyond our control, which could result in a default under the Credit Agreement; such default may have a material adverse efect on our business, fnancial conditon, operatng results or cash fows.</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its assets or rate management transactons, subject to certain limitatons. These restrictons may adversely afect our business.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Impairment to the carrying value of our goodwill or other intangible assets could adversely afect our fnancial conditon and consolidated results of operatons.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represents the excess of the cost of acquired businesses over the fair value of identfable tangible net assets and identfable intangible assets purchased. Goodwill is tested at least annually for impairment and is tested for impairment more frequently if events or changes in circumstances indicate that the asset might be impaired. A signifcant amount of judgment is involved in determining if an indicaton of impairment exists. Factors may include, among others: a signifcant decline in our expected future cash fows; a sustained, signifcant decline in our stock price and market capitalizaton; a signifcant adverse change in the business climate; unantcipated competton; and slower growth rates. An adverse change in these factors may have a signifcant impact on the recoverability of the net assets recorded, and any resultng impairment charge in the future could have a material adverse efect on our fnancial conditon and consolidated results of operatons.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evaluate the useful lives of our intangible assets to determine if they are defnite- or indefnite-lived. Reaching a determinaton on useful life requires signifcant judgments and assumptons regarding the future efects of obsolescence, demand, competton, other economic factors (such as the stability of the industry, legislatve acton that results in an uncertain or changing regulatory environment, and expected changes in distributon channels), and the expected lives of other related groups of assets.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accurately predict the amount and tming of any impairment of goodwill and other intangible assets. Should the value of these assets become impaired, there could be a material adverse efect on our fnancial conditon and consolidated results of operatons.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1B. </w:t>
      </w:r>
      <w:r>
        <w:rPr>
          <w:rFonts w:ascii="Calibri" w:cs="Calibri" w:eastAsia="Calibri" w:hAnsi="Calibri"/>
          <w:sz w:val="18"/>
          <w:szCs w:val="18"/>
          <w:b w:val="1"/>
          <w:bCs w:val="1"/>
          <w:i w:val="1"/>
          <w:iCs w:val="1"/>
          <w:color w:val="auto"/>
        </w:rPr>
        <w:t>UNRESOLVED STAFF COMMENTS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 xml:space="preserve">ITEM 1C. </w:t>
      </w:r>
      <w:r>
        <w:rPr>
          <w:rFonts w:ascii="Calibri" w:cs="Calibri" w:eastAsia="Calibri" w:hAnsi="Calibri"/>
          <w:sz w:val="18"/>
          <w:szCs w:val="18"/>
          <w:b w:val="1"/>
          <w:bCs w:val="1"/>
          <w:i w:val="1"/>
          <w:iCs w:val="1"/>
          <w:color w:val="auto"/>
        </w:rPr>
        <w:t>CYBERSECURITY</w:t>
      </w:r>
    </w:p>
    <w:p>
      <w:pPr>
        <w:spacing w:after="0" w:line="339"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Hawkins is commited to maintaining robust cybersecurity practces to safeguard our operatons, data, and stakeholders' interests. We monitor our cybersecurity landscape and adapt our strategies and governance practces to mitgate risks in this rapidly evolving area.</w:t>
      </w:r>
    </w:p>
    <w:p>
      <w:pPr>
        <w:spacing w:after="0" w:line="232" w:lineRule="exact"/>
        <w:rPr>
          <w:sz w:val="20"/>
          <w:szCs w:val="20"/>
          <w:color w:val="auto"/>
        </w:rPr>
      </w:pPr>
    </w:p>
    <w:p>
      <w:pPr>
        <w:jc w:val="both"/>
        <w:spacing w:after="0" w:line="215" w:lineRule="auto"/>
        <w:rPr>
          <w:sz w:val="20"/>
          <w:szCs w:val="20"/>
          <w:color w:val="auto"/>
        </w:rPr>
      </w:pPr>
      <w:r>
        <w:rPr>
          <w:rFonts w:ascii="Calibri" w:cs="Calibri" w:eastAsia="Calibri" w:hAnsi="Calibri"/>
          <w:sz w:val="18"/>
          <w:szCs w:val="18"/>
          <w:color w:val="auto"/>
        </w:rPr>
        <w:t>The Company acknowledges that cybersecurity threats present a risk of material adverse impacts on our operatons, reputaton, and fnancial conditon. Cybersecurity threats are contnuously evolving, becoming more sophistcated, and increasing in frequency. For Hawkins, these threats can potentally lead to data breaches, thef of intellectual property, operatonal disruptons, damage to persons and property, and fnancial losses. We have a comprehensive cybersecurity risk management strategy designed to promptly identfy, assess, and mitgate the risk of occurrence and impact from cybersecurity threats. Despite our eforts, it is not possible to completely identfy, prevent or mitgate the impacts of cybersecurity threats.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Cybersecurity Governance</w:t>
      </w:r>
    </w:p>
    <w:p>
      <w:pPr>
        <w:spacing w:after="0" w:line="217"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Our Board of Directors is primarily responsible for oversight of risks from cybersecurity threats. Our audit commitee is specifcally responsible for oversight of cybersecurity risks within the Board of Directors. The audit commitee is informed of our cybersecurity risk management practces at regularly scheduled meetngs, including:</w:t>
      </w:r>
    </w:p>
    <w:p>
      <w:pPr>
        <w:ind w:left="640" w:hanging="308"/>
        <w:spacing w:after="0" w:line="208" w:lineRule="auto"/>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cybersecurity policies and strategies.</w:t>
      </w:r>
    </w:p>
    <w:p>
      <w:pPr>
        <w:ind w:left="640" w:hanging="308"/>
        <w:spacing w:after="0" w:line="206" w:lineRule="auto"/>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Incident response and recovery plans.</w:t>
      </w:r>
    </w:p>
    <w:p>
      <w:pPr>
        <w:ind w:left="640" w:hanging="308"/>
        <w:spacing w:after="0" w:line="206" w:lineRule="auto"/>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Employee training and awareness programs.</w:t>
      </w:r>
    </w:p>
    <w:p>
      <w:pPr>
        <w:ind w:left="640" w:hanging="308"/>
        <w:spacing w:after="0" w:line="221" w:lineRule="auto"/>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Cybersecurity audits and engagement with external cybersecurity experts and advisors on an as-needed basis.</w:t>
      </w:r>
    </w:p>
    <w:p>
      <w:pPr>
        <w:spacing w:after="0" w:line="217" w:lineRule="exact"/>
        <w:rPr>
          <w:sz w:val="20"/>
          <w:szCs w:val="20"/>
          <w:color w:val="auto"/>
        </w:rPr>
      </w:pPr>
    </w:p>
    <w:p>
      <w:pPr>
        <w:jc w:val="both"/>
        <w:spacing w:after="0" w:line="213" w:lineRule="auto"/>
        <w:rPr>
          <w:sz w:val="20"/>
          <w:szCs w:val="20"/>
          <w:color w:val="auto"/>
        </w:rPr>
      </w:pPr>
      <w:r>
        <w:rPr>
          <w:rFonts w:ascii="Calibri" w:cs="Calibri" w:eastAsia="Calibri" w:hAnsi="Calibri"/>
          <w:sz w:val="18"/>
          <w:szCs w:val="18"/>
          <w:color w:val="auto"/>
        </w:rPr>
        <w:t>Our Chief Informaton Ofcer ("CIO") is responsible for implementng our cybersecurity strategy, developing policies and procedures, and ensuring that appropriate resources are allocated to cybersecurity initatves. The CIO and senior network and security resources at Hawkins have decades of experience in cybersecurity practces and compliance. The CIO is contnually informed about the latest threats and developments in cybersecurity, including potental threats and innovatve risk management techniques. This ongoing knowledge acquisiton is important for the efectve preventon, detecton, mitgaton, and remediaton of cybersecurity incidents. The CIO implements and oversees processes based on the Natonal Insttute of Standards and Technology ("NIST") cybersecurity framework and is responsible for the regular monitoring of our informaton systems. This includes the deployment of advanced security measures and regular system audits to identfy potental vulnerabilites. Management reports at least twice yearly to the audit commitee on the status of our cybersecurity eforts, including assessments of signifcant risks identfed and actons designed to mitgate such risks.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Cybersecurity Risk Management and Strategy</w:t>
      </w:r>
    </w:p>
    <w:p>
      <w:pPr>
        <w:spacing w:after="0" w:line="21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Our cybersecurity risk management strategy is a separate component of our overall risk management process and is designed to protect our assets, including informaton technology systems, data, and operatons, from cybersecurity threats. This involves:</w:t>
      </w:r>
    </w:p>
    <w:p>
      <w:pPr>
        <w:ind w:left="640" w:hanging="308"/>
        <w:spacing w:after="0" w:line="208" w:lineRule="auto"/>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Contnuous monitoring and assessment of our cybersecurity posture.</w:t>
      </w:r>
    </w:p>
    <w:p>
      <w:pPr>
        <w:ind w:left="640" w:hanging="308"/>
        <w:spacing w:after="0" w:line="206" w:lineRule="auto"/>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Implementaton of security measures such as frewalls, intrusion detecton systems, and encrypton.</w:t>
      </w:r>
    </w:p>
    <w:p>
      <w:pPr>
        <w:ind w:left="640" w:hanging="308"/>
        <w:spacing w:after="0" w:line="206" w:lineRule="auto"/>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Ongoing cybersecurity training and testng of our employees.</w:t>
      </w:r>
    </w:p>
    <w:p>
      <w:pPr>
        <w:ind w:left="640" w:hanging="308"/>
        <w:spacing w:after="0" w:line="221" w:lineRule="auto"/>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Regular cybersecurity assessments and penetraton testng.</w:t>
      </w:r>
    </w:p>
    <w:p>
      <w:pPr>
        <w:ind w:left="640" w:hanging="308"/>
        <w:spacing w:after="0" w:line="206" w:lineRule="auto"/>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Vendor risk management to ensure third-party compliance with our cybersecurity standards.</w:t>
      </w:r>
    </w:p>
    <w:p>
      <w:pPr>
        <w:spacing w:after="0" w:line="217" w:lineRule="exact"/>
        <w:rPr>
          <w:sz w:val="20"/>
          <w:szCs w:val="20"/>
          <w:color w:val="auto"/>
        </w:rPr>
      </w:pPr>
    </w:p>
    <w:p>
      <w:pPr>
        <w:jc w:val="both"/>
        <w:spacing w:after="0" w:line="217" w:lineRule="auto"/>
        <w:rPr>
          <w:sz w:val="20"/>
          <w:szCs w:val="20"/>
          <w:color w:val="auto"/>
        </w:rPr>
      </w:pPr>
      <w:r>
        <w:rPr>
          <w:rFonts w:ascii="Calibri" w:cs="Calibri" w:eastAsia="Calibri" w:hAnsi="Calibri"/>
          <w:sz w:val="18"/>
          <w:szCs w:val="18"/>
          <w:color w:val="auto"/>
        </w:rPr>
        <w:t>We also maintain an incident response plan ("IRP") that outlines procedures for responding to cybersecurity incidents, minimizing their impact, and communicatng with relevant stakeholders, including regulators, customers, and employees. During a cyber incident, our CIO and network security team assess the severity of the incident and notfy key management and (if deemed necessary) our audit commitee as promptly as practcable. Our incident plan is reviewed annually and updated as appropriate to address evolving threats and our business conditons.</w:t>
      </w:r>
    </w:p>
    <w:p>
      <w:pPr>
        <w:spacing w:after="0" w:line="218" w:lineRule="exact"/>
        <w:rPr>
          <w:sz w:val="20"/>
          <w:szCs w:val="20"/>
          <w:color w:val="auto"/>
        </w:rPr>
      </w:pPr>
    </w:p>
    <w:p>
      <w:pPr>
        <w:jc w:val="both"/>
        <w:spacing w:after="0" w:line="215" w:lineRule="auto"/>
        <w:rPr>
          <w:sz w:val="20"/>
          <w:szCs w:val="20"/>
          <w:color w:val="auto"/>
        </w:rPr>
      </w:pPr>
      <w:r>
        <w:rPr>
          <w:rFonts w:ascii="Calibri" w:cs="Calibri" w:eastAsia="Calibri" w:hAnsi="Calibri"/>
          <w:sz w:val="18"/>
          <w:szCs w:val="18"/>
          <w:color w:val="auto"/>
        </w:rPr>
        <w:t>In the normal course of business, we experience cybersecurity threats and atempted breaches of our systems and network. We classify and track these events based on signifcance and implement remediaton actons that we consider appropriate to address the risks relatng to such incidents. We have not experienced any cybersecurity incident and the risks presented by cybersecurity threats have not materially impacted our business strategy, results of operatons or fnancial conditon. However, even well-designed and implemented cybersecurity programs cannot completely eliminate cybersecurity threats, and we cannot guarantee that such events or material impacts will not occur in the future.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color w:val="auto"/>
        </w:rPr>
        <w:t xml:space="preserve">ITEM 2. </w:t>
      </w:r>
      <w:r>
        <w:rPr>
          <w:rFonts w:ascii="Calibri" w:cs="Calibri" w:eastAsia="Calibri" w:hAnsi="Calibri"/>
          <w:sz w:val="18"/>
          <w:szCs w:val="18"/>
          <w:b w:val="1"/>
          <w:bCs w:val="1"/>
          <w:i w:val="1"/>
          <w:iCs w:val="1"/>
          <w:color w:val="auto"/>
        </w:rPr>
        <w:t>PROPERTIES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facilites material to our operatons consist of our locatons described below. In additon to the facilites listed below, our Water Treatment group operates out of several additonal warehouse locatons, the majority of which are owned by us. We believe that our facilites are adequate and suitable for the purposes they serve. Unless noted, each facility listed below is owned by us and is primarily used as ofce and warehouse space. We believe that we carry customary levels of insurance covering the replacement of damaged property.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34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Group</w:t>
            </w:r>
          </w:p>
        </w:tc>
        <w:tc>
          <w:tcPr>
            <w:tcW w:w="3520" w:type="dxa"/>
            <w:vAlign w:val="bottom"/>
            <w:gridSpan w:val="2"/>
            <w:vMerge w:val="restart"/>
          </w:tcPr>
          <w:p>
            <w:pPr>
              <w:jc w:val="center"/>
              <w:ind w:left="211"/>
              <w:spacing w:after="0"/>
              <w:rPr>
                <w:sz w:val="20"/>
                <w:szCs w:val="20"/>
                <w:color w:val="auto"/>
              </w:rPr>
            </w:pPr>
            <w:r>
              <w:rPr>
                <w:rFonts w:ascii="Calibri" w:cs="Calibri" w:eastAsia="Calibri" w:hAnsi="Calibri"/>
                <w:sz w:val="14"/>
                <w:szCs w:val="14"/>
                <w:b w:val="1"/>
                <w:bCs w:val="1"/>
                <w:color w:val="auto"/>
              </w:rPr>
              <w:t>Locaton</w:t>
            </w:r>
          </w:p>
        </w:tc>
        <w:tc>
          <w:tcPr>
            <w:tcW w:w="1780" w:type="dxa"/>
            <w:vAlign w:val="bottom"/>
            <w:gridSpan w:val="2"/>
            <w:vMerge w:val="restart"/>
          </w:tcPr>
          <w:p>
            <w:pPr>
              <w:jc w:val="center"/>
              <w:ind w:right="400"/>
              <w:spacing w:after="0"/>
              <w:rPr>
                <w:sz w:val="20"/>
                <w:szCs w:val="20"/>
                <w:color w:val="auto"/>
              </w:rPr>
            </w:pPr>
            <w:r>
              <w:rPr>
                <w:rFonts w:ascii="Calibri" w:cs="Calibri" w:eastAsia="Calibri" w:hAnsi="Calibri"/>
                <w:sz w:val="18"/>
                <w:szCs w:val="18"/>
                <w:b w:val="1"/>
                <w:bCs w:val="1"/>
                <w:color w:val="auto"/>
                <w:w w:val="98"/>
              </w:rPr>
              <w:t>Rail/Barge Access</w:t>
            </w:r>
          </w:p>
        </w:tc>
        <w:tc>
          <w:tcPr>
            <w:tcW w:w="17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Approx.</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440" w:type="dxa"/>
            <w:vAlign w:val="bottom"/>
            <w:vMerge w:val="continue"/>
          </w:tcPr>
          <w:p>
            <w:pPr>
              <w:spacing w:after="0"/>
              <w:rPr>
                <w:sz w:val="15"/>
                <w:szCs w:val="15"/>
                <w:color w:val="auto"/>
              </w:rPr>
            </w:pPr>
          </w:p>
        </w:tc>
        <w:tc>
          <w:tcPr>
            <w:tcW w:w="35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80" w:type="dxa"/>
            <w:vAlign w:val="bottom"/>
          </w:tcPr>
          <w:p>
            <w:pPr>
              <w:jc w:val="center"/>
              <w:spacing w:after="0"/>
              <w:rPr>
                <w:sz w:val="20"/>
                <w:szCs w:val="20"/>
                <w:color w:val="auto"/>
              </w:rPr>
            </w:pPr>
            <w:r>
              <w:rPr>
                <w:rFonts w:ascii="Calibri" w:cs="Calibri" w:eastAsia="Calibri" w:hAnsi="Calibri"/>
                <w:sz w:val="14"/>
                <w:szCs w:val="14"/>
                <w:b w:val="1"/>
                <w:bCs w:val="1"/>
                <w:color w:val="auto"/>
              </w:rPr>
              <w:t>Square Feet</w:t>
            </w:r>
          </w:p>
        </w:tc>
        <w:tc>
          <w:tcPr>
            <w:tcW w:w="0" w:type="dxa"/>
            <w:vAlign w:val="bottom"/>
          </w:tcPr>
          <w:p>
            <w:pPr>
              <w:spacing w:after="0"/>
              <w:rPr>
                <w:sz w:val="1"/>
                <w:szCs w:val="1"/>
                <w:color w:val="auto"/>
              </w:rPr>
            </w:pPr>
          </w:p>
        </w:tc>
      </w:tr>
      <w:tr>
        <w:trPr>
          <w:trHeight w:val="23"/>
        </w:trPr>
        <w:tc>
          <w:tcPr>
            <w:tcW w:w="60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spacing w:after="0"/>
              <w:rPr>
                <w:sz w:val="19"/>
                <w:szCs w:val="19"/>
                <w:color w:val="auto"/>
              </w:rPr>
            </w:pPr>
          </w:p>
        </w:tc>
        <w:tc>
          <w:tcPr>
            <w:tcW w:w="34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Corporate headquarters</w:t>
            </w:r>
          </w:p>
        </w:tc>
        <w:tc>
          <w:tcPr>
            <w:tcW w:w="3140" w:type="dxa"/>
            <w:vAlign w:val="bottom"/>
            <w:shd w:val="clear" w:color="auto" w:fill="CCEEFF"/>
          </w:tcPr>
          <w:p>
            <w:pPr>
              <w:jc w:val="center"/>
              <w:ind w:left="591"/>
              <w:spacing w:after="0" w:line="215" w:lineRule="exact"/>
              <w:rPr>
                <w:sz w:val="20"/>
                <w:szCs w:val="20"/>
                <w:color w:val="auto"/>
              </w:rPr>
            </w:pPr>
            <w:r>
              <w:rPr>
                <w:rFonts w:ascii="Calibri" w:cs="Calibri" w:eastAsia="Calibri" w:hAnsi="Calibri"/>
                <w:sz w:val="18"/>
                <w:szCs w:val="18"/>
                <w:color w:val="auto"/>
                <w:w w:val="97"/>
              </w:rPr>
              <w:t>Roseville, MN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9"/>
              </w:rPr>
              <w:t>50,000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ind w:left="20"/>
              <w:spacing w:after="0" w:line="215" w:lineRule="exact"/>
              <w:rPr>
                <w:sz w:val="20"/>
                <w:szCs w:val="20"/>
                <w:color w:val="auto"/>
              </w:rPr>
            </w:pPr>
            <w:r>
              <w:rPr>
                <w:rFonts w:ascii="Calibri" w:cs="Calibri" w:eastAsia="Calibri" w:hAnsi="Calibri"/>
                <w:sz w:val="18"/>
                <w:szCs w:val="18"/>
                <w:color w:val="auto"/>
              </w:rPr>
              <w:t>Health and Nutriton</w:t>
            </w:r>
          </w:p>
        </w:tc>
        <w:tc>
          <w:tcPr>
            <w:tcW w:w="3520" w:type="dxa"/>
            <w:vAlign w:val="bottom"/>
            <w:gridSpan w:val="2"/>
          </w:tcPr>
          <w:p>
            <w:pPr>
              <w:jc w:val="center"/>
              <w:ind w:left="191"/>
              <w:spacing w:after="0" w:line="215" w:lineRule="exact"/>
              <w:rPr>
                <w:sz w:val="20"/>
                <w:szCs w:val="20"/>
                <w:color w:val="auto"/>
              </w:rPr>
            </w:pPr>
            <w:r>
              <w:rPr>
                <w:rFonts w:ascii="Calibri" w:cs="Calibri" w:eastAsia="Calibri" w:hAnsi="Calibri"/>
                <w:sz w:val="18"/>
                <w:szCs w:val="18"/>
                <w:color w:val="auto"/>
                <w:w w:val="97"/>
              </w:rPr>
              <w:t>Fullerton, CA (1)</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56,000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center"/>
              <w:ind w:left="211"/>
              <w:spacing w:after="0"/>
              <w:rPr>
                <w:sz w:val="20"/>
                <w:szCs w:val="20"/>
                <w:color w:val="auto"/>
              </w:rPr>
            </w:pPr>
            <w:r>
              <w:rPr>
                <w:rFonts w:ascii="Calibri" w:cs="Calibri" w:eastAsia="Calibri" w:hAnsi="Calibri"/>
                <w:sz w:val="18"/>
                <w:szCs w:val="18"/>
                <w:color w:val="auto"/>
                <w:w w:val="98"/>
              </w:rPr>
              <w:t>Florida, NY (2)</w:t>
            </w:r>
          </w:p>
        </w:tc>
        <w:tc>
          <w:tcPr>
            <w:tcW w:w="1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7"/>
              </w:rPr>
              <w:t>107,000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ind w:left="20"/>
              <w:spacing w:after="0" w:line="215" w:lineRule="exact"/>
              <w:rPr>
                <w:sz w:val="20"/>
                <w:szCs w:val="20"/>
                <w:color w:val="auto"/>
              </w:rPr>
            </w:pPr>
            <w:r>
              <w:rPr>
                <w:rFonts w:ascii="Calibri" w:cs="Calibri" w:eastAsia="Calibri" w:hAnsi="Calibri"/>
                <w:sz w:val="18"/>
                <w:szCs w:val="18"/>
                <w:color w:val="auto"/>
              </w:rPr>
              <w:t>Industrial</w:t>
            </w:r>
          </w:p>
        </w:tc>
        <w:tc>
          <w:tcPr>
            <w:tcW w:w="3520" w:type="dxa"/>
            <w:vAlign w:val="bottom"/>
            <w:gridSpan w:val="2"/>
          </w:tcPr>
          <w:p>
            <w:pPr>
              <w:jc w:val="center"/>
              <w:ind w:left="211"/>
              <w:spacing w:after="0" w:line="215" w:lineRule="exact"/>
              <w:rPr>
                <w:sz w:val="20"/>
                <w:szCs w:val="20"/>
                <w:color w:val="auto"/>
              </w:rPr>
            </w:pPr>
            <w:r>
              <w:rPr>
                <w:rFonts w:ascii="Calibri" w:cs="Calibri" w:eastAsia="Calibri" w:hAnsi="Calibri"/>
                <w:sz w:val="18"/>
                <w:szCs w:val="18"/>
                <w:color w:val="auto"/>
                <w:w w:val="97"/>
              </w:rPr>
              <w:t>Minneapolis, MN (3)</w:t>
            </w:r>
          </w:p>
        </w:tc>
        <w:tc>
          <w:tcPr>
            <w:tcW w:w="178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Rail</w:t>
            </w: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177,000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center"/>
              <w:ind w:left="211"/>
              <w:spacing w:after="0"/>
              <w:rPr>
                <w:sz w:val="20"/>
                <w:szCs w:val="20"/>
                <w:color w:val="auto"/>
              </w:rPr>
            </w:pPr>
            <w:r>
              <w:rPr>
                <w:rFonts w:ascii="Calibri" w:cs="Calibri" w:eastAsia="Calibri" w:hAnsi="Calibri"/>
                <w:sz w:val="18"/>
                <w:szCs w:val="18"/>
                <w:color w:val="auto"/>
                <w:w w:val="95"/>
              </w:rPr>
              <w:t>Centralia, IL (3)</w:t>
            </w:r>
          </w:p>
        </w:tc>
        <w:tc>
          <w:tcPr>
            <w:tcW w:w="178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7"/>
              </w:rPr>
              <w:t>Rail</w:t>
            </w: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7"/>
              </w:rPr>
              <w:t>121,000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520" w:type="dxa"/>
            <w:vAlign w:val="bottom"/>
            <w:gridSpan w:val="2"/>
          </w:tcPr>
          <w:p>
            <w:pPr>
              <w:jc w:val="center"/>
              <w:ind w:left="211"/>
              <w:spacing w:after="0" w:line="215" w:lineRule="exact"/>
              <w:rPr>
                <w:sz w:val="20"/>
                <w:szCs w:val="20"/>
                <w:color w:val="auto"/>
              </w:rPr>
            </w:pPr>
            <w:r>
              <w:rPr>
                <w:rFonts w:ascii="Calibri" w:cs="Calibri" w:eastAsia="Calibri" w:hAnsi="Calibri"/>
                <w:sz w:val="18"/>
                <w:szCs w:val="18"/>
                <w:color w:val="auto"/>
                <w:w w:val="97"/>
              </w:rPr>
              <w:t>Dupo, IL (3) (4)</w:t>
            </w:r>
          </w:p>
        </w:tc>
        <w:tc>
          <w:tcPr>
            <w:tcW w:w="178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Rail</w:t>
            </w: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64,000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center"/>
              <w:ind w:left="211"/>
              <w:spacing w:after="0"/>
              <w:rPr>
                <w:sz w:val="20"/>
                <w:szCs w:val="20"/>
                <w:color w:val="auto"/>
              </w:rPr>
            </w:pPr>
            <w:r>
              <w:rPr>
                <w:rFonts w:ascii="Calibri" w:cs="Calibri" w:eastAsia="Calibri" w:hAnsi="Calibri"/>
                <w:sz w:val="18"/>
                <w:szCs w:val="18"/>
                <w:color w:val="auto"/>
                <w:w w:val="96"/>
              </w:rPr>
              <w:t>St. Paul, MN (3) (5)</w:t>
            </w:r>
          </w:p>
        </w:tc>
        <w:tc>
          <w:tcPr>
            <w:tcW w:w="178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7"/>
              </w:rPr>
              <w:t>Rail/Barge</w:t>
            </w: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32,000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520" w:type="dxa"/>
            <w:vAlign w:val="bottom"/>
            <w:gridSpan w:val="2"/>
          </w:tcPr>
          <w:p>
            <w:pPr>
              <w:jc w:val="center"/>
              <w:ind w:left="191"/>
              <w:spacing w:after="0" w:line="215" w:lineRule="exact"/>
              <w:rPr>
                <w:sz w:val="20"/>
                <w:szCs w:val="20"/>
                <w:color w:val="auto"/>
              </w:rPr>
            </w:pPr>
            <w:r>
              <w:rPr>
                <w:rFonts w:ascii="Calibri" w:cs="Calibri" w:eastAsia="Calibri" w:hAnsi="Calibri"/>
                <w:sz w:val="18"/>
                <w:szCs w:val="18"/>
                <w:color w:val="auto"/>
                <w:w w:val="97"/>
              </w:rPr>
              <w:t>Rosemount, MN (3)</w:t>
            </w:r>
          </w:p>
        </w:tc>
        <w:tc>
          <w:tcPr>
            <w:tcW w:w="178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Rail</w:t>
            </w: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153,000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Industrial and Water Treatment</w:t>
            </w:r>
          </w:p>
        </w:tc>
        <w:tc>
          <w:tcPr>
            <w:tcW w:w="3520" w:type="dxa"/>
            <w:vAlign w:val="bottom"/>
            <w:gridSpan w:val="2"/>
            <w:shd w:val="clear" w:color="auto" w:fill="CCEEFF"/>
          </w:tcPr>
          <w:p>
            <w:pPr>
              <w:jc w:val="center"/>
              <w:ind w:left="211"/>
              <w:spacing w:after="0"/>
              <w:rPr>
                <w:sz w:val="20"/>
                <w:szCs w:val="20"/>
                <w:color w:val="auto"/>
              </w:rPr>
            </w:pPr>
            <w:r>
              <w:rPr>
                <w:rFonts w:ascii="Calibri" w:cs="Calibri" w:eastAsia="Calibri" w:hAnsi="Calibri"/>
                <w:sz w:val="18"/>
                <w:szCs w:val="18"/>
                <w:color w:val="auto"/>
                <w:w w:val="96"/>
              </w:rPr>
              <w:t>St. Paul, MN (3) (5)</w:t>
            </w:r>
          </w:p>
        </w:tc>
        <w:tc>
          <w:tcPr>
            <w:tcW w:w="178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7"/>
              </w:rPr>
              <w:t>Rail/Barge</w:t>
            </w: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59,000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520" w:type="dxa"/>
            <w:vAlign w:val="bottom"/>
            <w:gridSpan w:val="2"/>
          </w:tcPr>
          <w:p>
            <w:pPr>
              <w:jc w:val="center"/>
              <w:ind w:left="211"/>
              <w:spacing w:after="0" w:line="215" w:lineRule="exact"/>
              <w:rPr>
                <w:sz w:val="20"/>
                <w:szCs w:val="20"/>
                <w:color w:val="auto"/>
              </w:rPr>
            </w:pPr>
            <w:r>
              <w:rPr>
                <w:rFonts w:ascii="Calibri" w:cs="Calibri" w:eastAsia="Calibri" w:hAnsi="Calibri"/>
                <w:sz w:val="18"/>
                <w:szCs w:val="18"/>
                <w:color w:val="auto"/>
                <w:w w:val="98"/>
              </w:rPr>
              <w:t>Camanche, IA (3)</w:t>
            </w:r>
          </w:p>
        </w:tc>
        <w:tc>
          <w:tcPr>
            <w:tcW w:w="178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Rail/Barge</w:t>
            </w: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95,000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center"/>
              <w:ind w:left="211"/>
              <w:spacing w:after="0"/>
              <w:rPr>
                <w:sz w:val="20"/>
                <w:szCs w:val="20"/>
                <w:color w:val="auto"/>
              </w:rPr>
            </w:pPr>
            <w:r>
              <w:rPr>
                <w:rFonts w:ascii="Calibri" w:cs="Calibri" w:eastAsia="Calibri" w:hAnsi="Calibri"/>
                <w:sz w:val="18"/>
                <w:szCs w:val="18"/>
                <w:color w:val="auto"/>
                <w:w w:val="96"/>
              </w:rPr>
              <w:t>Memphis, TN (3)</w:t>
            </w:r>
          </w:p>
        </w:tc>
        <w:tc>
          <w:tcPr>
            <w:tcW w:w="1780" w:type="dxa"/>
            <w:vAlign w:val="bottom"/>
            <w:gridSpan w:val="2"/>
            <w:shd w:val="clear" w:color="auto" w:fill="CCEEFF"/>
          </w:tcPr>
          <w:p>
            <w:pPr>
              <w:jc w:val="center"/>
              <w:ind w:right="400"/>
              <w:spacing w:after="0"/>
              <w:rPr>
                <w:sz w:val="20"/>
                <w:szCs w:val="20"/>
                <w:color w:val="auto"/>
              </w:rPr>
            </w:pPr>
            <w:r>
              <w:rPr>
                <w:rFonts w:ascii="Calibri" w:cs="Calibri" w:eastAsia="Calibri" w:hAnsi="Calibri"/>
                <w:sz w:val="18"/>
                <w:szCs w:val="18"/>
                <w:color w:val="auto"/>
                <w:w w:val="97"/>
              </w:rPr>
              <w:t>Rail/Barge</w:t>
            </w: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41,000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ind w:left="20"/>
              <w:spacing w:after="0" w:line="215" w:lineRule="exact"/>
              <w:rPr>
                <w:sz w:val="20"/>
                <w:szCs w:val="20"/>
                <w:color w:val="auto"/>
              </w:rPr>
            </w:pPr>
            <w:r>
              <w:rPr>
                <w:rFonts w:ascii="Calibri" w:cs="Calibri" w:eastAsia="Calibri" w:hAnsi="Calibri"/>
                <w:sz w:val="18"/>
                <w:szCs w:val="18"/>
                <w:color w:val="auto"/>
              </w:rPr>
              <w:t>Water Treatment</w:t>
            </w:r>
          </w:p>
        </w:tc>
        <w:tc>
          <w:tcPr>
            <w:tcW w:w="3520" w:type="dxa"/>
            <w:vAlign w:val="bottom"/>
            <w:gridSpan w:val="2"/>
          </w:tcPr>
          <w:p>
            <w:pPr>
              <w:jc w:val="center"/>
              <w:ind w:left="211"/>
              <w:spacing w:after="0" w:line="215" w:lineRule="exact"/>
              <w:rPr>
                <w:sz w:val="20"/>
                <w:szCs w:val="20"/>
                <w:color w:val="auto"/>
              </w:rPr>
            </w:pPr>
            <w:r>
              <w:rPr>
                <w:rFonts w:ascii="Calibri" w:cs="Calibri" w:eastAsia="Calibri" w:hAnsi="Calibri"/>
                <w:sz w:val="18"/>
                <w:szCs w:val="18"/>
                <w:color w:val="auto"/>
                <w:w w:val="97"/>
              </w:rPr>
              <w:t>Apopka, FL (3)</w:t>
            </w:r>
          </w:p>
        </w:tc>
        <w:tc>
          <w:tcPr>
            <w:tcW w:w="178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Rail</w:t>
            </w: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32,000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center"/>
              <w:ind w:left="211"/>
              <w:spacing w:after="0"/>
              <w:rPr>
                <w:sz w:val="20"/>
                <w:szCs w:val="20"/>
                <w:color w:val="auto"/>
              </w:rPr>
            </w:pPr>
            <w:r>
              <w:rPr>
                <w:rFonts w:ascii="Calibri" w:cs="Calibri" w:eastAsia="Calibri" w:hAnsi="Calibri"/>
                <w:sz w:val="18"/>
                <w:szCs w:val="18"/>
                <w:color w:val="auto"/>
                <w:w w:val="94"/>
              </w:rPr>
              <w:t>Camby, IN (3)</w:t>
            </w:r>
          </w:p>
        </w:tc>
        <w:tc>
          <w:tcPr>
            <w:tcW w:w="1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41,000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520" w:type="dxa"/>
            <w:vAlign w:val="bottom"/>
            <w:gridSpan w:val="2"/>
          </w:tcPr>
          <w:p>
            <w:pPr>
              <w:jc w:val="center"/>
              <w:ind w:left="211"/>
              <w:spacing w:after="0" w:line="215" w:lineRule="exact"/>
              <w:rPr>
                <w:sz w:val="20"/>
                <w:szCs w:val="20"/>
                <w:color w:val="auto"/>
              </w:rPr>
            </w:pPr>
            <w:r>
              <w:rPr>
                <w:rFonts w:ascii="Calibri" w:cs="Calibri" w:eastAsia="Calibri" w:hAnsi="Calibri"/>
                <w:sz w:val="18"/>
                <w:szCs w:val="18"/>
                <w:color w:val="auto"/>
                <w:w w:val="96"/>
              </w:rPr>
              <w:t>Fairborn, OH (6)</w:t>
            </w:r>
          </w:p>
        </w:tc>
        <w:tc>
          <w:tcPr>
            <w:tcW w:w="1780" w:type="dxa"/>
            <w:vAlign w:val="bottom"/>
            <w:gridSpan w:val="2"/>
          </w:tcPr>
          <w:p>
            <w:pPr>
              <w:jc w:val="center"/>
              <w:ind w:right="400"/>
              <w:spacing w:after="0" w:line="215" w:lineRule="exact"/>
              <w:rPr>
                <w:sz w:val="20"/>
                <w:szCs w:val="20"/>
                <w:color w:val="auto"/>
              </w:rPr>
            </w:pPr>
            <w:r>
              <w:rPr>
                <w:rFonts w:ascii="Calibri" w:cs="Calibri" w:eastAsia="Calibri" w:hAnsi="Calibri"/>
                <w:sz w:val="18"/>
                <w:szCs w:val="18"/>
                <w:color w:val="auto"/>
                <w:w w:val="97"/>
              </w:rPr>
              <w:t>Rail</w:t>
            </w: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7,000</w:t>
            </w:r>
          </w:p>
        </w:tc>
        <w:tc>
          <w:tcPr>
            <w:tcW w:w="0" w:type="dxa"/>
            <w:vAlign w:val="bottom"/>
          </w:tcPr>
          <w:p>
            <w:pPr>
              <w:spacing w:after="0"/>
              <w:rPr>
                <w:sz w:val="1"/>
                <w:szCs w:val="1"/>
                <w:color w:val="auto"/>
              </w:rPr>
            </w:pPr>
          </w:p>
        </w:tc>
      </w:tr>
      <w:tr>
        <w:trPr>
          <w:trHeight w:val="237"/>
        </w:trPr>
        <w:tc>
          <w:tcPr>
            <w:tcW w:w="6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center"/>
              <w:ind w:left="191"/>
              <w:spacing w:after="0"/>
              <w:rPr>
                <w:sz w:val="20"/>
                <w:szCs w:val="20"/>
                <w:color w:val="auto"/>
              </w:rPr>
            </w:pPr>
            <w:r>
              <w:rPr>
                <w:rFonts w:ascii="Calibri" w:cs="Calibri" w:eastAsia="Calibri" w:hAnsi="Calibri"/>
                <w:sz w:val="18"/>
                <w:szCs w:val="18"/>
                <w:color w:val="auto"/>
              </w:rPr>
              <w:t>Fayeteville, TN (3)</w:t>
            </w:r>
          </w:p>
        </w:tc>
        <w:tc>
          <w:tcPr>
            <w:tcW w:w="1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54,000</w:t>
            </w: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gridSpan w:val="2"/>
          </w:tcPr>
          <w:p>
            <w:pPr>
              <w:jc w:val="center"/>
              <w:ind w:left="211"/>
              <w:spacing w:after="0" w:line="215" w:lineRule="exact"/>
              <w:rPr>
                <w:sz w:val="20"/>
                <w:szCs w:val="20"/>
                <w:color w:val="auto"/>
              </w:rPr>
            </w:pPr>
            <w:r>
              <w:rPr>
                <w:rFonts w:ascii="Calibri" w:cs="Calibri" w:eastAsia="Calibri" w:hAnsi="Calibri"/>
                <w:sz w:val="18"/>
                <w:szCs w:val="18"/>
                <w:color w:val="auto"/>
                <w:w w:val="95"/>
              </w:rPr>
              <w:t>Sulphur, LA (3)</w:t>
            </w: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30,000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hanging="309"/>
        <w:spacing w:after="0"/>
        <w:tabs>
          <w:tab w:leader="none" w:pos="5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This is a leased facility comprising administratve ofces and a distributon facility. The lease runs through January 2026.</w:t>
      </w:r>
    </w:p>
    <w:p>
      <w:pPr>
        <w:spacing w:after="0" w:line="95" w:lineRule="exact"/>
        <w:rPr>
          <w:rFonts w:ascii="Calibri" w:cs="Calibri" w:eastAsia="Calibri" w:hAnsi="Calibri"/>
          <w:sz w:val="18"/>
          <w:szCs w:val="18"/>
          <w:color w:val="auto"/>
        </w:rPr>
      </w:pPr>
    </w:p>
    <w:p>
      <w:pPr>
        <w:ind w:left="580" w:hanging="329"/>
        <w:spacing w:after="0" w:line="235" w:lineRule="auto"/>
        <w:tabs>
          <w:tab w:leader="none" w:pos="57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This is comprised of (i) a 79,000 square foot manufacturing plant which sits on approximately 16 acres and (ii) a leased 28,000 square foot warehouse located in close proximity that is leased untl December 2025.</w:t>
      </w:r>
    </w:p>
    <w:p>
      <w:pPr>
        <w:spacing w:after="0" w:line="96" w:lineRule="exact"/>
        <w:rPr>
          <w:rFonts w:ascii="Calibri" w:cs="Calibri" w:eastAsia="Calibri" w:hAnsi="Calibri"/>
          <w:sz w:val="18"/>
          <w:szCs w:val="18"/>
          <w:color w:val="auto"/>
        </w:rPr>
      </w:pPr>
    </w:p>
    <w:p>
      <w:pPr>
        <w:ind w:left="580" w:hanging="329"/>
        <w:spacing w:after="0" w:line="235" w:lineRule="auto"/>
        <w:tabs>
          <w:tab w:leader="none" w:pos="57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This is a manufacturing and/or distributon facility owned by the Company. This facility includes outside storage tanks for the storage of liquid bulk chemicals, as well as smaller tanks for storing and mixing chemicals.</w:t>
      </w:r>
    </w:p>
    <w:p>
      <w:pPr>
        <w:spacing w:after="0" w:line="77" w:lineRule="exact"/>
        <w:rPr>
          <w:rFonts w:ascii="Calibri" w:cs="Calibri" w:eastAsia="Calibri" w:hAnsi="Calibri"/>
          <w:sz w:val="18"/>
          <w:szCs w:val="18"/>
          <w:color w:val="auto"/>
        </w:rPr>
      </w:pPr>
    </w:p>
    <w:p>
      <w:pPr>
        <w:ind w:left="560" w:hanging="309"/>
        <w:spacing w:after="0"/>
        <w:tabs>
          <w:tab w:leader="none" w:pos="5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land for this facility is leased from a third party. The lease expires in May 2024, with automatc one-year renewal periods.</w:t>
      </w:r>
    </w:p>
    <w:p>
      <w:pPr>
        <w:spacing w:after="0" w:line="95" w:lineRule="exact"/>
        <w:rPr>
          <w:rFonts w:ascii="Calibri" w:cs="Calibri" w:eastAsia="Calibri" w:hAnsi="Calibri"/>
          <w:sz w:val="18"/>
          <w:szCs w:val="18"/>
          <w:color w:val="auto"/>
        </w:rPr>
      </w:pPr>
    </w:p>
    <w:p>
      <w:pPr>
        <w:ind w:left="580" w:hanging="329"/>
        <w:spacing w:after="0" w:line="235" w:lineRule="auto"/>
        <w:tabs>
          <w:tab w:leader="none" w:pos="57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land for these facilites is leased from the Port Authority of the City of St. Paul, Minnesota. One of the applicable leases runs through July 2024 with a leter of intent in place to extend the term, one runs through 2028, and one runs through 2044 including all available lease extensions.</w:t>
      </w:r>
    </w:p>
    <w:p>
      <w:pPr>
        <w:spacing w:after="0" w:line="91" w:lineRule="exact"/>
        <w:rPr>
          <w:rFonts w:ascii="Calibri" w:cs="Calibri" w:eastAsia="Calibri" w:hAnsi="Calibri"/>
          <w:sz w:val="18"/>
          <w:szCs w:val="18"/>
          <w:color w:val="auto"/>
        </w:rPr>
      </w:pPr>
    </w:p>
    <w:p>
      <w:pPr>
        <w:ind w:left="560" w:hanging="309"/>
        <w:spacing w:after="0"/>
        <w:tabs>
          <w:tab w:leader="none" w:pos="5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This is a bleach manufacturing facility owned by the Company.</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3. </w:t>
      </w:r>
      <w:r>
        <w:rPr>
          <w:rFonts w:ascii="Calibri" w:cs="Calibri" w:eastAsia="Calibri" w:hAnsi="Calibri"/>
          <w:sz w:val="18"/>
          <w:szCs w:val="18"/>
          <w:b w:val="1"/>
          <w:bCs w:val="1"/>
          <w:i w:val="1"/>
          <w:iCs w:val="1"/>
          <w:color w:val="auto"/>
        </w:rPr>
        <w:t>LEGAL PROCEEDINGS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4. </w:t>
      </w:r>
      <w:r>
        <w:rPr>
          <w:rFonts w:ascii="Calibri" w:cs="Calibri" w:eastAsia="Calibri" w:hAnsi="Calibri"/>
          <w:sz w:val="18"/>
          <w:szCs w:val="18"/>
          <w:b w:val="1"/>
          <w:bCs w:val="1"/>
          <w:i w:val="1"/>
          <w:iCs w:val="1"/>
          <w:color w:val="auto"/>
        </w:rPr>
        <w:t>MINE SAFETY DISCLOSURES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jc w:val="center"/>
        <w:ind w:right="-19"/>
        <w:spacing w:after="0"/>
        <w:rPr>
          <w:sz w:val="20"/>
          <w:szCs w:val="20"/>
          <w:color w:val="auto"/>
        </w:rPr>
      </w:pPr>
      <w:r>
        <w:rPr>
          <w:rFonts w:ascii="Calibri" w:cs="Calibri" w:eastAsia="Calibri" w:hAnsi="Calibri"/>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5. </w:t>
      </w:r>
      <w:r>
        <w:rPr>
          <w:rFonts w:ascii="Calibri" w:cs="Calibri" w:eastAsia="Calibri" w:hAnsi="Calibri"/>
          <w:sz w:val="18"/>
          <w:szCs w:val="18"/>
          <w:b w:val="1"/>
          <w:bCs w:val="1"/>
          <w:i w:val="1"/>
          <w:iCs w:val="1"/>
          <w:color w:val="auto"/>
        </w:rPr>
        <w:t>MARKET FOR THE COMPANY’S COMMON EQUITY, RELATED SHAREHOLDER MATTERS AND ISSUER PURCHASES OF EQUITY SECURITIES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common shares are listed on the Nasdaq Global Select Market under the symbol “HWKN.” As of May 10, 2024, shares of our common shares were held by approximately 353 shareholders of record.</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of Directors authorized the repurchase of up to 2.6 million shares of our outstanding common stock. The shares may be purchased on the open market or in privately negotated transactons subject to applicable securites laws and regulatons. We did not purchase any shares of our common stock during the three months ended March 31, 2024. As of March 31, 2024, the number of shares available to be purchased under the share repurchase program was 937,487.</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graph compares the cumulatve total shareholder return on our common shares with the cumulatve total returns of the Nasdaq Industrial Index, the Nasdaq Composite Index, the Russell 2000 Index and the Standard &amp; Poor’s (“S&amp;P”) Small Cap 600 Index for our last fve completed fscal years. The graph assumes the investment of $100 in our stock and each of those indices on March 31, 2019,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67310</wp:posOffset>
            </wp:positionV>
            <wp:extent cx="5254625" cy="3711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b w:val="1"/>
          <w:bCs w:val="1"/>
          <w:color w:val="auto"/>
        </w:rPr>
        <w:t xml:space="preserve">ITEM 6. </w:t>
      </w:r>
      <w:r>
        <w:rPr>
          <w:rFonts w:ascii="Calibri" w:cs="Calibri" w:eastAsia="Calibri" w:hAnsi="Calibri"/>
          <w:sz w:val="18"/>
          <w:szCs w:val="18"/>
          <w:b w:val="1"/>
          <w:bCs w:val="1"/>
          <w:i w:val="1"/>
          <w:iCs w:val="1"/>
          <w:color w:val="auto"/>
        </w:rPr>
        <w:t>RESERVED</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 </w:t>
      </w:r>
      <w:r>
        <w:rPr>
          <w:rFonts w:ascii="Calibri" w:cs="Calibri" w:eastAsia="Calibri" w:hAnsi="Calibri"/>
          <w:sz w:val="18"/>
          <w:szCs w:val="18"/>
          <w:b w:val="1"/>
          <w:bCs w:val="1"/>
          <w:i w:val="1"/>
          <w:iCs w:val="1"/>
          <w:color w:val="auto"/>
        </w:rPr>
        <w:t>MANAGEMENT’S DISCUSSION AND ANALYSIS OF FINANCIAL CONDITION AND RESULTS OF OPERATIONS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is a discussion and analysis of our fnancial conditon and results of operatons for fscal 2024 and 2023. This discussion should be read in conjuncton with the Consolidated Financial Statements and Notes to Consolidated Financial Statements included in Item 8 of this Annual Report on Form 10-K.</w:t>
      </w:r>
    </w:p>
    <w:p>
      <w:pPr>
        <w:spacing w:after="0" w:line="246" w:lineRule="exact"/>
        <w:rPr>
          <w:sz w:val="20"/>
          <w:szCs w:val="20"/>
          <w:color w:val="auto"/>
        </w:rPr>
      </w:pPr>
    </w:p>
    <w:p>
      <w:pPr>
        <w:jc w:val="both"/>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have omited discussion of the earliest of the three years covered by our consolidated fnancial statements presented in this report because that disclosure was already included in our </w:t>
      </w:r>
      <w:hyperlink r:id="rId32">
        <w:r>
          <w:rPr>
            <w:rFonts w:ascii="Calibri" w:cs="Calibri" w:eastAsia="Calibri" w:hAnsi="Calibri"/>
            <w:sz w:val="18"/>
            <w:szCs w:val="18"/>
            <w:u w:val="single" w:color="auto"/>
            <w:color w:val="0000FF"/>
          </w:rPr>
          <w:t>Annual Report on Form 10-K for fscal 2023</w:t>
        </w:r>
      </w:hyperlink>
      <w:r>
        <w:rPr>
          <w:rFonts w:ascii="Calibri" w:cs="Calibri" w:eastAsia="Calibri" w:hAnsi="Calibri"/>
          <w:sz w:val="18"/>
          <w:szCs w:val="18"/>
          <w:color w:val="auto"/>
        </w:rPr>
        <w:t>, fled with the SEC on May 17, 2023. You are encouraged to reference Part II, Item 7, within that report, for a discussion of our fnancial conditon and results of operatons for fscal 2023 compared to fscal 2022.</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derive substantally all of our revenues from the sale of specialty chemicals and ingredients that we formulate, distribute, blend and manufacture for our Industrial, Water Treatment and Health and Nutriton customers.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Overview</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Highlights of fscal 2024 include:</w:t>
      </w:r>
    </w:p>
    <w:p>
      <w:pPr>
        <w:spacing w:after="0" w:line="239" w:lineRule="exact"/>
        <w:rPr>
          <w:sz w:val="20"/>
          <w:szCs w:val="20"/>
          <w:color w:val="auto"/>
        </w:rPr>
      </w:pPr>
    </w:p>
    <w:p>
      <w:pPr>
        <w:ind w:left="640" w:hanging="389"/>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Sales of $919.2 million, a 2% decrease from fscal 2023;</w:t>
      </w:r>
    </w:p>
    <w:p>
      <w:pPr>
        <w:spacing w:after="0" w:line="239" w:lineRule="exact"/>
        <w:rPr>
          <w:rFonts w:ascii="Calibri" w:cs="Calibri" w:eastAsia="Calibri" w:hAnsi="Calibri"/>
          <w:sz w:val="18"/>
          <w:szCs w:val="18"/>
          <w:color w:val="auto"/>
        </w:rPr>
      </w:pPr>
    </w:p>
    <w:p>
      <w:pPr>
        <w:ind w:left="640" w:hanging="389"/>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Gross proft of $193.6 million, an increase of $28.5 million, or 17% from fscal 2023; and</w:t>
      </w:r>
    </w:p>
    <w:p>
      <w:pPr>
        <w:spacing w:after="0" w:line="239" w:lineRule="exact"/>
        <w:rPr>
          <w:rFonts w:ascii="Calibri" w:cs="Calibri" w:eastAsia="Calibri" w:hAnsi="Calibri"/>
          <w:sz w:val="18"/>
          <w:szCs w:val="18"/>
          <w:color w:val="auto"/>
        </w:rPr>
      </w:pPr>
    </w:p>
    <w:p>
      <w:pPr>
        <w:ind w:left="640" w:hanging="389"/>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Diluted earnings per share (EPS) of $3.59, an increase of $0.73, or 26%, from fscal 2023.</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focus on total proftability dollars when evaluatng our fnancial results as opposed to proftability as a percentage of sales, as sales dollars tend to fuctuate as raw material prices rise and fall, partcularly in our Industrial and Water Treatment segments. The costs for certain of our raw materials can rise or fall rapidly, causing fuctuatons in gross proft as a percentage of sales.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the last in, frst out (“LIFO”) method of valuing the majority of our inventory in our Industrial and Water Treatment segments, which causes the most recent product costs to be recognized in our income statement. The LIFO inventory valuaton method and the resultng cost of sales are consistent with our business practces of pricing to current chemical raw material prices. Inventories in our Health and Nutriton segment are valued using the frst-in, frst-out (“FIFO”) method.</w:t>
      </w:r>
    </w:p>
    <w:p>
      <w:pPr>
        <w:spacing w:after="0" w:line="24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We disclose the sales of our bulk commodity products as a percentage of total sales dollars for our Industrial and Water Treatment segments. Our defniton of bulk commodity products includes products that we do not modify in any way, but receive, store, and ship from our facilites, or direct ship to our customers in large quanttes. We disclose the percentage of our overall sales that consist of sales of bulk commodity products as these products are generally distributed and we do not add signifcant value to these products in comparison to our non-bulk products. Sales of these products are generally highly compettve and price sensitve. As a result, bulk commodity products generally have our lowest margins.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Factors Afectng Comparability of Results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Business Acquisitons and Asset Sales</w:t>
      </w:r>
    </w:p>
    <w:p>
      <w:pPr>
        <w:spacing w:after="0" w:line="217"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On March 8, 2024, we acquired substantally all the assets of Industrial Research Corporaton ("Industrial Research") under the terms of a purchase agreement with Industrial Research and its shareholders. Industrial Research was a distributor of water treatment chemicals and equipment for its customers in central to northern Louisiana, eastern Texas and southern Arkansas. The results of operatons since the acquisiton and the assets are included in our Water Treatment segment.</w:t>
      </w:r>
    </w:p>
    <w:p>
      <w:pPr>
        <w:spacing w:after="0" w:line="23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On October 31, 2023, we acquired substantally all the assets of The Miami Products &amp; Chemical Company ("Miami Products") under the terms of a purchase agreement with Miami Products and its shareholders. Miami Products was a bleach manufacturer and distributor serving customers primarily throughout Ohio and the surrounding region. The results of operatons since the acquisiton date and the assets are included in our Water Treatment segment.</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8" w:name="page19"/>
    <w:bookmarkEnd w:id="18"/>
    <w:p>
      <w:pPr>
        <w:jc w:val="both"/>
        <w:spacing w:after="0" w:line="239" w:lineRule="auto"/>
        <w:rPr>
          <w:sz w:val="20"/>
          <w:szCs w:val="20"/>
          <w:color w:val="auto"/>
        </w:rPr>
      </w:pPr>
      <w:r>
        <w:rPr>
          <w:rFonts w:ascii="Calibri" w:cs="Calibri" w:eastAsia="Calibri" w:hAnsi="Calibri"/>
          <w:sz w:val="17"/>
          <w:szCs w:val="17"/>
          <w:color w:val="auto"/>
        </w:rPr>
        <w:t>On October 27, 2023, we acquired substantally all the assets of Water Solutons Unlimited, Inc. ("Water Solutons") under the terms of a purchase agreement with Water Solutons and its shareholders. Water Solutons was a manufacturer and distributor of water treatment chemicals serving customers primarily throughout Indiana, Illinois and Michigan. The results of operatons since the acquisiton date and the assets are included in our Water Treatment segment.</w:t>
      </w:r>
    </w:p>
    <w:p>
      <w:pPr>
        <w:spacing w:after="0" w:line="231"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On July 14, 2023, we acquired substantally all the assets of EcoTech Enterprises, Inc. ("EcoTech") under the terms of a purchase agreement with EcoTech and its shareholders. EcoTech was a water treatment chemical distributon company operatng primarily in Arkansas. The results of operatons since the acquisiton date and the assets are included in our Water Treatment segment.</w:t>
      </w:r>
    </w:p>
    <w:p>
      <w:pPr>
        <w:spacing w:after="0" w:line="24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aggregate annual revenue of these four businesses acquired in fscal 2024 totaled approximately $70 million, as determined using the applicable twelve-month period preceding each respectve acquisiton date.</w:t>
      </w:r>
    </w:p>
    <w:p>
      <w:pPr>
        <w:spacing w:after="0" w:line="23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the fourth quarter of fscal 2023, we sold certain assets in our Industrial segment related to our consumer bleach packaging business for $7 million. These assets were not deemed core to our Industrial segment operatons. The assets sold included plant equipment, inventory, and intangible assets, all related to the packaging of bleach. We realized a gain of $3 million on this sale, which has been recorded as a reducton to selling, general and administratve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color w:val="auto"/>
        </w:rPr>
        <w:t>Results of Operatons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certain items from our statement of income as a percentage of sales for fscal 2024 and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Calibri" w:cs="Calibri" w:eastAsia="Calibri" w:hAnsi="Calibri"/>
                <w:sz w:val="14"/>
                <w:szCs w:val="14"/>
                <w:b w:val="1"/>
                <w:bCs w:val="1"/>
                <w:color w:val="auto"/>
              </w:rPr>
              <w:t>Fiscal 2024</w:t>
            </w:r>
          </w:p>
        </w:tc>
        <w:tc>
          <w:tcPr>
            <w:tcW w:w="1580" w:type="dxa"/>
            <w:vAlign w:val="bottom"/>
          </w:tcPr>
          <w:p>
            <w:pPr>
              <w:jc w:val="right"/>
              <w:ind w:right="372"/>
              <w:spacing w:after="0"/>
              <w:rPr>
                <w:sz w:val="20"/>
                <w:szCs w:val="20"/>
                <w:color w:val="auto"/>
              </w:rPr>
            </w:pPr>
            <w:r>
              <w:rPr>
                <w:rFonts w:ascii="Calibri" w:cs="Calibri" w:eastAsia="Calibri" w:hAnsi="Calibri"/>
                <w:sz w:val="14"/>
                <w:szCs w:val="14"/>
                <w:b w:val="1"/>
                <w:bCs w:val="1"/>
                <w:color w:val="auto"/>
              </w:rPr>
              <w:t>Fiscal 2023</w:t>
            </w:r>
          </w:p>
        </w:tc>
      </w:tr>
      <w:tr>
        <w:trPr>
          <w:trHeight w:val="47"/>
        </w:trPr>
        <w:tc>
          <w:tcPr>
            <w:tcW w:w="746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3"/>
        </w:trPr>
        <w:tc>
          <w:tcPr>
            <w:tcW w:w="74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100.0 %</w:t>
            </w:r>
          </w:p>
        </w:tc>
      </w:tr>
      <w:tr>
        <w:trPr>
          <w:trHeight w:val="223"/>
        </w:trPr>
        <w:tc>
          <w:tcPr>
            <w:tcW w:w="74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(82.3)%</w:t>
            </w:r>
          </w:p>
        </w:tc>
      </w:tr>
      <w:tr>
        <w:trPr>
          <w:trHeight w:val="230"/>
        </w:trPr>
        <w:tc>
          <w:tcPr>
            <w:tcW w:w="746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17.7 %</w:t>
            </w:r>
          </w:p>
        </w:tc>
      </w:tr>
      <w:tr>
        <w:trPr>
          <w:trHeight w:val="223"/>
        </w:trPr>
        <w:tc>
          <w:tcPr>
            <w:tcW w:w="74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(8.3)%</w:t>
            </w:r>
          </w:p>
        </w:tc>
      </w:tr>
      <w:tr>
        <w:trPr>
          <w:trHeight w:val="230"/>
        </w:trPr>
        <w:tc>
          <w:tcPr>
            <w:tcW w:w="746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9.4 %</w:t>
            </w:r>
          </w:p>
        </w:tc>
      </w:tr>
      <w:tr>
        <w:trPr>
          <w:trHeight w:val="222"/>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(0.5)%</w:t>
            </w:r>
          </w:p>
        </w:tc>
        <w:tc>
          <w:tcPr>
            <w:tcW w:w="10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(0.6)%</w:t>
            </w:r>
          </w:p>
        </w:tc>
      </w:tr>
      <w:tr>
        <w:trPr>
          <w:trHeight w:val="237"/>
        </w:trPr>
        <w:tc>
          <w:tcPr>
            <w:tcW w:w="7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0.2 %</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 %</w:t>
            </w:r>
          </w:p>
        </w:tc>
      </w:tr>
      <w:tr>
        <w:trPr>
          <w:trHeight w:val="216"/>
        </w:trPr>
        <w:tc>
          <w:tcPr>
            <w:tcW w:w="746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11.0 %</w:t>
            </w:r>
          </w:p>
        </w:tc>
        <w:tc>
          <w:tcPr>
            <w:tcW w:w="10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8.8 %</w:t>
            </w:r>
          </w:p>
        </w:tc>
      </w:tr>
      <w:tr>
        <w:trPr>
          <w:trHeight w:val="237"/>
        </w:trPr>
        <w:tc>
          <w:tcPr>
            <w:tcW w:w="7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provision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w:t>
            </w:r>
          </w:p>
        </w:tc>
      </w:tr>
      <w:tr>
        <w:trPr>
          <w:trHeight w:val="217"/>
        </w:trPr>
        <w:tc>
          <w:tcPr>
            <w:tcW w:w="746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8.2 %</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6.4 %</w:t>
            </w:r>
          </w:p>
        </w:tc>
      </w:tr>
      <w:tr>
        <w:trPr>
          <w:trHeight w:val="27"/>
        </w:trPr>
        <w:tc>
          <w:tcPr>
            <w:tcW w:w="7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Fiscal 2024 Compared to Fiscal 2023</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Sales were $919.2 million for fscal 2024, a decrease of $15.9 million, or 2%, from sales of $935.1 million for fscal 2023. Increased sales in our Water Treatment segment were more than ofset by decreased sales in our Industrial and Health &amp; Nutriton segments.</w:t>
      </w:r>
    </w:p>
    <w:p>
      <w:pPr>
        <w:spacing w:after="0" w:line="245"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decreased $61.3 million, or 13%, to $409.5 million for fscal 2024, as compared to $470.8 million for fscal 2023.</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Sales of bulk commodity products in the Industrial segment were approximately 14% of sales dollars in fscal 2024 and 16% of sales dollars in fscal 2023. The sale of our consumer bleach packaging business at the end of fscal 2023 resulted in $14.5 million lower sales in the current year. In additon, sales declined due to overall lower volumes.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Water Treatment segment sales increased $58.4 million, or 19%, to $363.3 million for fscal 2024, as compared to $304.9 million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 fscal 2023. Sales of bulk commodity products in the Water Treatment segment were approximately 9% of sales dollars in both fscal 2024 and fscal 2023. In additon to $23.9 million in sales from acquired businesses, sales increased as a result of increased selling prices on many of our products as well as increased sales volumes of certain of our products.</w:t>
      </w:r>
    </w:p>
    <w:p>
      <w:pPr>
        <w:spacing w:after="0" w:line="23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i w:val="1"/>
          <w:iCs w:val="1"/>
          <w:color w:val="auto"/>
        </w:rPr>
        <w:t xml:space="preserve">Health and Nutriton Segment. </w:t>
      </w:r>
      <w:r>
        <w:rPr>
          <w:rFonts w:ascii="Calibri" w:cs="Calibri" w:eastAsia="Calibri" w:hAnsi="Calibri"/>
          <w:sz w:val="18"/>
          <w:szCs w:val="18"/>
          <w:color w:val="auto"/>
        </w:rPr>
        <w:t>Health and Nutriton segment sales decreased $13.0 million, or 8%, to $146.4 million for fscal 2024, as compared to $159.4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million for fscal 2023. Sales decreased primarily due to decreased sales of our manufactured products, which we believe was driven by customers destocking inventory in the frst half of the current fscal year.</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Gross proft increased $28.5 million, or 17%, to $193.6 million, or 21% of sales, for fscal 2024, from $165.1 million, or 18% of sales, for fscal 2023. During fscal 2024, the LIFO reserve decreased, and gross profts increased, by $15.4 million, primarily due to decreased raw material costs. In fscal 2023, the LIFO reserve increased, and gross profts decreased, by $18.5 million, primarily due to rising raw material costs. Included as a reducton to gross proft in the current year was a $7.7 million charge to operatng expense for an environmental liability related to perchlorinated biphenyls (PCBs) discovered in the soil at our Rosemount, MN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jc w:val="both"/>
        <w:spacing w:after="0" w:line="235"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decreased $0.6 million, or 1%, to $67.5 million, or 16% of sales, for fscal 2024, from $68.1 million,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or 14% of sales, for fscal 2023. During fscal 2024, the LIFO reserve decreased, and gross profts increased, by $12.1 million, primarily due to decreased raw material costs. In fscal 2023, the LIFO reserve increased, and gross profts decreased, by $12.3 million, primarily due to rising raw material costs. Ofsetng the impact of the favorable year-over-year LIFO change, gross proft decreased as a result of the $7.7 million charge to operatng expense for an environmental liability related to PCBs discovered in the soil at our Rosemount, MN facility as well as lower sales.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$31.3 million, or 47%, to $98.5 million, or 27% of sales, for fscal 2024,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$67.2 million, or 22% of sales, for fscal 2023. During fscal 2024, the LIFO reserve decreased, and gross profts increased, by $3.3 million, primarily due to decreased raw material costs. During fscal 2023, the LIFO reserve increased, and gross proft decreased, by $6.2 million, primarily due to rising raw material costs. Gross proft increased as a result of improved per-unit margins on many of our products as well as increased sales, including the added sales from acquired businesses.</w:t>
      </w:r>
    </w:p>
    <w:p>
      <w:pPr>
        <w:spacing w:after="0" w:line="24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i w:val="1"/>
          <w:iCs w:val="1"/>
          <w:color w:val="auto"/>
        </w:rPr>
        <w:t xml:space="preserve">Health and Nutriton Segment. </w:t>
      </w:r>
      <w:r>
        <w:rPr>
          <w:rFonts w:ascii="Calibri" w:cs="Calibri" w:eastAsia="Calibri" w:hAnsi="Calibri"/>
          <w:sz w:val="18"/>
          <w:szCs w:val="18"/>
          <w:color w:val="auto"/>
        </w:rPr>
        <w:t>Gross proft for our Health and Nutriton segment decreased $2.2 million, or 7%, to $27.6 million, or 19% of sales, for fscal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from $29.8 million, or 19% of sales, for fscal 2023. Gross proft decreased due to lower sales.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24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SG&amp;A expenses increased $12.6 million, or 16% to $89.6 million, or 10% of sales, for fscal 2024, from $77.0 million, or 8% of sales, for fscal 2023. Included in SG&amp;A expenses for the prior year was a gain of approximately $3.0 million related to the sale of certain assets related to our consumer bleach packaging business. In additon, a year-over-year increase in compensaton expense of $1.4 million related to our non-qualifed deferred compensaton plan reduced SG&amp;A expenses, with the ofset in Other Expense. Additonally, expenses increased due to the added costs from the acquired businesses in our Water Treatment segment of $5.8 million, including $1.8 million of amortzaton of intangibles, as well as increased variable expenses, most notably variable pay.</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231"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Operatng income increased $15.8 million, or 18%, to $104.0 million, or 11% of sales, for fscal 2024, as compared to $88.2 million, or 9% of sales, for fscal 2023 due to the combined impact of the factors discussed above.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expense was $4.3 million for fscal 2024, a decrease of $0.9 million from interest expense of $5.2 million for fscal 2023. Interest expense decreased due to lower outstanding borrowings in the current year as compared to the prior year, ofset slightly by higher borrowing rates.</w:t>
      </w:r>
    </w:p>
    <w:p>
      <w:pPr>
        <w:spacing w:after="0" w:line="236" w:lineRule="auto"/>
        <w:rPr>
          <w:sz w:val="20"/>
          <w:szCs w:val="20"/>
          <w:color w:val="auto"/>
        </w:rPr>
      </w:pPr>
      <w:r>
        <w:rPr>
          <w:rFonts w:ascii="Calibri" w:cs="Calibri" w:eastAsia="Calibri" w:hAnsi="Calibri"/>
          <w:sz w:val="18"/>
          <w:szCs w:val="18"/>
          <w:i w:val="1"/>
          <w:iCs w:val="1"/>
          <w:color w:val="auto"/>
        </w:rPr>
        <w:t>Income Tax Provision</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efectve tax rate was approximately 26% for fscal 2024 and 27% for fscal 2023. The current year decrease in the efectve tax rate was primarily driven by favorable tax provision adjustments recorded. The efectve tax rate is impacted by projected levels of annual taxable income, permanent items, and state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color w:val="auto"/>
        </w:rPr>
        <w:t>Selected Quarterly Financial Data</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Selected fnancial data for our fscal quarters is shown below. No changes have been made to previously reported informaton.</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 except per share data)</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Fiscal 2024</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line="164" w:lineRule="exact"/>
              <w:rPr>
                <w:sz w:val="20"/>
                <w:szCs w:val="20"/>
                <w:color w:val="auto"/>
              </w:rPr>
            </w:pPr>
            <w:r>
              <w:rPr>
                <w:rFonts w:ascii="Calibri" w:cs="Calibri" w:eastAsia="Calibri" w:hAnsi="Calibri"/>
                <w:sz w:val="14"/>
                <w:szCs w:val="14"/>
                <w:b w:val="1"/>
                <w:bCs w:val="1"/>
                <w:color w:val="auto"/>
              </w:rPr>
              <w:t>First</w:t>
            </w:r>
          </w:p>
        </w:tc>
        <w:tc>
          <w:tcPr>
            <w:tcW w:w="320" w:type="dxa"/>
            <w:vAlign w:val="bottom"/>
          </w:tcPr>
          <w:p>
            <w:pPr>
              <w:spacing w:after="0"/>
              <w:rPr>
                <w:sz w:val="14"/>
                <w:szCs w:val="14"/>
                <w:color w:val="auto"/>
              </w:rPr>
            </w:pPr>
          </w:p>
        </w:tc>
        <w:tc>
          <w:tcPr>
            <w:tcW w:w="126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Second</w:t>
            </w:r>
          </w:p>
        </w:tc>
        <w:tc>
          <w:tcPr>
            <w:tcW w:w="200" w:type="dxa"/>
            <w:vAlign w:val="bottom"/>
          </w:tcPr>
          <w:p>
            <w:pPr>
              <w:spacing w:after="0"/>
              <w:rPr>
                <w:sz w:val="14"/>
                <w:szCs w:val="14"/>
                <w:color w:val="auto"/>
              </w:rPr>
            </w:pPr>
          </w:p>
        </w:tc>
        <w:tc>
          <w:tcPr>
            <w:tcW w:w="1260" w:type="dxa"/>
            <w:vAlign w:val="bottom"/>
            <w:gridSpan w:val="2"/>
          </w:tcPr>
          <w:p>
            <w:pPr>
              <w:ind w:left="320"/>
              <w:spacing w:after="0" w:line="164" w:lineRule="exact"/>
              <w:rPr>
                <w:sz w:val="20"/>
                <w:szCs w:val="20"/>
                <w:color w:val="auto"/>
              </w:rPr>
            </w:pPr>
            <w:r>
              <w:rPr>
                <w:rFonts w:ascii="Calibri" w:cs="Calibri" w:eastAsia="Calibri" w:hAnsi="Calibri"/>
                <w:sz w:val="14"/>
                <w:szCs w:val="14"/>
                <w:b w:val="1"/>
                <w:bCs w:val="1"/>
                <w:color w:val="auto"/>
              </w:rPr>
              <w:t>Third</w:t>
            </w:r>
          </w:p>
        </w:tc>
        <w:tc>
          <w:tcPr>
            <w:tcW w:w="340" w:type="dxa"/>
            <w:vAlign w:val="bottom"/>
          </w:tcPr>
          <w:p>
            <w:pPr>
              <w:spacing w:after="0"/>
              <w:rPr>
                <w:sz w:val="14"/>
                <w:szCs w:val="14"/>
                <w:color w:val="auto"/>
              </w:rPr>
            </w:pPr>
          </w:p>
        </w:tc>
        <w:tc>
          <w:tcPr>
            <w:tcW w:w="124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Fourth</w:t>
            </w:r>
          </w:p>
        </w:tc>
        <w:tc>
          <w:tcPr>
            <w:tcW w:w="340" w:type="dxa"/>
            <w:vAlign w:val="bottom"/>
          </w:tcPr>
          <w:p>
            <w:pPr>
              <w:spacing w:after="0"/>
              <w:rPr>
                <w:sz w:val="14"/>
                <w:szCs w:val="14"/>
                <w:color w:val="auto"/>
              </w:rPr>
            </w:pPr>
          </w:p>
        </w:tc>
        <w:tc>
          <w:tcPr>
            <w:tcW w:w="106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251,120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236,526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223,020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919,162</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Gross proft</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51,991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53,886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42,248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45,511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193,636</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23,774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25,427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89,600</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income</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32,487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32,991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20,084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104,036</w:t>
            </w: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13,832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75,363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3" w:lineRule="exact"/>
              <w:rPr>
                <w:sz w:val="20"/>
                <w:szCs w:val="20"/>
                <w:color w:val="auto"/>
              </w:rPr>
            </w:pPr>
            <w:r>
              <w:rPr>
                <w:rFonts w:ascii="Calibri" w:cs="Calibri" w:eastAsia="Calibri" w:hAnsi="Calibri"/>
                <w:sz w:val="18"/>
                <w:szCs w:val="18"/>
                <w:color w:val="auto"/>
              </w:rPr>
              <w:t>1.12</w:t>
            </w:r>
          </w:p>
        </w:tc>
        <w:tc>
          <w:tcPr>
            <w:tcW w:w="12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1.11</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0.72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3" w:lineRule="exact"/>
              <w:rPr>
                <w:sz w:val="20"/>
                <w:szCs w:val="20"/>
                <w:color w:val="auto"/>
              </w:rPr>
            </w:pPr>
            <w:r>
              <w:rPr>
                <w:rFonts w:ascii="Calibri" w:cs="Calibri" w:eastAsia="Calibri" w:hAnsi="Calibri"/>
                <w:sz w:val="18"/>
                <w:szCs w:val="18"/>
                <w:color w:val="auto"/>
              </w:rPr>
              <w:t>0.67</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03" w:lineRule="exact"/>
              <w:rPr>
                <w:sz w:val="20"/>
                <w:szCs w:val="20"/>
                <w:color w:val="auto"/>
              </w:rPr>
            </w:pPr>
            <w:r>
              <w:rPr>
                <w:rFonts w:ascii="Calibri" w:cs="Calibri" w:eastAsia="Calibri" w:hAnsi="Calibri"/>
                <w:sz w:val="18"/>
                <w:szCs w:val="18"/>
                <w:color w:val="auto"/>
              </w:rPr>
              <w:t>3.61</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3.59</w:t>
            </w:r>
          </w:p>
        </w:tc>
        <w:tc>
          <w:tcPr>
            <w:tcW w:w="0" w:type="dxa"/>
            <w:vAlign w:val="bottom"/>
          </w:tcPr>
          <w:p>
            <w:pPr>
              <w:spacing w:after="0"/>
              <w:rPr>
                <w:sz w:val="1"/>
                <w:szCs w:val="1"/>
                <w:color w:val="auto"/>
              </w:rPr>
            </w:pPr>
          </w:p>
        </w:tc>
      </w:tr>
      <w:tr>
        <w:trPr>
          <w:trHeight w:val="372"/>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Fiscal 2023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line="164" w:lineRule="exact"/>
              <w:rPr>
                <w:sz w:val="20"/>
                <w:szCs w:val="20"/>
                <w:color w:val="auto"/>
              </w:rPr>
            </w:pPr>
            <w:r>
              <w:rPr>
                <w:rFonts w:ascii="Calibri" w:cs="Calibri" w:eastAsia="Calibri" w:hAnsi="Calibri"/>
                <w:sz w:val="14"/>
                <w:szCs w:val="14"/>
                <w:b w:val="1"/>
                <w:bCs w:val="1"/>
                <w:color w:val="auto"/>
              </w:rPr>
              <w:t>First</w:t>
            </w:r>
          </w:p>
        </w:tc>
        <w:tc>
          <w:tcPr>
            <w:tcW w:w="320" w:type="dxa"/>
            <w:vAlign w:val="bottom"/>
          </w:tcPr>
          <w:p>
            <w:pPr>
              <w:spacing w:after="0"/>
              <w:rPr>
                <w:sz w:val="14"/>
                <w:szCs w:val="14"/>
                <w:color w:val="auto"/>
              </w:rPr>
            </w:pPr>
          </w:p>
        </w:tc>
        <w:tc>
          <w:tcPr>
            <w:tcW w:w="126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Second</w:t>
            </w:r>
          </w:p>
        </w:tc>
        <w:tc>
          <w:tcPr>
            <w:tcW w:w="200" w:type="dxa"/>
            <w:vAlign w:val="bottom"/>
          </w:tcPr>
          <w:p>
            <w:pPr>
              <w:spacing w:after="0"/>
              <w:rPr>
                <w:sz w:val="14"/>
                <w:szCs w:val="14"/>
                <w:color w:val="auto"/>
              </w:rPr>
            </w:pPr>
          </w:p>
        </w:tc>
        <w:tc>
          <w:tcPr>
            <w:tcW w:w="1260" w:type="dxa"/>
            <w:vAlign w:val="bottom"/>
            <w:gridSpan w:val="2"/>
          </w:tcPr>
          <w:p>
            <w:pPr>
              <w:ind w:left="320"/>
              <w:spacing w:after="0" w:line="164" w:lineRule="exact"/>
              <w:rPr>
                <w:sz w:val="20"/>
                <w:szCs w:val="20"/>
                <w:color w:val="auto"/>
              </w:rPr>
            </w:pPr>
            <w:r>
              <w:rPr>
                <w:rFonts w:ascii="Calibri" w:cs="Calibri" w:eastAsia="Calibri" w:hAnsi="Calibri"/>
                <w:sz w:val="14"/>
                <w:szCs w:val="14"/>
                <w:b w:val="1"/>
                <w:bCs w:val="1"/>
                <w:color w:val="auto"/>
              </w:rPr>
              <w:t>Third</w:t>
            </w:r>
          </w:p>
        </w:tc>
        <w:tc>
          <w:tcPr>
            <w:tcW w:w="340" w:type="dxa"/>
            <w:vAlign w:val="bottom"/>
          </w:tcPr>
          <w:p>
            <w:pPr>
              <w:spacing w:after="0"/>
              <w:rPr>
                <w:sz w:val="14"/>
                <w:szCs w:val="14"/>
                <w:color w:val="auto"/>
              </w:rPr>
            </w:pPr>
          </w:p>
        </w:tc>
        <w:tc>
          <w:tcPr>
            <w:tcW w:w="1240" w:type="dxa"/>
            <w:vAlign w:val="bottom"/>
            <w:gridSpan w:val="2"/>
          </w:tcPr>
          <w:p>
            <w:pPr>
              <w:ind w:left="200"/>
              <w:spacing w:after="0" w:line="164" w:lineRule="exact"/>
              <w:rPr>
                <w:sz w:val="20"/>
                <w:szCs w:val="20"/>
                <w:color w:val="auto"/>
              </w:rPr>
            </w:pPr>
            <w:r>
              <w:rPr>
                <w:rFonts w:ascii="Calibri" w:cs="Calibri" w:eastAsia="Calibri" w:hAnsi="Calibri"/>
                <w:sz w:val="14"/>
                <w:szCs w:val="14"/>
                <w:b w:val="1"/>
                <w:bCs w:val="1"/>
                <w:color w:val="auto"/>
              </w:rPr>
              <w:t>Fourth</w:t>
            </w:r>
          </w:p>
        </w:tc>
        <w:tc>
          <w:tcPr>
            <w:tcW w:w="340" w:type="dxa"/>
            <w:vAlign w:val="bottom"/>
          </w:tcPr>
          <w:p>
            <w:pPr>
              <w:spacing w:after="0"/>
              <w:rPr>
                <w:sz w:val="14"/>
                <w:szCs w:val="14"/>
                <w:color w:val="auto"/>
              </w:rPr>
            </w:pPr>
          </w:p>
        </w:tc>
        <w:tc>
          <w:tcPr>
            <w:tcW w:w="106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3420" w:type="dxa"/>
            <w:vAlign w:val="bottom"/>
            <w:vMerge w:val="restart"/>
          </w:tcPr>
          <w:p>
            <w:pPr>
              <w:ind w:left="20"/>
              <w:spacing w:after="0"/>
              <w:rPr>
                <w:sz w:val="20"/>
                <w:szCs w:val="20"/>
                <w:color w:val="auto"/>
              </w:rPr>
            </w:pPr>
            <w:r>
              <w:rPr>
                <w:rFonts w:ascii="Calibri" w:cs="Calibri" w:eastAsia="Calibri" w:hAnsi="Calibri"/>
                <w:sz w:val="18"/>
                <w:szCs w:val="18"/>
                <w:color w:val="auto"/>
              </w:rPr>
              <w:t>Sales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246,543</w:t>
            </w:r>
          </w:p>
        </w:tc>
        <w:tc>
          <w:tcPr>
            <w:tcW w:w="120" w:type="dxa"/>
            <w:vAlign w:val="bottom"/>
          </w:tcPr>
          <w:p>
            <w:pPr>
              <w:spacing w:after="0"/>
              <w:rPr>
                <w:sz w:val="18"/>
                <w:szCs w:val="18"/>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241,192</w:t>
            </w: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219,218</w:t>
            </w:r>
          </w:p>
        </w:tc>
        <w:tc>
          <w:tcPr>
            <w:tcW w:w="10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228,145</w:t>
            </w:r>
          </w:p>
        </w:tc>
        <w:tc>
          <w:tcPr>
            <w:tcW w:w="8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935,098</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Gross proft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46,749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46,374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36,271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35,725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165,119</w:t>
            </w:r>
          </w:p>
        </w:tc>
        <w:tc>
          <w:tcPr>
            <w:tcW w:w="0" w:type="dxa"/>
            <w:vAlign w:val="bottom"/>
          </w:tcPr>
          <w:p>
            <w:pPr>
              <w:spacing w:after="0"/>
              <w:rPr>
                <w:sz w:val="1"/>
                <w:szCs w:val="1"/>
                <w:color w:val="auto"/>
              </w:rPr>
            </w:pPr>
          </w:p>
        </w:tc>
      </w:tr>
      <w:tr>
        <w:trPr>
          <w:trHeight w:val="222"/>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18,885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19,838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17,242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76,969</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Operatng income</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27,864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15,267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18,483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88,150</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19,695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10,733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11,613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60,041</w:t>
            </w:r>
          </w:p>
        </w:tc>
        <w:tc>
          <w:tcPr>
            <w:tcW w:w="0" w:type="dxa"/>
            <w:vAlign w:val="bottom"/>
          </w:tcPr>
          <w:p>
            <w:pPr>
              <w:spacing w:after="0"/>
              <w:rPr>
                <w:sz w:val="1"/>
                <w:szCs w:val="1"/>
                <w:color w:val="auto"/>
              </w:rPr>
            </w:pPr>
          </w:p>
        </w:tc>
      </w:tr>
      <w:tr>
        <w:trPr>
          <w:trHeight w:val="21"/>
        </w:trPr>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Basic earnings per share</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2.88</w:t>
            </w:r>
          </w:p>
        </w:tc>
        <w:tc>
          <w:tcPr>
            <w:tcW w:w="0" w:type="dxa"/>
            <w:vAlign w:val="bottom"/>
          </w:tcPr>
          <w:p>
            <w:pPr>
              <w:spacing w:after="0"/>
              <w:rPr>
                <w:sz w:val="1"/>
                <w:szCs w:val="1"/>
                <w:color w:val="auto"/>
              </w:rPr>
            </w:pPr>
          </w:p>
        </w:tc>
      </w:tr>
      <w:tr>
        <w:trPr>
          <w:trHeight w:val="215"/>
        </w:trPr>
        <w:tc>
          <w:tcPr>
            <w:tcW w:w="342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0.94</w:t>
            </w:r>
          </w:p>
        </w:tc>
        <w:tc>
          <w:tcPr>
            <w:tcW w:w="120" w:type="dxa"/>
            <w:vAlign w:val="bottom"/>
          </w:tcPr>
          <w:p>
            <w:pPr>
              <w:spacing w:after="0"/>
              <w:rPr>
                <w:sz w:val="18"/>
                <w:szCs w:val="18"/>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0.86</w:t>
            </w: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0.51</w:t>
            </w:r>
          </w:p>
        </w:tc>
        <w:tc>
          <w:tcPr>
            <w:tcW w:w="10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0.55</w:t>
            </w:r>
          </w:p>
        </w:tc>
        <w:tc>
          <w:tcPr>
            <w:tcW w:w="8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2.86</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Calibri" w:cs="Calibri" w:eastAsia="Calibri" w:hAnsi="Calibri"/>
          <w:sz w:val="18"/>
          <w:szCs w:val="18"/>
          <w:color w:val="auto"/>
        </w:rPr>
        <w:t>Earnings per share may not equal the face of the Consolidated Statements of Income due to rounding.</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provided by operatng actvites in fscal 2024 was $159.5 million compared to $77.4 million in fscal 2023. Our net cash provided by operatng actvites increased $82.1 million compared to fscal 2023. In fscal 2024, our operatng cash fow was improved by $47 million in the aggregate due primarily to favorable year-over-year changes in trade receivables and inventory. In the prior fscal year, we expended a net of $13 million in the aggregate for working capital primarily as a result of lower year-over-year payables. This, combined with improved net income, resulted in the year-over-year increase in net cash provided by operatng actvites. Due to the nature of our operatons, which includes purchases of large quanttes of bulk chemicals, the tming of purchases can result in signifcant changes in working capital and the resultng operatng cash fow. Historically, our cash requirements for working capital increase during the period from March through November as caustc soda inventory levels increase as most of our barges are received during this period.</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used in investng actvites was $122.5 million in fscal 2024 compared to $41.2 million in fscal 2023. Capital expenditures for property, plant and equipment were $40.2 million in fscal 2024 and $48.3 million in fscal 2023. The current year decrease in capital expenditures was primarily driven by decreased expenditures for facility improvements and expansions. Cash used in investng actvites included Water Treatment group acquisiton spending of $83.5 in fscal 2024 compared to no acquisiton spending for acquisitons in fscal 2023. Cash used in investng actvites also included proceeds from asset disposals of $1.1 million in fscal 2024 compared to $7.1 million in fscal 2023. The proceeds received in fscal 2023 related primarily to our sale of certain assets related to our consumer bleach packaging business.</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used in fnancing actvites was $37.4 million in fscal 2024 compared to $32.1 million in fscal 2023. Cash used in fnancing actvites included net debt repayments of $13.0 million in fscal 2024 and $14.0 million in fscal 2023. We paid out cash dividends of $13.2 million in fscal 2024 and $12.0 million in fscal 2023. In fscal 2024, we used $11.3 million to repurchase shares under our board-authorized share repurchase program, and in fscal 2023, we used $6.6 million to repurchase shares under the program.</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2" w:name="page23"/>
    <w:bookmarkEnd w:id="22"/>
    <w:p>
      <w:pPr>
        <w:jc w:val="both"/>
        <w:spacing w:after="0" w:line="235" w:lineRule="auto"/>
        <w:rPr>
          <w:sz w:val="20"/>
          <w:szCs w:val="20"/>
          <w:color w:val="auto"/>
        </w:rPr>
      </w:pPr>
      <w:r>
        <w:rPr>
          <w:rFonts w:ascii="Calibri" w:cs="Calibri" w:eastAsia="Calibri" w:hAnsi="Calibri"/>
          <w:sz w:val="18"/>
          <w:szCs w:val="18"/>
          <w:color w:val="auto"/>
        </w:rPr>
        <w:t>Our cash balance was $7.2 million at March 31, 2024, a decrease of $0.4 million as compared with April 2, 2023. Cash fows generated by operatons during fscal 2024 were ofset by the cash expended for acquisitons, capital expenditures, repayments of debt, dividend payments and share repurchases in fscal 2024.</w:t>
      </w:r>
    </w:p>
    <w:p>
      <w:pPr>
        <w:spacing w:after="0" w:line="24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We are party to a Credit Agreement with U.S. Bank as Sole Lead Arranger and Sole Book Runner, and other lenders from tme to tme party thereto, whereby U.S. Bank is also serving as Administratve Agent. The Credit Agreement provides us with a Revolving Loan Facility totaling $250.0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w:t>
      </w:r>
    </w:p>
    <w:p>
      <w:pPr>
        <w:spacing w:after="0" w:line="23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Efectve Rate plus 0.5%, or (3) one-month Term SOFR for U.S. dollars plus 1.0%. The Term SOFR margin is between 0.85% and 1.35%, depending on our leverage rato. The base rate margin is between 0.00% and 0.35%, depending on our leverage rato. At March 31, 2024, the efectve interest rate on our borrowings was 4.3%.</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Debt issuance costs paid to the Lenders are being amortzed as interest expense over the term of the Credit Agreement. As of March 31, 2024, the unamortzed balance of these costs was $0.3 million, and is refected as a reducton of debt on our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were in compliance with all covenants of the Credit Agreement as of March 31, 2024 and expect to remain in compliance with all covenants for the next 12 months.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auto"/>
        </w:rPr>
        <w:t>Material Cash Requirements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aggregate informaton about our contractual payment obligatons and the periods in which payments are due:</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Payments Due by Fiscal Period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0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060" w:type="dxa"/>
            <w:vAlign w:val="bottom"/>
            <w:vMerge w:val="restart"/>
          </w:tcPr>
          <w:p>
            <w:pPr>
              <w:spacing w:after="0"/>
              <w:rPr>
                <w:sz w:val="20"/>
                <w:szCs w:val="20"/>
                <w:color w:val="auto"/>
              </w:rPr>
            </w:pPr>
            <w:r>
              <w:rPr>
                <w:rFonts w:ascii="Calibri" w:cs="Calibri" w:eastAsia="Calibri" w:hAnsi="Calibri"/>
                <w:sz w:val="14"/>
                <w:szCs w:val="14"/>
                <w:b w:val="1"/>
                <w:bCs w:val="1"/>
                <w:color w:val="auto"/>
              </w:rPr>
              <w:t>Contractual Obligaton</w:t>
            </w:r>
          </w:p>
        </w:tc>
        <w:tc>
          <w:tcPr>
            <w:tcW w:w="240" w:type="dxa"/>
            <w:vAlign w:val="bottom"/>
          </w:tcPr>
          <w:p>
            <w:pPr>
              <w:spacing w:after="0"/>
              <w:rPr>
                <w:sz w:val="11"/>
                <w:szCs w:val="11"/>
                <w:color w:val="auto"/>
              </w:rPr>
            </w:pPr>
          </w:p>
        </w:tc>
        <w:tc>
          <w:tcPr>
            <w:tcW w:w="840" w:type="dxa"/>
            <w:vAlign w:val="bottom"/>
            <w:vMerge w:val="restart"/>
          </w:tcPr>
          <w:p>
            <w:pPr>
              <w:jc w:val="right"/>
              <w:ind w:right="334"/>
              <w:spacing w:after="0"/>
              <w:rPr>
                <w:sz w:val="20"/>
                <w:szCs w:val="20"/>
                <w:color w:val="auto"/>
              </w:rPr>
            </w:pPr>
            <w:r>
              <w:rPr>
                <w:rFonts w:ascii="Calibri" w:cs="Calibri" w:eastAsia="Calibri" w:hAnsi="Calibri"/>
                <w:sz w:val="14"/>
                <w:szCs w:val="14"/>
                <w:b w:val="1"/>
                <w:bCs w:val="1"/>
                <w:color w:val="auto"/>
              </w:rPr>
              <w:t>2025</w:t>
            </w:r>
          </w:p>
        </w:tc>
        <w:tc>
          <w:tcPr>
            <w:tcW w:w="320" w:type="dxa"/>
            <w:vAlign w:val="bottom"/>
          </w:tcPr>
          <w:p>
            <w:pPr>
              <w:spacing w:after="0"/>
              <w:rPr>
                <w:sz w:val="11"/>
                <w:szCs w:val="11"/>
                <w:color w:val="auto"/>
              </w:rPr>
            </w:pPr>
          </w:p>
        </w:tc>
        <w:tc>
          <w:tcPr>
            <w:tcW w:w="840" w:type="dxa"/>
            <w:vAlign w:val="bottom"/>
            <w:vMerge w:val="restart"/>
          </w:tcPr>
          <w:p>
            <w:pPr>
              <w:jc w:val="right"/>
              <w:ind w:right="334"/>
              <w:spacing w:after="0"/>
              <w:rPr>
                <w:sz w:val="20"/>
                <w:szCs w:val="20"/>
                <w:color w:val="auto"/>
              </w:rPr>
            </w:pPr>
            <w:r>
              <w:rPr>
                <w:rFonts w:ascii="Calibri" w:cs="Calibri" w:eastAsia="Calibri" w:hAnsi="Calibri"/>
                <w:sz w:val="14"/>
                <w:szCs w:val="14"/>
                <w:b w:val="1"/>
                <w:bCs w:val="1"/>
                <w:color w:val="auto"/>
              </w:rPr>
              <w:t>2026</w:t>
            </w:r>
          </w:p>
        </w:tc>
        <w:tc>
          <w:tcPr>
            <w:tcW w:w="320" w:type="dxa"/>
            <w:vAlign w:val="bottom"/>
          </w:tcPr>
          <w:p>
            <w:pPr>
              <w:spacing w:after="0"/>
              <w:rPr>
                <w:sz w:val="11"/>
                <w:szCs w:val="11"/>
                <w:color w:val="auto"/>
              </w:rPr>
            </w:pPr>
          </w:p>
        </w:tc>
        <w:tc>
          <w:tcPr>
            <w:tcW w:w="840" w:type="dxa"/>
            <w:vAlign w:val="bottom"/>
            <w:vMerge w:val="restart"/>
          </w:tcPr>
          <w:p>
            <w:pPr>
              <w:jc w:val="right"/>
              <w:ind w:right="336"/>
              <w:spacing w:after="0"/>
              <w:rPr>
                <w:sz w:val="20"/>
                <w:szCs w:val="20"/>
                <w:color w:val="auto"/>
              </w:rPr>
            </w:pPr>
            <w:r>
              <w:rPr>
                <w:rFonts w:ascii="Calibri" w:cs="Calibri" w:eastAsia="Calibri" w:hAnsi="Calibri"/>
                <w:sz w:val="14"/>
                <w:szCs w:val="14"/>
                <w:b w:val="1"/>
                <w:bCs w:val="1"/>
                <w:color w:val="auto"/>
              </w:rPr>
              <w:t>2027</w:t>
            </w:r>
          </w:p>
        </w:tc>
        <w:tc>
          <w:tcPr>
            <w:tcW w:w="200" w:type="dxa"/>
            <w:vAlign w:val="bottom"/>
          </w:tcPr>
          <w:p>
            <w:pPr>
              <w:spacing w:after="0"/>
              <w:rPr>
                <w:sz w:val="11"/>
                <w:szCs w:val="11"/>
                <w:color w:val="auto"/>
              </w:rPr>
            </w:pPr>
          </w:p>
        </w:tc>
        <w:tc>
          <w:tcPr>
            <w:tcW w:w="960" w:type="dxa"/>
            <w:vAlign w:val="bottom"/>
            <w:vMerge w:val="restart"/>
          </w:tcPr>
          <w:p>
            <w:pPr>
              <w:jc w:val="right"/>
              <w:ind w:right="336"/>
              <w:spacing w:after="0"/>
              <w:rPr>
                <w:sz w:val="20"/>
                <w:szCs w:val="20"/>
                <w:color w:val="auto"/>
              </w:rPr>
            </w:pPr>
            <w:r>
              <w:rPr>
                <w:rFonts w:ascii="Calibri" w:cs="Calibri" w:eastAsia="Calibri" w:hAnsi="Calibri"/>
                <w:sz w:val="14"/>
                <w:szCs w:val="14"/>
                <w:b w:val="1"/>
                <w:bCs w:val="1"/>
                <w:color w:val="auto"/>
              </w:rPr>
              <w:t>2028</w:t>
            </w:r>
          </w:p>
        </w:tc>
        <w:tc>
          <w:tcPr>
            <w:tcW w:w="420" w:type="dxa"/>
            <w:vAlign w:val="bottom"/>
          </w:tcPr>
          <w:p>
            <w:pPr>
              <w:spacing w:after="0"/>
              <w:rPr>
                <w:sz w:val="11"/>
                <w:szCs w:val="11"/>
                <w:color w:val="auto"/>
              </w:rPr>
            </w:pPr>
          </w:p>
        </w:tc>
        <w:tc>
          <w:tcPr>
            <w:tcW w:w="740" w:type="dxa"/>
            <w:vAlign w:val="bottom"/>
            <w:vMerge w:val="restart"/>
          </w:tcPr>
          <w:p>
            <w:pPr>
              <w:jc w:val="right"/>
              <w:ind w:right="334"/>
              <w:spacing w:after="0"/>
              <w:rPr>
                <w:sz w:val="20"/>
                <w:szCs w:val="20"/>
                <w:color w:val="auto"/>
              </w:rPr>
            </w:pPr>
            <w:r>
              <w:rPr>
                <w:rFonts w:ascii="Calibri" w:cs="Calibri" w:eastAsia="Calibri" w:hAnsi="Calibri"/>
                <w:sz w:val="14"/>
                <w:szCs w:val="14"/>
                <w:b w:val="1"/>
                <w:bCs w:val="1"/>
                <w:color w:val="auto"/>
              </w:rPr>
              <w:t>2029</w:t>
            </w:r>
          </w:p>
        </w:tc>
        <w:tc>
          <w:tcPr>
            <w:tcW w:w="240" w:type="dxa"/>
            <w:vAlign w:val="bottom"/>
          </w:tcPr>
          <w:p>
            <w:pPr>
              <w:spacing w:after="0"/>
              <w:rPr>
                <w:sz w:val="11"/>
                <w:szCs w:val="11"/>
                <w:color w:val="auto"/>
              </w:rPr>
            </w:pPr>
          </w:p>
        </w:tc>
        <w:tc>
          <w:tcPr>
            <w:tcW w:w="940" w:type="dxa"/>
            <w:vAlign w:val="bottom"/>
          </w:tcPr>
          <w:p>
            <w:pPr>
              <w:jc w:val="right"/>
              <w:ind w:right="177"/>
              <w:spacing w:after="0" w:line="127" w:lineRule="exact"/>
              <w:rPr>
                <w:sz w:val="20"/>
                <w:szCs w:val="20"/>
                <w:color w:val="auto"/>
              </w:rPr>
            </w:pPr>
            <w:r>
              <w:rPr>
                <w:rFonts w:ascii="Calibri" w:cs="Calibri" w:eastAsia="Calibri" w:hAnsi="Calibri"/>
                <w:sz w:val="13"/>
                <w:szCs w:val="13"/>
                <w:b w:val="1"/>
                <w:bCs w:val="1"/>
                <w:color w:val="auto"/>
              </w:rPr>
              <w:t>More than</w:t>
            </w:r>
          </w:p>
        </w:tc>
        <w:tc>
          <w:tcPr>
            <w:tcW w:w="320" w:type="dxa"/>
            <w:vAlign w:val="bottom"/>
          </w:tcPr>
          <w:p>
            <w:pPr>
              <w:spacing w:after="0"/>
              <w:rPr>
                <w:sz w:val="11"/>
                <w:szCs w:val="11"/>
                <w:color w:val="auto"/>
              </w:rPr>
            </w:pPr>
          </w:p>
        </w:tc>
        <w:tc>
          <w:tcPr>
            <w:tcW w:w="8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Calibri" w:cs="Calibri" w:eastAsia="Calibri" w:hAnsi="Calibri"/>
                <w:sz w:val="14"/>
                <w:szCs w:val="14"/>
                <w:b w:val="1"/>
                <w:bCs w:val="1"/>
                <w:color w:val="auto"/>
              </w:rPr>
              <w:t>5 Years</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(In thousands)</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r>
              <w:rPr>
                <w:rFonts w:ascii="Calibri" w:cs="Calibri" w:eastAsia="Calibri" w:hAnsi="Calibri"/>
                <w:sz w:val="18"/>
                <w:szCs w:val="18"/>
                <w:color w:val="auto"/>
              </w:rPr>
              <w:t>Senior secured revolver (1)</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ind w:right="16"/>
              <w:spacing w:after="0"/>
              <w:rPr>
                <w:sz w:val="20"/>
                <w:szCs w:val="20"/>
                <w:color w:val="auto"/>
              </w:rPr>
            </w:pPr>
            <w:r>
              <w:rPr>
                <w:rFonts w:ascii="Calibri" w:cs="Calibri" w:eastAsia="Calibri" w:hAnsi="Calibri"/>
                <w:sz w:val="18"/>
                <w:szCs w:val="18"/>
                <w:color w:val="auto"/>
              </w:rPr>
              <w:t>99,000</w:t>
            </w:r>
          </w:p>
        </w:tc>
        <w:tc>
          <w:tcPr>
            <w:tcW w:w="42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ind w:right="14"/>
              <w:spacing w:after="0"/>
              <w:rPr>
                <w:sz w:val="20"/>
                <w:szCs w:val="20"/>
                <w:color w:val="auto"/>
              </w:rPr>
            </w:pPr>
            <w:r>
              <w:rPr>
                <w:rFonts w:ascii="Calibri" w:cs="Calibri" w:eastAsia="Calibri" w:hAnsi="Calibri"/>
                <w:sz w:val="18"/>
                <w:szCs w:val="18"/>
                <w:color w:val="auto"/>
              </w:rPr>
              <w:t>—</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7"/>
              <w:spacing w:after="0"/>
              <w:rPr>
                <w:sz w:val="20"/>
                <w:szCs w:val="20"/>
                <w:color w:val="auto"/>
              </w:rPr>
            </w:pPr>
            <w:r>
              <w:rPr>
                <w:rFonts w:ascii="Calibri" w:cs="Calibri" w:eastAsia="Calibri" w:hAnsi="Calibri"/>
                <w:sz w:val="18"/>
                <w:szCs w:val="18"/>
                <w:color w:val="auto"/>
              </w:rPr>
              <w:t>—</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99,000</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Calibri" w:cs="Calibri" w:eastAsia="Calibri" w:hAnsi="Calibri"/>
                <w:sz w:val="18"/>
                <w:szCs w:val="18"/>
                <w:color w:val="auto"/>
              </w:rPr>
              <w:t>Interest payments (2)</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4,353</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4,353</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4,353</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ind w:right="16"/>
              <w:spacing w:after="0"/>
              <w:rPr>
                <w:sz w:val="20"/>
                <w:szCs w:val="20"/>
                <w:color w:val="auto"/>
              </w:rPr>
            </w:pPr>
            <w:r>
              <w:rPr>
                <w:rFonts w:ascii="Calibri" w:cs="Calibri" w:eastAsia="Calibri" w:hAnsi="Calibri"/>
                <w:sz w:val="18"/>
                <w:szCs w:val="18"/>
                <w:color w:val="auto"/>
              </w:rPr>
              <w:t>363</w:t>
            </w:r>
          </w:p>
        </w:tc>
        <w:tc>
          <w:tcPr>
            <w:tcW w:w="42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ind w:right="14"/>
              <w:spacing w:after="0"/>
              <w:rPr>
                <w:sz w:val="20"/>
                <w:szCs w:val="20"/>
                <w:color w:val="auto"/>
              </w:rPr>
            </w:pPr>
            <w:r>
              <w:rPr>
                <w:rFonts w:ascii="Calibri" w:cs="Calibri" w:eastAsia="Calibri" w:hAnsi="Calibri"/>
                <w:sz w:val="18"/>
                <w:szCs w:val="18"/>
                <w:color w:val="auto"/>
              </w:rPr>
              <w:t>—</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7"/>
              <w:spacing w:after="0"/>
              <w:rPr>
                <w:sz w:val="20"/>
                <w:szCs w:val="20"/>
                <w:color w:val="auto"/>
              </w:rPr>
            </w:pPr>
            <w:r>
              <w:rPr>
                <w:rFonts w:ascii="Calibri" w:cs="Calibri" w:eastAsia="Calibri" w:hAnsi="Calibri"/>
                <w:sz w:val="18"/>
                <w:szCs w:val="18"/>
                <w:color w:val="auto"/>
              </w:rPr>
              <w:t>—</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13,422</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Calibri" w:cs="Calibri" w:eastAsia="Calibri" w:hAnsi="Calibri"/>
                <w:sz w:val="18"/>
                <w:szCs w:val="18"/>
                <w:color w:val="auto"/>
              </w:rPr>
              <w:t>Operatng lease obligatons (3)</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2,870</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2,548</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2,079</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ind w:right="16"/>
              <w:spacing w:after="0"/>
              <w:rPr>
                <w:sz w:val="20"/>
                <w:szCs w:val="20"/>
                <w:color w:val="auto"/>
              </w:rPr>
            </w:pPr>
            <w:r>
              <w:rPr>
                <w:rFonts w:ascii="Calibri" w:cs="Calibri" w:eastAsia="Calibri" w:hAnsi="Calibri"/>
                <w:sz w:val="18"/>
                <w:szCs w:val="18"/>
                <w:color w:val="auto"/>
              </w:rPr>
              <w:t>1,819</w:t>
            </w:r>
          </w:p>
        </w:tc>
        <w:tc>
          <w:tcPr>
            <w:tcW w:w="42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ind w:right="14"/>
              <w:spacing w:after="0"/>
              <w:rPr>
                <w:sz w:val="20"/>
                <w:szCs w:val="20"/>
                <w:color w:val="auto"/>
              </w:rPr>
            </w:pPr>
            <w:r>
              <w:rPr>
                <w:rFonts w:ascii="Calibri" w:cs="Calibri" w:eastAsia="Calibri" w:hAnsi="Calibri"/>
                <w:sz w:val="18"/>
                <w:szCs w:val="18"/>
                <w:color w:val="auto"/>
              </w:rPr>
              <w:t>1,475</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7"/>
              <w:spacing w:after="0"/>
              <w:rPr>
                <w:sz w:val="20"/>
                <w:szCs w:val="20"/>
                <w:color w:val="auto"/>
              </w:rPr>
            </w:pPr>
            <w:r>
              <w:rPr>
                <w:rFonts w:ascii="Calibri" w:cs="Calibri" w:eastAsia="Calibri" w:hAnsi="Calibri"/>
                <w:sz w:val="18"/>
                <w:szCs w:val="18"/>
                <w:color w:val="auto"/>
              </w:rPr>
              <w:t>2,819</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13,610</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Calibri" w:cs="Calibri" w:eastAsia="Calibri" w:hAnsi="Calibri"/>
                <w:sz w:val="18"/>
                <w:szCs w:val="18"/>
                <w:color w:val="auto"/>
              </w:rPr>
              <w:t>Pension withdrawal liability (4)</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467</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4"/>
              <w:spacing w:after="0"/>
              <w:rPr>
                <w:sz w:val="20"/>
                <w:szCs w:val="20"/>
                <w:color w:val="auto"/>
              </w:rPr>
            </w:pPr>
            <w:r>
              <w:rPr>
                <w:rFonts w:ascii="Calibri" w:cs="Calibri" w:eastAsia="Calibri" w:hAnsi="Calibri"/>
                <w:sz w:val="18"/>
                <w:szCs w:val="18"/>
                <w:color w:val="auto"/>
              </w:rPr>
              <w:t>467</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16"/>
              <w:spacing w:after="0"/>
              <w:rPr>
                <w:sz w:val="20"/>
                <w:szCs w:val="20"/>
                <w:color w:val="auto"/>
              </w:rPr>
            </w:pPr>
            <w:r>
              <w:rPr>
                <w:rFonts w:ascii="Calibri" w:cs="Calibri" w:eastAsia="Calibri" w:hAnsi="Calibri"/>
                <w:sz w:val="18"/>
                <w:szCs w:val="18"/>
                <w:color w:val="auto"/>
              </w:rPr>
              <w:t>467</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ind w:right="16"/>
              <w:spacing w:after="0"/>
              <w:rPr>
                <w:sz w:val="20"/>
                <w:szCs w:val="20"/>
                <w:color w:val="auto"/>
              </w:rPr>
            </w:pPr>
            <w:r>
              <w:rPr>
                <w:rFonts w:ascii="Calibri" w:cs="Calibri" w:eastAsia="Calibri" w:hAnsi="Calibri"/>
                <w:sz w:val="18"/>
                <w:szCs w:val="18"/>
                <w:color w:val="auto"/>
              </w:rPr>
              <w:t>467</w:t>
            </w:r>
          </w:p>
        </w:tc>
        <w:tc>
          <w:tcPr>
            <w:tcW w:w="42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ind w:right="14"/>
              <w:spacing w:after="0"/>
              <w:rPr>
                <w:sz w:val="20"/>
                <w:szCs w:val="20"/>
                <w:color w:val="auto"/>
              </w:rPr>
            </w:pPr>
            <w:r>
              <w:rPr>
                <w:rFonts w:ascii="Calibri" w:cs="Calibri" w:eastAsia="Calibri" w:hAnsi="Calibri"/>
                <w:sz w:val="18"/>
                <w:szCs w:val="18"/>
                <w:color w:val="auto"/>
              </w:rPr>
              <w:t>467</w:t>
            </w:r>
          </w:p>
        </w:tc>
        <w:tc>
          <w:tcPr>
            <w:tcW w:w="2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7"/>
              <w:spacing w:after="0"/>
              <w:rPr>
                <w:sz w:val="20"/>
                <w:szCs w:val="20"/>
                <w:color w:val="auto"/>
              </w:rPr>
            </w:pPr>
            <w:r>
              <w:rPr>
                <w:rFonts w:ascii="Calibri" w:cs="Calibri" w:eastAsia="Calibri" w:hAnsi="Calibri"/>
                <w:sz w:val="18"/>
                <w:szCs w:val="18"/>
                <w:color w:val="auto"/>
              </w:rPr>
              <w:t>2,103</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4,438</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340" w:hanging="332"/>
        <w:spacing w:after="0" w:line="235" w:lineRule="auto"/>
        <w:tabs>
          <w:tab w:leader="none" w:pos="394"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Represents balance outstanding as of March 31, 2024, and assumes such amount remains outstanding untl its maturity date, as periodic payments are not required under the terms of our Credit Agreement. However, it is our intenton to pay down our debt with available excess cash fow. See Note 8 of our consolidated Financial Statements for further informaton.</w:t>
      </w:r>
    </w:p>
    <w:p>
      <w:pPr>
        <w:spacing w:after="0" w:line="2" w:lineRule="exact"/>
        <w:rPr>
          <w:rFonts w:ascii="Calibri" w:cs="Calibri" w:eastAsia="Calibri" w:hAnsi="Calibri"/>
          <w:sz w:val="18"/>
          <w:szCs w:val="18"/>
          <w:color w:val="auto"/>
        </w:rPr>
      </w:pPr>
    </w:p>
    <w:p>
      <w:pPr>
        <w:ind w:left="340" w:hanging="332"/>
        <w:spacing w:after="0" w:line="235" w:lineRule="auto"/>
        <w:tabs>
          <w:tab w:leader="none" w:pos="459"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Represents interest payments and commitment fees payable on outstanding balances under our revolver, net of the expected receivable from our interest rate swap agreement, and assumes interest rates remain unchanged from the rate as of March 31, 2024.</w:t>
      </w:r>
    </w:p>
    <w:p>
      <w:pPr>
        <w:ind w:left="360" w:hanging="352"/>
        <w:spacing w:after="0" w:line="235" w:lineRule="auto"/>
        <w:tabs>
          <w:tab w:leader="none" w:pos="36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As reported under ASC Topic 842.</w:t>
      </w:r>
    </w:p>
    <w:p>
      <w:pPr>
        <w:ind w:left="360" w:hanging="352"/>
        <w:spacing w:after="0" w:line="235" w:lineRule="auto"/>
        <w:tabs>
          <w:tab w:leader="none" w:pos="36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This relates to our withdrawal from a multemployer pension plan. Payments on this obligaton will contnue through 2034.</w:t>
      </w:r>
    </w:p>
    <w:p>
      <w:pPr>
        <w:spacing w:after="0" w:line="11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additon to the above contractual obligatons, in the ordinary course of business we have routne cash requirements related to capital expenditures for new trucks, facility improvements and expansions, safety equipment and other additons of property, plant and equipment. Our capital expenditures in fscal 2024 were $40.2 million and in fscal 2023 were $48.3 million. We antcipate total capital expenditures to be in the range of $40 to $45 million for fscal 2025.</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preparing the fnancial statements, we follow U.S. generally accepted accountng principles (“GAAP”). The preparaton of these fnancial statements requires us to make estmates and judgments that afect the reported amounts of assets, liabilites, sales and expenses, and related disclosure of contngent assets and liabilites. We re-evaluate our estmates on an ongoing basis. Our estmates are based on historical experience and on various other assumptons that are believed to be reasonable under the circumstances. Actual results may difer from these estmates under diferent assumptons and conditons. We have determined the following is a critcal accountng estmate material to our consolidated fnancial positon, results of operatons or cash fow.</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Acquisiton accountng. </w:t>
      </w:r>
      <w:r>
        <w:rPr>
          <w:rFonts w:ascii="Calibri" w:cs="Calibri" w:eastAsia="Calibri" w:hAnsi="Calibri"/>
          <w:sz w:val="18"/>
          <w:szCs w:val="18"/>
          <w:color w:val="auto"/>
        </w:rPr>
        <w:t>The fair value of the consideraton we pay for each new acquisiton is allocated to tangible assets and identfable intangible assets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liabilites assumed. The accountng for acquisitons involves a considerable amount of judgment and estmate, including the fair value of certain forms of consideraton; fair value of acquired intangible assets involving projectons of future revenues and cash fows that are then either discounted at an estmated discount rate or measured at an estmated royalty rate; fair value of other acquired assets and assumed liabilites, including potental contngencies; and the useful lives of the acquired assets. The assumptons used are determined at the tme of the acquisiton in accordance with accepted valuaton models. Projectons are developed using internal forecasts, available industry and market data and estmates of long-term rates of growth for the business. The impact of prior or future acquisitons on our fnancial positon or results of operatons may be materially impacted by the change in or inital selecton of assumptons and estmates. See Note 2, Acquisitons included in Part II, Item 8 of this Form 10-K for further discussion of business combinaton accountng valuaton methodology and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7A. </w:t>
      </w:r>
      <w:r>
        <w:rPr>
          <w:rFonts w:ascii="Calibri" w:cs="Calibri" w:eastAsia="Calibri" w:hAnsi="Calibri"/>
          <w:sz w:val="18"/>
          <w:szCs w:val="18"/>
          <w:b w:val="1"/>
          <w:bCs w:val="1"/>
          <w:i w:val="1"/>
          <w:iCs w:val="1"/>
          <w:color w:val="auto"/>
        </w:rPr>
        <w:t>QUANTITATIVE AND QUALITATIVE DISCLOSURE ABOUT MARKET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on to our customers; however, there are no assurances that we will be able to pass on the increases in the future.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exposed to market risks related to interest rates. Our exposure to changes in interest rates is limited to borrowings under our credit facility. A 25-basis point change in interest rates on the variable-rate porton of debt not covered by the interest rate swap would potentally increase or decrease annual interest expense by approximately $0.1 million. Other types of market risk, such as foreign currency risk, do not arise in the normal course of our business actvites.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8940" w:type="dxa"/>
            <w:vAlign w:val="bottom"/>
            <w:gridSpan w:val="10"/>
          </w:tcPr>
          <w:p>
            <w:pPr>
              <w:spacing w:after="0"/>
              <w:rPr>
                <w:sz w:val="20"/>
                <w:szCs w:val="20"/>
                <w:color w:val="auto"/>
              </w:rPr>
            </w:pPr>
            <w:r>
              <w:rPr>
                <w:rFonts w:ascii="Calibri" w:cs="Calibri" w:eastAsia="Calibri" w:hAnsi="Calibri"/>
                <w:sz w:val="18"/>
                <w:szCs w:val="18"/>
                <w:b w:val="1"/>
                <w:bCs w:val="1"/>
                <w:color w:val="auto"/>
              </w:rPr>
              <w:t xml:space="preserve">ITEM 8. </w:t>
            </w:r>
            <w:r>
              <w:rPr>
                <w:rFonts w:ascii="Calibri" w:cs="Calibri" w:eastAsia="Calibri" w:hAnsi="Calibri"/>
                <w:sz w:val="18"/>
                <w:szCs w:val="18"/>
                <w:b w:val="1"/>
                <w:bCs w:val="1"/>
                <w:i w:val="1"/>
                <w:iCs w:val="1"/>
                <w:color w:val="auto"/>
              </w:rPr>
              <w:t>FINANCIAL STATEMENTS AND SUPPLEMENTARY DATA</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3"/>
          </w:tcPr>
          <w:p>
            <w:pPr>
              <w:jc w:val="center"/>
              <w:ind w:right="1400"/>
              <w:spacing w:after="0"/>
              <w:rPr>
                <w:sz w:val="20"/>
                <w:szCs w:val="20"/>
                <w:color w:val="auto"/>
              </w:rPr>
            </w:pPr>
            <w:r>
              <w:rPr>
                <w:rFonts w:ascii="Calibri" w:cs="Calibri" w:eastAsia="Calibri" w:hAnsi="Calibri"/>
                <w:sz w:val="18"/>
                <w:szCs w:val="18"/>
                <w:b w:val="1"/>
                <w:bCs w:val="1"/>
                <w:color w:val="auto"/>
                <w:w w:val="96"/>
              </w:rPr>
              <w:t>Index to Consolidated Financial Statements</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920" w:type="dxa"/>
            <w:vAlign w:val="bottom"/>
            <w:gridSpan w:val="9"/>
          </w:tcPr>
          <w:p>
            <w:pPr>
              <w:spacing w:after="0" w:line="199" w:lineRule="exact"/>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3051F2"/>
              </w:rPr>
              <w:t>(PCAOB ID: 248)</w:t>
            </w:r>
          </w:p>
        </w:tc>
        <w:tc>
          <w:tcPr>
            <w:tcW w:w="2300" w:type="dxa"/>
            <w:vAlign w:val="bottom"/>
            <w:gridSpan w:val="3"/>
          </w:tcPr>
          <w:p>
            <w:pPr>
              <w:jc w:val="right"/>
              <w:ind w:right="380"/>
              <w:spacing w:after="0" w:line="199" w:lineRule="exact"/>
              <w:rPr>
                <w:sz w:val="20"/>
                <w:szCs w:val="20"/>
                <w:color w:val="auto"/>
              </w:rPr>
            </w:pPr>
            <w:r>
              <w:rPr>
                <w:rFonts w:ascii="Calibri" w:cs="Calibri" w:eastAsia="Calibri" w:hAnsi="Calibri"/>
                <w:sz w:val="18"/>
                <w:szCs w:val="18"/>
                <w:color w:val="0000FF"/>
              </w:rPr>
              <w:t>24</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3051F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gridSpan w:val="7"/>
          </w:tcPr>
          <w:p>
            <w:pPr>
              <w:spacing w:after="0"/>
              <w:rPr>
                <w:sz w:val="20"/>
                <w:szCs w:val="20"/>
                <w:color w:val="auto"/>
              </w:rPr>
            </w:pPr>
            <w:r>
              <w:rPr>
                <w:rFonts w:ascii="Calibri" w:cs="Calibri" w:eastAsia="Calibri" w:hAnsi="Calibri"/>
                <w:sz w:val="18"/>
                <w:szCs w:val="18"/>
                <w:color w:val="0000FF"/>
              </w:rPr>
              <w:t>Consolidated Balance Sheets</w:t>
            </w:r>
          </w:p>
        </w:tc>
        <w:tc>
          <w:tcPr>
            <w:tcW w:w="11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27</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920" w:type="dxa"/>
            <w:vAlign w:val="bottom"/>
            <w:gridSpan w:val="9"/>
          </w:tcPr>
          <w:p>
            <w:pPr>
              <w:spacing w:after="0"/>
              <w:rPr>
                <w:sz w:val="20"/>
                <w:szCs w:val="20"/>
                <w:color w:val="auto"/>
              </w:rPr>
            </w:pPr>
            <w:r>
              <w:rPr>
                <w:rFonts w:ascii="Calibri" w:cs="Calibri" w:eastAsia="Calibri" w:hAnsi="Calibri"/>
                <w:sz w:val="18"/>
                <w:szCs w:val="18"/>
                <w:color w:val="0000FF"/>
              </w:rPr>
              <w:t>Consolidated Statements of Income</w:t>
            </w: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gridSpan w:val="6"/>
          </w:tcPr>
          <w:p>
            <w:pPr>
              <w:spacing w:after="0"/>
              <w:rPr>
                <w:sz w:val="20"/>
                <w:szCs w:val="20"/>
                <w:color w:val="auto"/>
              </w:rPr>
            </w:pPr>
            <w:r>
              <w:rPr>
                <w:rFonts w:ascii="Calibri" w:cs="Calibri" w:eastAsia="Calibri" w:hAnsi="Calibri"/>
                <w:sz w:val="18"/>
                <w:szCs w:val="18"/>
                <w:color w:val="0000FF"/>
                <w:w w:val="96"/>
              </w:rPr>
              <w:t>Consolidated Statements of Comprehensive Income</w:t>
            </w:r>
          </w:p>
        </w:tc>
        <w:tc>
          <w:tcPr>
            <w:tcW w:w="5220" w:type="dxa"/>
            <w:vAlign w:val="bottom"/>
            <w:gridSpan w:val="3"/>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29</w:t>
            </w: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80" w:type="dxa"/>
            <w:vAlign w:val="bottom"/>
            <w:gridSpan w:val="5"/>
          </w:tcPr>
          <w:p>
            <w:pPr>
              <w:spacing w:after="0"/>
              <w:rPr>
                <w:sz w:val="20"/>
                <w:szCs w:val="20"/>
                <w:color w:val="auto"/>
              </w:rPr>
            </w:pPr>
            <w:r>
              <w:rPr>
                <w:rFonts w:ascii="Calibri" w:cs="Calibri" w:eastAsia="Calibri" w:hAnsi="Calibri"/>
                <w:sz w:val="18"/>
                <w:szCs w:val="18"/>
                <w:color w:val="0000FF"/>
                <w:w w:val="96"/>
              </w:rPr>
              <w:t>Consolidated Statements of Shareholders’ Equity</w:t>
            </w:r>
          </w:p>
        </w:tc>
        <w:tc>
          <w:tcPr>
            <w:tcW w:w="220" w:type="dxa"/>
            <w:vAlign w:val="bottom"/>
          </w:tcPr>
          <w:p>
            <w:pPr>
              <w:spacing w:after="0"/>
              <w:rPr>
                <w:sz w:val="22"/>
                <w:szCs w:val="22"/>
                <w:color w:val="auto"/>
              </w:rPr>
            </w:pPr>
          </w:p>
        </w:tc>
        <w:tc>
          <w:tcPr>
            <w:tcW w:w="5220" w:type="dxa"/>
            <w:vAlign w:val="bottom"/>
            <w:gridSpan w:val="3"/>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30</w:t>
            </w: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00" w:type="dxa"/>
            <w:vAlign w:val="bottom"/>
            <w:gridSpan w:val="3"/>
          </w:tcPr>
          <w:p>
            <w:pPr>
              <w:spacing w:after="0"/>
              <w:rPr>
                <w:sz w:val="20"/>
                <w:szCs w:val="20"/>
                <w:color w:val="auto"/>
              </w:rPr>
            </w:pPr>
            <w:r>
              <w:rPr>
                <w:rFonts w:ascii="Calibri" w:cs="Calibri" w:eastAsia="Calibri" w:hAnsi="Calibri"/>
                <w:sz w:val="18"/>
                <w:szCs w:val="18"/>
                <w:color w:val="0000FF"/>
                <w:w w:val="96"/>
              </w:rPr>
              <w:t>Consolidated Statements of Cash Flows</w:t>
            </w:r>
          </w:p>
        </w:tc>
        <w:tc>
          <w:tcPr>
            <w:tcW w:w="680" w:type="dxa"/>
            <w:vAlign w:val="bottom"/>
            <w:gridSpan w:val="2"/>
          </w:tcPr>
          <w:p>
            <w:pPr>
              <w:spacing w:after="0"/>
              <w:rPr>
                <w:sz w:val="22"/>
                <w:szCs w:val="22"/>
                <w:color w:val="auto"/>
              </w:rPr>
            </w:pPr>
          </w:p>
        </w:tc>
        <w:tc>
          <w:tcPr>
            <w:tcW w:w="5440" w:type="dxa"/>
            <w:vAlign w:val="bottom"/>
            <w:gridSpan w:val="4"/>
          </w:tcPr>
          <w:p>
            <w:pPr>
              <w:spacing w:after="0"/>
              <w:rPr>
                <w:sz w:val="22"/>
                <w:szCs w:val="22"/>
                <w:color w:val="auto"/>
              </w:rPr>
            </w:pP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31</w:t>
            </w: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920" w:type="dxa"/>
            <w:vAlign w:val="bottom"/>
            <w:gridSpan w:val="9"/>
          </w:tcPr>
          <w:p>
            <w:pPr>
              <w:spacing w:after="0"/>
              <w:rPr>
                <w:sz w:val="20"/>
                <w:szCs w:val="20"/>
                <w:color w:val="auto"/>
              </w:rPr>
            </w:pPr>
            <w:r>
              <w:rPr>
                <w:rFonts w:ascii="Calibri" w:cs="Calibri" w:eastAsia="Calibri" w:hAnsi="Calibri"/>
                <w:sz w:val="18"/>
                <w:szCs w:val="18"/>
                <w:color w:val="0000FF"/>
              </w:rPr>
              <w:t>Notes to Consolidated Financial Statements</w:t>
            </w:r>
          </w:p>
        </w:tc>
        <w:tc>
          <w:tcPr>
            <w:tcW w:w="2300" w:type="dxa"/>
            <w:vAlign w:val="bottom"/>
            <w:gridSpan w:val="3"/>
          </w:tcPr>
          <w:p>
            <w:pPr>
              <w:jc w:val="right"/>
              <w:ind w:right="380"/>
              <w:spacing w:after="0"/>
              <w:rPr>
                <w:sz w:val="20"/>
                <w:szCs w:val="20"/>
                <w:color w:val="auto"/>
              </w:rPr>
            </w:pPr>
            <w:r>
              <w:rPr>
                <w:rFonts w:ascii="Calibri" w:cs="Calibri" w:eastAsia="Calibri" w:hAnsi="Calibri"/>
                <w:sz w:val="18"/>
                <w:szCs w:val="18"/>
                <w:color w:val="0000FF"/>
              </w:rPr>
              <w:t>32</w:t>
            </w:r>
          </w:p>
        </w:tc>
      </w:tr>
      <w:tr>
        <w:trPr>
          <w:trHeight w:val="915"/>
        </w:trPr>
        <w:tc>
          <w:tcPr>
            <w:tcW w:w="2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4"/>
                <w:szCs w:val="24"/>
                <w:color w:val="auto"/>
              </w:rPr>
            </w:pPr>
          </w:p>
        </w:tc>
        <w:tc>
          <w:tcPr>
            <w:tcW w:w="5820" w:type="dxa"/>
            <w:vAlign w:val="bottom"/>
            <w:gridSpan w:val="5"/>
          </w:tcPr>
          <w:p>
            <w:pPr>
              <w:jc w:val="right"/>
              <w:ind w:right="3220"/>
              <w:spacing w:after="0"/>
              <w:rPr>
                <w:sz w:val="20"/>
                <w:szCs w:val="20"/>
                <w:color w:val="auto"/>
              </w:rPr>
            </w:pPr>
            <w:r>
              <w:rPr>
                <w:rFonts w:ascii="Calibri" w:cs="Calibri" w:eastAsia="Calibri" w:hAnsi="Calibri"/>
                <w:sz w:val="18"/>
                <w:szCs w:val="18"/>
                <w:color w:val="auto"/>
              </w:rPr>
              <w:t>23</w:t>
            </w:r>
          </w:p>
        </w:tc>
        <w:tc>
          <w:tcPr>
            <w:tcW w:w="17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38"/>
        </w:trPr>
        <w:tc>
          <w:tcPr>
            <w:tcW w:w="2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4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Board of Directors and Shareholders</w:t>
      </w:r>
    </w:p>
    <w:p>
      <w:pPr>
        <w:spacing w:after="0" w:line="235" w:lineRule="auto"/>
        <w:rPr>
          <w:sz w:val="20"/>
          <w:szCs w:val="20"/>
          <w:color w:val="auto"/>
        </w:rPr>
      </w:pPr>
      <w:r>
        <w:rPr>
          <w:rFonts w:ascii="Calibri" w:cs="Calibri" w:eastAsia="Calibri" w:hAnsi="Calibri"/>
          <w:sz w:val="18"/>
          <w:szCs w:val="18"/>
          <w:b w:val="1"/>
          <w:bCs w:val="1"/>
          <w:color w:val="auto"/>
        </w:rPr>
        <w:t>Hawkins, Inc.</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 on internal control over fnancial reportng</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internal control over fnancial reportng of Hawkins, Inc. (a Minnesota corporaton) and subsidiaries (the “Company”) as of March 31, 2024, based on criteria established in the 2013 Internal Control—Integrated Framework issued by the Commitee of Sponsoring Organizatons of the Treadway Commission (“COSO”). In our opinion, the Company maintained, in all material respects, efectve internal control over fnancial reportng as of March 31, 2024, based on criteria established in the 2013 Internal Control—Integrated Framework issued by COSO.</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fnancial statements of the Company as of and for the year ended March 31, 2024, and our report dated May 15, 2024 expressed an unqualifed opinion on those fnancial statements.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(“Management’s Report”).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 of, and opinion on, the Company’s internal control over fnancial reportng does not include the internal control over fnancial reportng of Water Solutons, Miami Products, or Industrial Research, wholly-owned subsidiaries, whose fnancial statements refect total assets and revenues consttutng 15 and 2 percent, respectvely, of the related consolidated fnancial statement amounts as of and for the year ended March 31, 2024. As indicated in Management’s Report, Water Solutons, Miami Products, and Industrial Research were acquired during fscal 2024. Management’s asserton on the efectveness of the Company’s internal control over fnancial reportng excluded internal control over fnancial reportng of Water Solutons, Miami Products, and Industrial Research.</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and limitatons of internal control over fnancial reportng</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Minneapolis, Minnesota</w:t>
      </w:r>
    </w:p>
    <w:p>
      <w:pPr>
        <w:spacing w:after="0" w:line="235" w:lineRule="auto"/>
        <w:rPr>
          <w:sz w:val="20"/>
          <w:szCs w:val="20"/>
          <w:color w:val="auto"/>
        </w:rPr>
      </w:pPr>
      <w:r>
        <w:rPr>
          <w:rFonts w:ascii="Calibri" w:cs="Calibri" w:eastAsia="Calibri" w:hAnsi="Calibri"/>
          <w:sz w:val="18"/>
          <w:szCs w:val="18"/>
          <w:color w:val="auto"/>
        </w:rPr>
        <w:t>May 15, 2024</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jc w:val="center"/>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Board of Directors and Shareholders</w:t>
      </w:r>
    </w:p>
    <w:p>
      <w:pPr>
        <w:spacing w:after="0" w:line="235" w:lineRule="auto"/>
        <w:rPr>
          <w:sz w:val="20"/>
          <w:szCs w:val="20"/>
          <w:color w:val="auto"/>
        </w:rPr>
      </w:pPr>
      <w:r>
        <w:rPr>
          <w:rFonts w:ascii="Calibri" w:cs="Calibri" w:eastAsia="Calibri" w:hAnsi="Calibri"/>
          <w:sz w:val="18"/>
          <w:szCs w:val="18"/>
          <w:b w:val="1"/>
          <w:bCs w:val="1"/>
          <w:color w:val="auto"/>
        </w:rPr>
        <w:t>Hawkins, Inc.</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 on the fnancial statements</w:t>
      </w:r>
    </w:p>
    <w:p>
      <w:pPr>
        <w:spacing w:after="0" w:line="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balance sheets of Hawkins, Inc. (a Minnesota corporaton) and subsidiaries (the “Company”) as of March 31, 2024 and April 2, 2023 and the related consolidated statements of income, comprehensive income, shareholders’ equity, and cash fows for each of the three years in the period ended March 31, 2024, and the related notes and fnancial statement schedule included under Item 15(a) (collectvely referred to as the “fnancial statements”). In our opinion, the fnancial statements present fairly, in all material respects, the fnancial positon of the Company as of March 31, 2024 and April 2, 2023, and the results of its operatons and its cash fows for each of the three years in the period ended March 31, 2024, in conformity with accountng principles generally accepted in the United States of America.</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Company’s internal control over fnancial reportng as of March 31, 2024, based on criteria established in the 2013 Internal Control—Integrated Framework issued by the Commitee of Sponsoring Organizatons of the Treadway Commission (“COSO”), and our report dated May 15, 2024 expressed an unqualifed opinion.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w:t>
      </w:r>
    </w:p>
    <w:p>
      <w:pPr>
        <w:spacing w:after="0" w:line="4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audit maters</w:t>
      </w:r>
    </w:p>
    <w:p>
      <w:pPr>
        <w:spacing w:after="0" w:line="2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critcal audit maters does not alter in any way our opinion on the fnancial statements, taken as a whole, and we are not, by communicatng the critcal audit mater below, providing a separate opinion on the critcal audit mater or on the accounts or disclosures to which it relates.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Customer relatonships acquired with the Water Solutons Unlimited acquisiton</w:t>
      </w:r>
    </w:p>
    <w:p>
      <w:pPr>
        <w:spacing w:after="0" w:line="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described further in Note 2 to the fnancial statements, on October 27, 2023 the Company acquired substantally all of the assets of Water Solutons Unlimited, Inc. The total purchase price consideraton was $70.7 million, which allocated $39.0 million to separately identfed intangible assets, including customer relatonships of $32.4 million. The determinaton of the fair value of the customer relatonships requires management to make signifcant estmates and assumptons related to forecasts of future revenues, expenses, and the discount rate applied. Changes to these assumptons could materially afect the determinaton of the fair value of the customer relatonships. We identfed the fair value assigned to the customer relatonships included on the opening balance sheet as a critcal audit mater.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8" w:name="page29"/>
    <w:bookmarkEnd w:id="28"/>
    <w:p>
      <w:pPr>
        <w:jc w:val="both"/>
        <w:spacing w:after="0" w:line="235" w:lineRule="auto"/>
        <w:rPr>
          <w:sz w:val="20"/>
          <w:szCs w:val="20"/>
          <w:color w:val="auto"/>
        </w:rPr>
      </w:pPr>
      <w:r>
        <w:rPr>
          <w:rFonts w:ascii="Calibri" w:cs="Calibri" w:eastAsia="Calibri" w:hAnsi="Calibri"/>
          <w:sz w:val="18"/>
          <w:szCs w:val="18"/>
          <w:color w:val="auto"/>
        </w:rPr>
        <w:t>The principal consideratons for our determinaton that the valuaton of the acquired customer relatonships is a critcal audit mater is that management utlized signifcant judgement when estmatng the fair value assigned to the customer relatonships. In turn, auditng management’s judgements regarding the assigned fair value involved a high degree of subjectvity due to the estmaton uncertainty of management’s signifcant judgements.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Our audit procedures related to the estmated fair value assigned to the acquired customer relatonships included the following, among others.</w:t>
      </w:r>
    </w:p>
    <w:p>
      <w:pPr>
        <w:spacing w:after="0" w:line="15" w:lineRule="exact"/>
        <w:rPr>
          <w:sz w:val="20"/>
          <w:szCs w:val="20"/>
          <w:color w:val="auto"/>
        </w:rPr>
      </w:pPr>
    </w:p>
    <w:p>
      <w:pPr>
        <w:ind w:left="660" w:right="20" w:hanging="328"/>
        <w:spacing w:after="0" w:line="258" w:lineRule="auto"/>
        <w:tabs>
          <w:tab w:leader="none" w:pos="65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We obtained an understanding and tested the design of relevant controls within the Company’s process to value acquired customer relatonship assets, including the Company’s control over the selecton and review of the reasonableness of assumptons used in determining fair value.</w:t>
      </w:r>
    </w:p>
    <w:p>
      <w:pPr>
        <w:ind w:left="660" w:hanging="328"/>
        <w:spacing w:after="0" w:line="260" w:lineRule="auto"/>
        <w:tabs>
          <w:tab w:leader="none" w:pos="65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We evaluated the reasonableness of management’s signifcant assumptons, which included forecasted revenues and operatng expenses. We tested whether these forecasts were reasonable and consistent with historical performance.</w:t>
      </w:r>
    </w:p>
    <w:p>
      <w:pPr>
        <w:spacing w:after="0" w:line="9" w:lineRule="exact"/>
        <w:rPr>
          <w:rFonts w:ascii="Calibri" w:cs="Calibri" w:eastAsia="Calibri" w:hAnsi="Calibri"/>
          <w:sz w:val="18"/>
          <w:szCs w:val="18"/>
          <w:color w:val="auto"/>
        </w:rPr>
      </w:pPr>
    </w:p>
    <w:p>
      <w:pPr>
        <w:ind w:left="640" w:hanging="308"/>
        <w:spacing w:after="0"/>
        <w:tabs>
          <w:tab w:leader="none" w:pos="640"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We involved our valuaton professionals with specialized skills and knowledge, to evaluate key inputs and assumptons used to determine fair value.</w:t>
      </w:r>
    </w:p>
    <w:p>
      <w:pPr>
        <w:spacing w:after="0" w:line="35" w:lineRule="exact"/>
        <w:rPr>
          <w:rFonts w:ascii="Calibri" w:cs="Calibri" w:eastAsia="Calibri" w:hAnsi="Calibri"/>
          <w:sz w:val="17"/>
          <w:szCs w:val="17"/>
          <w:color w:val="auto"/>
        </w:rPr>
      </w:pPr>
    </w:p>
    <w:p>
      <w:pPr>
        <w:ind w:left="660"/>
        <w:spacing w:after="0" w:line="245" w:lineRule="auto"/>
        <w:rPr>
          <w:rFonts w:ascii="Calibri" w:cs="Calibri" w:eastAsia="Calibri" w:hAnsi="Calibri"/>
          <w:sz w:val="17"/>
          <w:szCs w:val="17"/>
          <w:color w:val="auto"/>
        </w:rPr>
      </w:pPr>
      <w:r>
        <w:rPr>
          <w:rFonts w:ascii="Calibri" w:cs="Calibri" w:eastAsia="Calibri" w:hAnsi="Calibri"/>
          <w:sz w:val="18"/>
          <w:szCs w:val="18"/>
          <w:color w:val="auto"/>
        </w:rPr>
        <w:t>Our valuaton professionals compared the discount rate used to value the customer relatonships to independently developed discount rates derived from publicly available data for comparable companies.</w:t>
      </w:r>
    </w:p>
    <w:p>
      <w:pPr>
        <w:spacing w:after="0" w:line="235"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Minneapolis, Minnesota</w:t>
      </w:r>
    </w:p>
    <w:p>
      <w:pPr>
        <w:spacing w:after="0" w:line="235" w:lineRule="auto"/>
        <w:rPr>
          <w:sz w:val="20"/>
          <w:szCs w:val="20"/>
          <w:color w:val="auto"/>
        </w:rPr>
      </w:pPr>
      <w:r>
        <w:rPr>
          <w:rFonts w:ascii="Calibri" w:cs="Calibri" w:eastAsia="Calibri" w:hAnsi="Calibri"/>
          <w:sz w:val="18"/>
          <w:szCs w:val="18"/>
          <w:color w:val="auto"/>
        </w:rPr>
        <w:t>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spacing w:after="0" w:line="236" w:lineRule="auto"/>
        <w:rPr>
          <w:sz w:val="20"/>
          <w:szCs w:val="20"/>
          <w:color w:val="auto"/>
        </w:rPr>
      </w:pPr>
      <w:r>
        <w:rPr>
          <w:rFonts w:ascii="Calibri" w:cs="Calibri" w:eastAsia="Calibri" w:hAnsi="Calibri"/>
          <w:sz w:val="18"/>
          <w:szCs w:val="18"/>
          <w:b w:val="1"/>
          <w:bCs w:val="1"/>
          <w:color w:val="auto"/>
        </w:rPr>
        <w:t>(In thousands, except share and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Calibri" w:cs="Calibri" w:eastAsia="Calibri" w:hAnsi="Calibri"/>
                <w:sz w:val="14"/>
                <w:szCs w:val="14"/>
                <w:b w:val="1"/>
                <w:bCs w:val="1"/>
                <w:color w:val="auto"/>
              </w:rPr>
              <w:t>March 31, 2024</w:t>
            </w:r>
          </w:p>
        </w:tc>
        <w:tc>
          <w:tcPr>
            <w:tcW w:w="320" w:type="dxa"/>
            <w:vAlign w:val="bottom"/>
          </w:tcPr>
          <w:p>
            <w:pPr>
              <w:spacing w:after="0"/>
              <w:rPr>
                <w:sz w:val="14"/>
                <w:szCs w:val="14"/>
                <w:color w:val="auto"/>
              </w:rPr>
            </w:pPr>
          </w:p>
        </w:tc>
        <w:tc>
          <w:tcPr>
            <w:tcW w:w="1520" w:type="dxa"/>
            <w:vAlign w:val="bottom"/>
          </w:tcPr>
          <w:p>
            <w:pPr>
              <w:jc w:val="right"/>
              <w:ind w:right="459"/>
              <w:spacing w:after="0"/>
              <w:rPr>
                <w:sz w:val="20"/>
                <w:szCs w:val="20"/>
                <w:color w:val="auto"/>
              </w:rPr>
            </w:pPr>
            <w:r>
              <w:rPr>
                <w:rFonts w:ascii="Calibri" w:cs="Calibri" w:eastAsia="Calibri" w:hAnsi="Calibri"/>
                <w:sz w:val="14"/>
                <w:szCs w:val="14"/>
                <w:b w:val="1"/>
                <w:bCs w:val="1"/>
                <w:color w:val="auto"/>
              </w:rPr>
              <w:t>April 2, 2023</w:t>
            </w:r>
          </w:p>
        </w:tc>
      </w:tr>
      <w:tr>
        <w:trPr>
          <w:trHeight w:val="47"/>
        </w:trPr>
        <w:tc>
          <w:tcPr>
            <w:tcW w:w="7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176"/>
        </w:trPr>
        <w:tc>
          <w:tcPr>
            <w:tcW w:w="74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2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r>
      <w:tr>
        <w:trPr>
          <w:trHeight w:val="193"/>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129,252</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88,777</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6,449</w:t>
            </w: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9"/>
        </w:trPr>
        <w:tc>
          <w:tcPr>
            <w:tcW w:w="746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current assets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232,044</w:t>
            </w:r>
          </w:p>
        </w:tc>
      </w:tr>
      <w:tr>
        <w:trPr>
          <w:trHeight w:val="193"/>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Land</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17,916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16,344</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Buildings and improvements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147,701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134,901</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Machinery and equipment</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141,262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125,970</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Transportaton equipment</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67,868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56,328</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Ofce furniture and equipment</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11,901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11,210</w:t>
            </w:r>
          </w:p>
        </w:tc>
      </w:tr>
      <w:tr>
        <w:trPr>
          <w:trHeight w:val="187"/>
        </w:trPr>
        <w:tc>
          <w:tcPr>
            <w:tcW w:w="74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386,648</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344,753</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Less accumulated depreciaton</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158,950</w:t>
            </w:r>
          </w:p>
        </w:tc>
      </w:tr>
      <w:tr>
        <w:trPr>
          <w:trHeight w:val="187"/>
        </w:trPr>
        <w:tc>
          <w:tcPr>
            <w:tcW w:w="7460" w:type="dxa"/>
            <w:vAlign w:val="bottom"/>
          </w:tcPr>
          <w:p>
            <w:pPr>
              <w:ind w:left="1120"/>
              <w:spacing w:after="0" w:line="174" w:lineRule="exact"/>
              <w:rPr>
                <w:sz w:val="20"/>
                <w:szCs w:val="20"/>
                <w:color w:val="auto"/>
              </w:rPr>
            </w:pPr>
            <w:r>
              <w:rPr>
                <w:rFonts w:ascii="Calibri" w:cs="Calibri" w:eastAsia="Calibri" w:hAnsi="Calibri"/>
                <w:sz w:val="16"/>
                <w:szCs w:val="16"/>
                <w:color w:val="auto"/>
              </w:rPr>
              <w:t>Net property, plant, and equipment</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185,803</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10,199</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73,060</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7,367</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4,661</w:t>
            </w: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746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172,688</w:t>
            </w:r>
          </w:p>
        </w:tc>
      </w:tr>
      <w:tr>
        <w:trPr>
          <w:trHeight w:val="187"/>
        </w:trPr>
        <w:tc>
          <w:tcPr>
            <w:tcW w:w="746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assets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5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590,535</w:t>
            </w:r>
          </w:p>
        </w:tc>
      </w:tr>
      <w:tr>
        <w:trPr>
          <w:trHeight w:val="23"/>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746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r>
      <w:tr>
        <w:trPr>
          <w:trHeight w:val="194"/>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53,705</w:t>
            </w:r>
          </w:p>
        </w:tc>
      </w:tr>
      <w:tr>
        <w:trPr>
          <w:trHeight w:val="194"/>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17,279</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193"/>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Income tax payable</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1,943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3,329</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Environmental remediaton</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4"/>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6,645</w:t>
            </w:r>
          </w:p>
        </w:tc>
      </w:tr>
      <w:tr>
        <w:trPr>
          <w:trHeight w:val="22"/>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0"/>
        </w:trPr>
        <w:tc>
          <w:tcPr>
            <w:tcW w:w="746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current liabilites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90,871</w:t>
            </w:r>
          </w:p>
        </w:tc>
      </w:tr>
      <w:tr>
        <w:trPr>
          <w:trHeight w:val="193"/>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88,818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101,731</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9,530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8,687</w:t>
            </w:r>
          </w:p>
        </w:tc>
      </w:tr>
      <w:tr>
        <w:trPr>
          <w:trHeight w:val="194"/>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3,538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3,912</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22,406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23,800</w:t>
            </w:r>
          </w:p>
        </w:tc>
      </w:tr>
      <w:tr>
        <w:trPr>
          <w:trHeight w:val="194"/>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11,764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9,343</w:t>
            </w: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EARNOUT LIABILITY</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11,235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1,310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2,175</w:t>
            </w: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0"/>
        </w:trPr>
        <w:tc>
          <w:tcPr>
            <w:tcW w:w="746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liabilites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240,519</w:t>
            </w:r>
          </w:p>
        </w:tc>
      </w:tr>
      <w:tr>
        <w:trPr>
          <w:trHeight w:val="193"/>
        </w:trPr>
        <w:tc>
          <w:tcPr>
            <w:tcW w:w="746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 (Note 12)</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57"/>
        </w:trPr>
        <w:tc>
          <w:tcPr>
            <w:tcW w:w="7460" w:type="dxa"/>
            <w:vAlign w:val="bottom"/>
          </w:tcPr>
          <w:p>
            <w:pPr>
              <w:ind w:left="360"/>
              <w:spacing w:after="0" w:line="157" w:lineRule="exact"/>
              <w:rPr>
                <w:sz w:val="20"/>
                <w:szCs w:val="20"/>
                <w:color w:val="auto"/>
              </w:rPr>
            </w:pPr>
            <w:r>
              <w:rPr>
                <w:rFonts w:ascii="Calibri" w:cs="Calibri" w:eastAsia="Calibri" w:hAnsi="Calibri"/>
                <w:sz w:val="16"/>
                <w:szCs w:val="16"/>
                <w:color w:val="auto"/>
              </w:rPr>
              <w:t>Common shares; authorized: 60,000,000 shares of $0.01 par value; 20,790,261 and 20,850,454 shares</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4"/>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issued and outstanding for 2024 and 2023, respectvely</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209</w:t>
            </w:r>
          </w:p>
        </w:tc>
      </w:tr>
      <w:tr>
        <w:trPr>
          <w:trHeight w:val="28"/>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44,443</w:t>
            </w:r>
          </w:p>
        </w:tc>
      </w:tr>
      <w:tr>
        <w:trPr>
          <w:trHeight w:val="194"/>
        </w:trPr>
        <w:tc>
          <w:tcPr>
            <w:tcW w:w="7460" w:type="dxa"/>
            <w:vAlign w:val="bottom"/>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28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Calibri" w:cs="Calibri" w:eastAsia="Calibri" w:hAnsi="Calibri"/>
                <w:sz w:val="16"/>
                <w:szCs w:val="16"/>
                <w:color w:val="auto"/>
              </w:rPr>
              <w:t>302,424</w:t>
            </w:r>
          </w:p>
        </w:tc>
      </w:tr>
      <w:tr>
        <w:trPr>
          <w:trHeight w:val="22"/>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2,940</w:t>
            </w:r>
          </w:p>
        </w:tc>
      </w:tr>
      <w:tr>
        <w:trPr>
          <w:trHeight w:val="187"/>
        </w:trPr>
        <w:tc>
          <w:tcPr>
            <w:tcW w:w="746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shareholders’ equity</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350,016</w:t>
            </w:r>
          </w:p>
        </w:tc>
      </w:tr>
      <w:tr>
        <w:trPr>
          <w:trHeight w:val="22"/>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746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liabilites and shareholders’ equity</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5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590,535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consolidated fnancial statements.</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INCOME</w:t>
      </w:r>
    </w:p>
    <w:p>
      <w:pPr>
        <w:spacing w:after="0" w:line="236" w:lineRule="auto"/>
        <w:rPr>
          <w:sz w:val="20"/>
          <w:szCs w:val="20"/>
          <w:color w:val="auto"/>
        </w:rPr>
      </w:pPr>
      <w:r>
        <w:rPr>
          <w:rFonts w:ascii="Calibri" w:cs="Calibri" w:eastAsia="Calibri" w:hAnsi="Calibri"/>
          <w:sz w:val="18"/>
          <w:szCs w:val="18"/>
          <w:b w:val="1"/>
          <w:bCs w:val="1"/>
          <w:color w:val="auto"/>
        </w:rPr>
        <w:t>(In thousands, except share and per-share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Fiscal Year Ended</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7"/>
        </w:trPr>
        <w:tc>
          <w:tcPr>
            <w:tcW w:w="58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163"/>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40"/>
              <w:spacing w:after="0" w:line="164" w:lineRule="exact"/>
              <w:rPr>
                <w:sz w:val="20"/>
                <w:szCs w:val="20"/>
                <w:color w:val="auto"/>
              </w:rPr>
            </w:pPr>
            <w:r>
              <w:rPr>
                <w:rFonts w:ascii="Calibri" w:cs="Calibri" w:eastAsia="Calibri" w:hAnsi="Calibri"/>
                <w:sz w:val="14"/>
                <w:szCs w:val="14"/>
                <w:b w:val="1"/>
                <w:bCs w:val="1"/>
                <w:color w:val="auto"/>
              </w:rPr>
              <w:t>March 31, 2024</w:t>
            </w:r>
          </w:p>
        </w:tc>
        <w:tc>
          <w:tcPr>
            <w:tcW w:w="240" w:type="dxa"/>
            <w:vAlign w:val="bottom"/>
          </w:tcPr>
          <w:p>
            <w:pPr>
              <w:spacing w:after="0"/>
              <w:rPr>
                <w:sz w:val="14"/>
                <w:szCs w:val="14"/>
                <w:color w:val="auto"/>
              </w:rPr>
            </w:pPr>
          </w:p>
        </w:tc>
        <w:tc>
          <w:tcPr>
            <w:tcW w:w="1600" w:type="dxa"/>
            <w:vAlign w:val="bottom"/>
            <w:gridSpan w:val="2"/>
          </w:tcPr>
          <w:p>
            <w:pPr>
              <w:jc w:val="center"/>
              <w:ind w:right="340"/>
              <w:spacing w:after="0" w:line="164" w:lineRule="exact"/>
              <w:rPr>
                <w:sz w:val="20"/>
                <w:szCs w:val="20"/>
                <w:color w:val="auto"/>
              </w:rPr>
            </w:pPr>
            <w:r>
              <w:rPr>
                <w:rFonts w:ascii="Calibri" w:cs="Calibri" w:eastAsia="Calibri" w:hAnsi="Calibri"/>
                <w:sz w:val="14"/>
                <w:szCs w:val="14"/>
                <w:b w:val="1"/>
                <w:bCs w:val="1"/>
                <w:color w:val="auto"/>
              </w:rPr>
              <w:t>April 02, 2023</w:t>
            </w:r>
          </w:p>
        </w:tc>
        <w:tc>
          <w:tcPr>
            <w:tcW w:w="280" w:type="dxa"/>
            <w:vAlign w:val="bottom"/>
          </w:tcPr>
          <w:p>
            <w:pPr>
              <w:spacing w:after="0"/>
              <w:rPr>
                <w:sz w:val="14"/>
                <w:szCs w:val="14"/>
                <w:color w:val="auto"/>
              </w:rPr>
            </w:pPr>
          </w:p>
        </w:tc>
        <w:tc>
          <w:tcPr>
            <w:tcW w:w="1440" w:type="dxa"/>
            <w:vAlign w:val="bottom"/>
          </w:tcPr>
          <w:p>
            <w:pPr>
              <w:jc w:val="right"/>
              <w:ind w:right="351"/>
              <w:spacing w:after="0" w:line="164" w:lineRule="exact"/>
              <w:rPr>
                <w:sz w:val="20"/>
                <w:szCs w:val="20"/>
                <w:color w:val="auto"/>
              </w:rPr>
            </w:pPr>
            <w:r>
              <w:rPr>
                <w:rFonts w:ascii="Calibri" w:cs="Calibri" w:eastAsia="Calibri" w:hAnsi="Calibri"/>
                <w:sz w:val="14"/>
                <w:szCs w:val="14"/>
                <w:b w:val="1"/>
                <w:bCs w:val="1"/>
                <w:color w:val="auto"/>
              </w:rPr>
              <w:t>April 03, 2022</w:t>
            </w:r>
          </w:p>
        </w:tc>
      </w:tr>
      <w:tr>
        <w:trPr>
          <w:trHeight w:val="33"/>
        </w:trPr>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8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919,162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935,098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774,541</w:t>
            </w:r>
          </w:p>
        </w:tc>
      </w:tr>
      <w:tr>
        <w:trPr>
          <w:trHeight w:val="223"/>
        </w:trPr>
        <w:tc>
          <w:tcPr>
            <w:tcW w:w="58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(725,526)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(769,979)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(628,021)</w:t>
            </w:r>
          </w:p>
        </w:tc>
      </w:tr>
      <w:tr>
        <w:trPr>
          <w:trHeight w:val="229"/>
        </w:trPr>
        <w:tc>
          <w:tcPr>
            <w:tcW w:w="58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193,636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165,119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146,520</w:t>
            </w:r>
          </w:p>
        </w:tc>
      </w:tr>
      <w:tr>
        <w:trPr>
          <w:trHeight w:val="223"/>
        </w:trPr>
        <w:tc>
          <w:tcPr>
            <w:tcW w:w="58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(89,600)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(76,969)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(75,326)</w:t>
            </w:r>
          </w:p>
        </w:tc>
      </w:tr>
      <w:tr>
        <w:trPr>
          <w:trHeight w:val="229"/>
        </w:trPr>
        <w:tc>
          <w:tcPr>
            <w:tcW w:w="58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104,036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88,150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71,194</w:t>
            </w:r>
          </w:p>
        </w:tc>
      </w:tr>
      <w:tr>
        <w:trPr>
          <w:trHeight w:val="222"/>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2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(5,234)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(1,404)</w:t>
            </w:r>
          </w:p>
        </w:tc>
      </w:tr>
      <w:tr>
        <w:trPr>
          <w:trHeight w:val="237"/>
        </w:trPr>
        <w:tc>
          <w:tcPr>
            <w:tcW w:w="58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w:t>
            </w: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(334)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189</w:t>
            </w:r>
          </w:p>
        </w:tc>
      </w:tr>
      <w:tr>
        <w:trPr>
          <w:trHeight w:val="216"/>
        </w:trPr>
        <w:tc>
          <w:tcPr>
            <w:tcW w:w="580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26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101,145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82,582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69,979</w:t>
            </w:r>
          </w:p>
        </w:tc>
      </w:tr>
      <w:tr>
        <w:trPr>
          <w:trHeight w:val="237"/>
        </w:trPr>
        <w:tc>
          <w:tcPr>
            <w:tcW w:w="58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(25,782)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(22,541)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(18,437)</w:t>
            </w:r>
          </w:p>
        </w:tc>
      </w:tr>
      <w:tr>
        <w:trPr>
          <w:trHeight w:val="217"/>
        </w:trPr>
        <w:tc>
          <w:tcPr>
            <w:tcW w:w="580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75,363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60,041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51,542</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3"/>
        </w:trPr>
        <w:tc>
          <w:tcPr>
            <w:tcW w:w="5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2"/>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outstanding-basic</w:t>
            </w:r>
          </w:p>
        </w:tc>
        <w:tc>
          <w:tcPr>
            <w:tcW w:w="2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20,864,348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20,848,077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20,947,234</w:t>
            </w:r>
          </w:p>
        </w:tc>
      </w:tr>
      <w:tr>
        <w:trPr>
          <w:trHeight w:val="237"/>
        </w:trPr>
        <w:tc>
          <w:tcPr>
            <w:tcW w:w="58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outstanding-diluted</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21,014,326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21,014,905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21,135,258</w:t>
            </w:r>
          </w:p>
        </w:tc>
      </w:tr>
      <w:tr>
        <w:trPr>
          <w:trHeight w:val="270"/>
        </w:trPr>
        <w:tc>
          <w:tcPr>
            <w:tcW w:w="5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58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2.46</w:t>
            </w:r>
          </w:p>
        </w:tc>
      </w:tr>
      <w:tr>
        <w:trPr>
          <w:trHeight w:val="222"/>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3.59</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2.86</w:t>
            </w:r>
          </w:p>
        </w:tc>
        <w:tc>
          <w:tcPr>
            <w:tcW w:w="12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2.44</w:t>
            </w:r>
          </w:p>
        </w:tc>
      </w:tr>
      <w:tr>
        <w:trPr>
          <w:trHeight w:val="277"/>
        </w:trPr>
        <w:tc>
          <w:tcPr>
            <w:tcW w:w="5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15"/>
        </w:trPr>
        <w:tc>
          <w:tcPr>
            <w:tcW w:w="5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and paid per common share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0.6300</w:t>
            </w:r>
          </w:p>
        </w:tc>
        <w:tc>
          <w:tcPr>
            <w:tcW w:w="100" w:type="dxa"/>
            <w:vAlign w:val="bottom"/>
          </w:tcPr>
          <w:p>
            <w:pPr>
              <w:spacing w:after="0"/>
              <w:rPr>
                <w:sz w:val="18"/>
                <w:szCs w:val="18"/>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0.5700</w:t>
            </w:r>
          </w:p>
        </w:tc>
        <w:tc>
          <w:tcPr>
            <w:tcW w:w="12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0.5225</w:t>
            </w:r>
          </w:p>
        </w:tc>
      </w:tr>
    </w:tbl>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2" w:right="39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Fiscal Year Ended</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7"/>
        </w:trPr>
        <w:tc>
          <w:tcPr>
            <w:tcW w:w="6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163"/>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00"/>
              <w:spacing w:after="0" w:line="164" w:lineRule="exact"/>
              <w:rPr>
                <w:sz w:val="20"/>
                <w:szCs w:val="20"/>
                <w:color w:val="auto"/>
              </w:rPr>
            </w:pPr>
            <w:r>
              <w:rPr>
                <w:rFonts w:ascii="Calibri" w:cs="Calibri" w:eastAsia="Calibri" w:hAnsi="Calibri"/>
                <w:sz w:val="14"/>
                <w:szCs w:val="14"/>
                <w:b w:val="1"/>
                <w:bCs w:val="1"/>
                <w:color w:val="auto"/>
              </w:rPr>
              <w:t>March 31, 2024</w:t>
            </w:r>
          </w:p>
        </w:tc>
        <w:tc>
          <w:tcPr>
            <w:tcW w:w="220" w:type="dxa"/>
            <w:vAlign w:val="bottom"/>
          </w:tcPr>
          <w:p>
            <w:pPr>
              <w:spacing w:after="0"/>
              <w:rPr>
                <w:sz w:val="14"/>
                <w:szCs w:val="14"/>
                <w:color w:val="auto"/>
              </w:rPr>
            </w:pPr>
          </w:p>
        </w:tc>
        <w:tc>
          <w:tcPr>
            <w:tcW w:w="1540" w:type="dxa"/>
            <w:vAlign w:val="bottom"/>
            <w:gridSpan w:val="2"/>
          </w:tcPr>
          <w:p>
            <w:pPr>
              <w:ind w:left="220"/>
              <w:spacing w:after="0" w:line="164" w:lineRule="exact"/>
              <w:rPr>
                <w:sz w:val="20"/>
                <w:szCs w:val="20"/>
                <w:color w:val="auto"/>
              </w:rPr>
            </w:pPr>
            <w:r>
              <w:rPr>
                <w:rFonts w:ascii="Calibri" w:cs="Calibri" w:eastAsia="Calibri" w:hAnsi="Calibri"/>
                <w:sz w:val="14"/>
                <w:szCs w:val="14"/>
                <w:b w:val="1"/>
                <w:bCs w:val="1"/>
                <w:color w:val="auto"/>
              </w:rPr>
              <w:t>April 2, 2023</w:t>
            </w:r>
          </w:p>
        </w:tc>
        <w:tc>
          <w:tcPr>
            <w:tcW w:w="260" w:type="dxa"/>
            <w:vAlign w:val="bottom"/>
          </w:tcPr>
          <w:p>
            <w:pPr>
              <w:spacing w:after="0"/>
              <w:rPr>
                <w:sz w:val="14"/>
                <w:szCs w:val="14"/>
                <w:color w:val="auto"/>
              </w:rPr>
            </w:pPr>
          </w:p>
        </w:tc>
        <w:tc>
          <w:tcPr>
            <w:tcW w:w="1380" w:type="dxa"/>
            <w:vAlign w:val="bottom"/>
          </w:tcPr>
          <w:p>
            <w:pPr>
              <w:jc w:val="right"/>
              <w:ind w:right="374"/>
              <w:spacing w:after="0" w:line="164" w:lineRule="exact"/>
              <w:rPr>
                <w:sz w:val="20"/>
                <w:szCs w:val="20"/>
                <w:color w:val="auto"/>
              </w:rPr>
            </w:pPr>
            <w:r>
              <w:rPr>
                <w:rFonts w:ascii="Calibri" w:cs="Calibri" w:eastAsia="Calibri" w:hAnsi="Calibri"/>
                <w:sz w:val="14"/>
                <w:szCs w:val="14"/>
                <w:b w:val="1"/>
                <w:bCs w:val="1"/>
                <w:color w:val="auto"/>
              </w:rPr>
              <w:t>April 3, 2022</w:t>
            </w:r>
          </w:p>
        </w:tc>
      </w:tr>
      <w:tr>
        <w:trPr>
          <w:trHeight w:val="33"/>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2"/>
        </w:trPr>
        <w:tc>
          <w:tcPr>
            <w:tcW w:w="61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75,363</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60,041</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51,542</w:t>
            </w:r>
          </w:p>
        </w:tc>
      </w:tr>
      <w:tr>
        <w:trPr>
          <w:trHeight w:val="237"/>
        </w:trPr>
        <w:tc>
          <w:tcPr>
            <w:tcW w:w="61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comprehensive income, net of tax:</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3"/>
        </w:trPr>
        <w:tc>
          <w:tcPr>
            <w:tcW w:w="610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Unrealized gain on interest rate swap</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1,291</w:t>
            </w:r>
          </w:p>
        </w:tc>
      </w:tr>
      <w:tr>
        <w:trPr>
          <w:trHeight w:val="223"/>
        </w:trPr>
        <w:tc>
          <w:tcPr>
            <w:tcW w:w="61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1,291</w:t>
            </w:r>
          </w:p>
        </w:tc>
      </w:tr>
      <w:tr>
        <w:trPr>
          <w:trHeight w:val="229"/>
        </w:trPr>
        <w:tc>
          <w:tcPr>
            <w:tcW w:w="6100" w:type="dxa"/>
            <w:vAlign w:val="bottom"/>
          </w:tcPr>
          <w:p>
            <w:pPr>
              <w:ind w:left="20"/>
              <w:spacing w:after="0"/>
              <w:rPr>
                <w:sz w:val="20"/>
                <w:szCs w:val="20"/>
                <w:color w:val="auto"/>
              </w:rPr>
            </w:pPr>
            <w:r>
              <w:rPr>
                <w:rFonts w:ascii="Calibri" w:cs="Calibri" w:eastAsia="Calibri" w:hAnsi="Calibri"/>
                <w:sz w:val="18"/>
                <w:szCs w:val="18"/>
                <w:color w:val="auto"/>
              </w:rPr>
              <w:t>Total comprehensive income</w:t>
            </w: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75,538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61,690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52,833</w:t>
            </w:r>
          </w:p>
        </w:tc>
      </w:tr>
      <w:tr>
        <w:trPr>
          <w:trHeight w:val="21"/>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color w:val="auto"/>
        </w:rPr>
        <w:t>HAWKINS, INC.</w:t>
      </w:r>
    </w:p>
    <w:p>
      <w:pPr>
        <w:spacing w:after="0" w:line="1" w:lineRule="exact"/>
        <w:rPr>
          <w:sz w:val="20"/>
          <w:szCs w:val="20"/>
          <w:color w:val="auto"/>
        </w:rPr>
      </w:pPr>
    </w:p>
    <w:p>
      <w:pPr>
        <w:ind w:right="1180"/>
        <w:spacing w:after="0" w:line="235" w:lineRule="auto"/>
        <w:rPr>
          <w:sz w:val="20"/>
          <w:szCs w:val="20"/>
          <w:color w:val="auto"/>
        </w:rPr>
      </w:pPr>
      <w:r>
        <w:rPr>
          <w:rFonts w:ascii="Calibri" w:cs="Calibri" w:eastAsia="Calibri" w:hAnsi="Calibri"/>
          <w:sz w:val="18"/>
          <w:szCs w:val="18"/>
          <w:b w:val="1"/>
          <w:bCs w:val="1"/>
          <w:color w:val="auto"/>
        </w:rPr>
        <w:t>CONSOLIDATED STATEMENTS OF SHAREHOLDERS’ EQUITY (In thousands, except share data)</w:t>
      </w:r>
    </w:p>
    <w:p>
      <w:pPr>
        <w:spacing w:after="0" w:line="103" w:lineRule="exact"/>
        <w:rPr>
          <w:sz w:val="20"/>
          <w:szCs w:val="20"/>
          <w:color w:val="auto"/>
        </w:rPr>
      </w:pPr>
    </w:p>
    <w:p>
      <w:pPr>
        <w:ind w:left="3940"/>
        <w:spacing w:after="0"/>
        <w:rPr>
          <w:sz w:val="20"/>
          <w:szCs w:val="20"/>
          <w:color w:val="auto"/>
        </w:rPr>
      </w:pPr>
      <w:r>
        <w:rPr>
          <w:rFonts w:ascii="Calibri" w:cs="Calibri" w:eastAsia="Calibri" w:hAnsi="Calibri"/>
          <w:sz w:val="14"/>
          <w:szCs w:val="1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29845</wp:posOffset>
            </wp:positionV>
            <wp:extent cx="16287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0"/>
          <w:szCs w:val="20"/>
          <w:color w:val="auto"/>
        </w:rPr>
      </w:pPr>
    </w:p>
    <w:p>
      <w:pPr>
        <w:jc w:val="both"/>
        <w:ind w:left="3560"/>
        <w:spacing w:after="0"/>
        <w:tabs>
          <w:tab w:leader="none" w:pos="4820" w:val="left"/>
        </w:tabs>
        <w:rPr>
          <w:sz w:val="20"/>
          <w:szCs w:val="20"/>
          <w:color w:val="auto"/>
        </w:rPr>
      </w:pPr>
      <w:r>
        <w:rPr>
          <w:rFonts w:ascii="Calibri" w:cs="Calibri" w:eastAsia="Calibri" w:hAnsi="Calibri"/>
          <w:sz w:val="14"/>
          <w:szCs w:val="14"/>
          <w:b w:val="1"/>
          <w:bCs w:val="1"/>
          <w:color w:val="auto"/>
        </w:rPr>
        <w:t>Shares</w:t>
      </w:r>
      <w:r>
        <w:rPr>
          <w:sz w:val="20"/>
          <w:szCs w:val="20"/>
          <w:color w:val="auto"/>
        </w:rPr>
        <w:tab/>
      </w:r>
      <w:r>
        <w:rPr>
          <w:rFonts w:ascii="Calibri" w:cs="Calibri" w:eastAsia="Calibri" w:hAnsi="Calibri"/>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jc w:val="center"/>
              <w:ind w:right="308"/>
              <w:spacing w:after="0"/>
              <w:rPr>
                <w:sz w:val="20"/>
                <w:szCs w:val="20"/>
                <w:color w:val="auto"/>
              </w:rPr>
            </w:pPr>
            <w:r>
              <w:rPr>
                <w:rFonts w:ascii="Calibri" w:cs="Calibri" w:eastAsia="Calibri" w:hAnsi="Calibri"/>
                <w:sz w:val="14"/>
                <w:szCs w:val="14"/>
                <w:b w:val="1"/>
                <w:bCs w:val="1"/>
                <w:color w:val="auto"/>
              </w:rPr>
              <w:t>Additonal</w:t>
            </w:r>
          </w:p>
        </w:tc>
        <w:tc>
          <w:tcPr>
            <w:tcW w:w="1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alibri" w:cs="Calibri" w:eastAsia="Calibri" w:hAnsi="Calibri"/>
                <w:sz w:val="14"/>
                <w:szCs w:val="14"/>
                <w:b w:val="1"/>
                <w:bCs w:val="1"/>
                <w:color w:val="auto"/>
              </w:rPr>
              <w:t>Accumulated Other</w:t>
            </w:r>
          </w:p>
        </w:tc>
        <w:tc>
          <w:tcPr>
            <w:tcW w:w="1020" w:type="dxa"/>
            <w:vAlign w:val="bottom"/>
          </w:tcPr>
          <w:p>
            <w:pPr>
              <w:jc w:val="center"/>
              <w:ind w:left="148"/>
              <w:spacing w:after="0"/>
              <w:rPr>
                <w:sz w:val="20"/>
                <w:szCs w:val="20"/>
                <w:color w:val="auto"/>
              </w:rPr>
            </w:pPr>
            <w:r>
              <w:rPr>
                <w:rFonts w:ascii="Calibri" w:cs="Calibri" w:eastAsia="Calibri" w:hAnsi="Calibri"/>
                <w:sz w:val="14"/>
                <w:szCs w:val="14"/>
                <w:b w:val="1"/>
                <w:bCs w:val="1"/>
                <w:color w:val="auto"/>
                <w:w w:val="94"/>
              </w:rPr>
              <w:t>Total</w:t>
            </w:r>
          </w:p>
        </w:tc>
      </w:tr>
      <w:tr>
        <w:trPr>
          <w:trHeight w:val="136"/>
        </w:trPr>
        <w:tc>
          <w:tcPr>
            <w:tcW w:w="1020" w:type="dxa"/>
            <w:vAlign w:val="bottom"/>
          </w:tcPr>
          <w:p>
            <w:pPr>
              <w:jc w:val="center"/>
              <w:ind w:right="308"/>
              <w:spacing w:after="0" w:line="136" w:lineRule="exact"/>
              <w:rPr>
                <w:sz w:val="20"/>
                <w:szCs w:val="20"/>
                <w:color w:val="auto"/>
              </w:rPr>
            </w:pPr>
            <w:r>
              <w:rPr>
                <w:rFonts w:ascii="Calibri" w:cs="Calibri" w:eastAsia="Calibri" w:hAnsi="Calibri"/>
                <w:sz w:val="14"/>
                <w:szCs w:val="14"/>
                <w:b w:val="1"/>
                <w:bCs w:val="1"/>
                <w:color w:val="auto"/>
                <w:w w:val="98"/>
              </w:rPr>
              <w:t>Paid-in</w:t>
            </w:r>
          </w:p>
        </w:tc>
        <w:tc>
          <w:tcPr>
            <w:tcW w:w="1180" w:type="dxa"/>
            <w:vAlign w:val="bottom"/>
          </w:tcPr>
          <w:p>
            <w:pPr>
              <w:ind w:left="380"/>
              <w:spacing w:after="0" w:line="136" w:lineRule="exact"/>
              <w:rPr>
                <w:sz w:val="20"/>
                <w:szCs w:val="20"/>
                <w:color w:val="auto"/>
              </w:rPr>
            </w:pPr>
            <w:r>
              <w:rPr>
                <w:rFonts w:ascii="Calibri" w:cs="Calibri" w:eastAsia="Calibri" w:hAnsi="Calibri"/>
                <w:sz w:val="14"/>
                <w:szCs w:val="14"/>
                <w:b w:val="1"/>
                <w:bCs w:val="1"/>
                <w:color w:val="auto"/>
              </w:rPr>
              <w:t>Retained</w:t>
            </w:r>
          </w:p>
        </w:tc>
        <w:tc>
          <w:tcPr>
            <w:tcW w:w="1640" w:type="dxa"/>
            <w:vAlign w:val="bottom"/>
          </w:tcPr>
          <w:p>
            <w:pPr>
              <w:jc w:val="center"/>
              <w:spacing w:after="0" w:line="136" w:lineRule="exact"/>
              <w:rPr>
                <w:sz w:val="20"/>
                <w:szCs w:val="20"/>
                <w:color w:val="auto"/>
              </w:rPr>
            </w:pPr>
            <w:r>
              <w:rPr>
                <w:rFonts w:ascii="Calibri" w:cs="Calibri" w:eastAsia="Calibri" w:hAnsi="Calibri"/>
                <w:sz w:val="14"/>
                <w:szCs w:val="14"/>
                <w:b w:val="1"/>
                <w:bCs w:val="1"/>
                <w:color w:val="auto"/>
              </w:rPr>
              <w:t>Comprehensive</w:t>
            </w:r>
          </w:p>
        </w:tc>
        <w:tc>
          <w:tcPr>
            <w:tcW w:w="1020" w:type="dxa"/>
            <w:vAlign w:val="bottom"/>
          </w:tcPr>
          <w:p>
            <w:pPr>
              <w:jc w:val="center"/>
              <w:ind w:left="128"/>
              <w:spacing w:after="0" w:line="136" w:lineRule="exact"/>
              <w:rPr>
                <w:sz w:val="20"/>
                <w:szCs w:val="20"/>
                <w:color w:val="auto"/>
              </w:rPr>
            </w:pPr>
            <w:r>
              <w:rPr>
                <w:rFonts w:ascii="Calibri" w:cs="Calibri" w:eastAsia="Calibri" w:hAnsi="Calibri"/>
                <w:sz w:val="14"/>
                <w:szCs w:val="14"/>
                <w:b w:val="1"/>
                <w:bCs w:val="1"/>
                <w:color w:val="auto"/>
              </w:rPr>
              <w:t>Shareholders’</w:t>
            </w:r>
          </w:p>
        </w:tc>
      </w:tr>
      <w:tr>
        <w:trPr>
          <w:trHeight w:val="183"/>
        </w:trPr>
        <w:tc>
          <w:tcPr>
            <w:tcW w:w="1020" w:type="dxa"/>
            <w:vAlign w:val="bottom"/>
          </w:tcPr>
          <w:p>
            <w:pPr>
              <w:jc w:val="center"/>
              <w:ind w:right="308"/>
              <w:spacing w:after="0"/>
              <w:rPr>
                <w:sz w:val="20"/>
                <w:szCs w:val="20"/>
                <w:color w:val="auto"/>
              </w:rPr>
            </w:pPr>
            <w:r>
              <w:rPr>
                <w:rFonts w:ascii="Calibri" w:cs="Calibri" w:eastAsia="Calibri" w:hAnsi="Calibri"/>
                <w:sz w:val="14"/>
                <w:szCs w:val="14"/>
                <w:b w:val="1"/>
                <w:bCs w:val="1"/>
                <w:color w:val="auto"/>
                <w:w w:val="98"/>
              </w:rPr>
              <w:t>Capital</w:t>
            </w:r>
          </w:p>
        </w:tc>
        <w:tc>
          <w:tcPr>
            <w:tcW w:w="1180" w:type="dxa"/>
            <w:vAlign w:val="bottom"/>
          </w:tcPr>
          <w:p>
            <w:pPr>
              <w:ind w:left="380"/>
              <w:spacing w:after="0"/>
              <w:rPr>
                <w:sz w:val="20"/>
                <w:szCs w:val="20"/>
                <w:color w:val="auto"/>
              </w:rPr>
            </w:pPr>
            <w:r>
              <w:rPr>
                <w:rFonts w:ascii="Calibri" w:cs="Calibri" w:eastAsia="Calibri" w:hAnsi="Calibri"/>
                <w:sz w:val="14"/>
                <w:szCs w:val="14"/>
                <w:b w:val="1"/>
                <w:bCs w:val="1"/>
                <w:color w:val="auto"/>
              </w:rPr>
              <w:t>Earnings</w:t>
            </w:r>
          </w:p>
        </w:tc>
        <w:tc>
          <w:tcPr>
            <w:tcW w:w="1640" w:type="dxa"/>
            <w:vAlign w:val="bottom"/>
          </w:tcPr>
          <w:p>
            <w:pPr>
              <w:jc w:val="center"/>
              <w:spacing w:after="0"/>
              <w:rPr>
                <w:sz w:val="20"/>
                <w:szCs w:val="20"/>
                <w:color w:val="auto"/>
              </w:rPr>
            </w:pPr>
            <w:r>
              <w:rPr>
                <w:rFonts w:ascii="Calibri" w:cs="Calibri" w:eastAsia="Calibri" w:hAnsi="Calibri"/>
                <w:sz w:val="14"/>
                <w:szCs w:val="14"/>
                <w:b w:val="1"/>
                <w:bCs w:val="1"/>
                <w:color w:val="auto"/>
              </w:rPr>
              <w:t>Income (Loss)</w:t>
            </w:r>
          </w:p>
        </w:tc>
        <w:tc>
          <w:tcPr>
            <w:tcW w:w="1020" w:type="dxa"/>
            <w:vAlign w:val="bottom"/>
          </w:tcPr>
          <w:p>
            <w:pPr>
              <w:jc w:val="center"/>
              <w:ind w:left="148"/>
              <w:spacing w:after="0"/>
              <w:rPr>
                <w:sz w:val="20"/>
                <w:szCs w:val="20"/>
                <w:color w:val="auto"/>
              </w:rPr>
            </w:pPr>
            <w:r>
              <w:rPr>
                <w:rFonts w:ascii="Calibri" w:cs="Calibri" w:eastAsia="Calibri" w:hAnsi="Calibri"/>
                <w:sz w:val="14"/>
                <w:szCs w:val="14"/>
                <w:b w:val="1"/>
                <w:bCs w:val="1"/>
                <w:color w:val="auto"/>
                <w:w w:val="97"/>
              </w:rPr>
              <w:t>Equity</w:t>
            </w:r>
          </w:p>
        </w:tc>
      </w:tr>
    </w:tbl>
    <w:p>
      <w:pPr>
        <w:spacing w:after="0" w:line="13" w:lineRule="exact"/>
        <w:rPr>
          <w:sz w:val="20"/>
          <w:szCs w:val="20"/>
          <w:color w:val="auto"/>
        </w:rPr>
      </w:pPr>
    </w:p>
    <w:p>
      <w:pPr>
        <w:sectPr>
          <w:pgSz w:w="11900" w:h="16838" w:orient="portrait"/>
          <w:cols w:equalWidth="0" w:num="2">
            <w:col w:w="5380" w:space="720"/>
            <w:col w:w="5120"/>
          </w:cols>
          <w:pgMar w:left="320" w:top="922" w:right="359" w:bottom="1440" w:gutter="0" w:footer="0" w:header="0"/>
        </w:sectPr>
      </w:pPr>
    </w:p>
    <w:tbl>
      <w:tblPr>
        <w:tblLayout w:type="fixed"/>
        <w:tblInd w:w="0" w:type="dxa"/>
        <w:tblCellMar>
          <w:top w:w="0" w:type="dxa"/>
          <w:left w:w="0" w:type="dxa"/>
          <w:bottom w:w="0" w:type="dxa"/>
          <w:right w:w="0" w:type="dxa"/>
        </w:tblCellMar>
      </w:tblPr>
      <w:tr>
        <w:trPr>
          <w:trHeight w:val="261"/>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7"/>
                <w:szCs w:val="17"/>
                <w:color w:val="auto"/>
              </w:rPr>
              <w:t>BALANCE — March 28,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20,969,746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Calibri" w:cs="Calibri" w:eastAsia="Calibri" w:hAnsi="Calibri"/>
                <w:sz w:val="17"/>
                <w:szCs w:val="17"/>
                <w:color w:val="auto"/>
                <w:w w:val="9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Calibri" w:cs="Calibri" w:eastAsia="Calibri" w:hAnsi="Calibri"/>
                <w:sz w:val="17"/>
                <w:szCs w:val="17"/>
                <w:color w:val="auto"/>
                <w:w w:val="9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51,138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Calibri" w:cs="Calibri" w:eastAsia="Calibri" w:hAnsi="Calibri"/>
                <w:sz w:val="17"/>
                <w:szCs w:val="17"/>
                <w:color w:val="auto"/>
                <w:w w:val="9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213,898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Calibri" w:cs="Calibri" w:eastAsia="Calibri" w:hAnsi="Calibri"/>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265,246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360"/>
              <w:spacing w:after="0" w:line="205" w:lineRule="exact"/>
              <w:rPr>
                <w:sz w:val="20"/>
                <w:szCs w:val="20"/>
                <w:color w:val="auto"/>
              </w:rPr>
            </w:pPr>
            <w:r>
              <w:rPr>
                <w:rFonts w:ascii="Calibri" w:cs="Calibri" w:eastAsia="Calibri" w:hAnsi="Calibri"/>
                <w:sz w:val="17"/>
                <w:szCs w:val="17"/>
                <w:color w:val="auto"/>
              </w:rPr>
              <w:t>Cash dividends declared and paid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vMerge w:val="continue"/>
          </w:tcPr>
          <w:p>
            <w:pPr>
              <w:spacing w:after="0"/>
              <w:rPr>
                <w:sz w:val="16"/>
                <w:szCs w:val="16"/>
                <w:color w:val="auto"/>
              </w:rPr>
            </w:pPr>
          </w:p>
        </w:tc>
        <w:tc>
          <w:tcPr>
            <w:tcW w:w="122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85" w:lineRule="exact"/>
              <w:rPr>
                <w:sz w:val="20"/>
                <w:szCs w:val="20"/>
                <w:color w:val="auto"/>
              </w:rPr>
            </w:pPr>
            <w:r>
              <w:rPr>
                <w:rFonts w:ascii="Calibri" w:cs="Calibri" w:eastAsia="Calibri" w:hAnsi="Calibri"/>
                <w:sz w:val="17"/>
                <w:szCs w:val="17"/>
                <w:color w:val="auto"/>
              </w:rPr>
              <w:t>(11,056)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line="185" w:lineRule="exact"/>
              <w:rPr>
                <w:sz w:val="20"/>
                <w:szCs w:val="20"/>
                <w:color w:val="auto"/>
              </w:rPr>
            </w:pPr>
            <w:r>
              <w:rPr>
                <w:rFonts w:ascii="Calibri" w:cs="Calibri" w:eastAsia="Calibri" w:hAnsi="Calibri"/>
                <w:sz w:val="17"/>
                <w:szCs w:val="17"/>
                <w:color w:val="auto"/>
              </w:rPr>
              <w:t>—</w:t>
            </w:r>
          </w:p>
        </w:tc>
        <w:tc>
          <w:tcPr>
            <w:tcW w:w="1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line="185" w:lineRule="exact"/>
              <w:rPr>
                <w:sz w:val="20"/>
                <w:szCs w:val="20"/>
                <w:color w:val="auto"/>
              </w:rPr>
            </w:pPr>
            <w:r>
              <w:rPr>
                <w:rFonts w:ascii="Calibri" w:cs="Calibri" w:eastAsia="Calibri" w:hAnsi="Calibri"/>
                <w:sz w:val="17"/>
                <w:szCs w:val="17"/>
                <w:color w:val="auto"/>
              </w:rPr>
              <w:t>(11,056)</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Share-based compensaton expense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3,818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3,818</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Vestng of restricted stock</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134,230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surrendered for payroll taxes</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(45,390)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(1,467)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(1,467)</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ESPP shares issued</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71,692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1,772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1,772</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repurchased</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(240,501)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(8,543)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(8,545)</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Other comprehensive loss, net of tax</w:t>
            </w:r>
          </w:p>
        </w:tc>
        <w:tc>
          <w:tcPr>
            <w:tcW w:w="13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Calibri" w:cs="Calibri" w:eastAsia="Calibri" w:hAnsi="Calibri"/>
                <w:sz w:val="17"/>
                <w:szCs w:val="17"/>
                <w:color w:val="auto"/>
              </w:rPr>
              <w:t>1,291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1,291</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tcBorders>
              <w:bottom w:val="single" w:sz="8" w:color="CCEEFF"/>
            </w:tcBorders>
            <w:shd w:val="clear" w:color="auto" w:fill="CCEEFF"/>
          </w:tcPr>
          <w:p>
            <w:pPr>
              <w:ind w:left="680"/>
              <w:spacing w:after="0" w:line="205" w:lineRule="exact"/>
              <w:rPr>
                <w:sz w:val="20"/>
                <w:szCs w:val="20"/>
                <w:color w:val="auto"/>
              </w:rPr>
            </w:pPr>
            <w:r>
              <w:rPr>
                <w:rFonts w:ascii="Calibri" w:cs="Calibri" w:eastAsia="Calibri" w:hAnsi="Calibri"/>
                <w:sz w:val="17"/>
                <w:szCs w:val="17"/>
                <w:color w:val="auto"/>
              </w:rPr>
              <w:t>Net income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51,542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51,542</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85" w:lineRule="exact"/>
              <w:rPr>
                <w:sz w:val="20"/>
                <w:szCs w:val="20"/>
                <w:color w:val="auto"/>
              </w:rPr>
            </w:pPr>
            <w:r>
              <w:rPr>
                <w:rFonts w:ascii="Calibri" w:cs="Calibri" w:eastAsia="Calibri" w:hAnsi="Calibri"/>
                <w:sz w:val="17"/>
                <w:szCs w:val="17"/>
                <w:color w:val="auto"/>
              </w:rPr>
              <w:t>BALANCE — April 3, 2022</w:t>
            </w:r>
          </w:p>
        </w:tc>
        <w:tc>
          <w:tcPr>
            <w:tcW w:w="12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20,889,777</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15"/>
              <w:spacing w:after="0" w:line="198" w:lineRule="exact"/>
              <w:rPr>
                <w:sz w:val="20"/>
                <w:szCs w:val="20"/>
                <w:color w:val="auto"/>
              </w:rPr>
            </w:pPr>
            <w:r>
              <w:rPr>
                <w:rFonts w:ascii="Calibri" w:cs="Calibri" w:eastAsia="Calibri" w:hAnsi="Calibri"/>
                <w:sz w:val="17"/>
                <w:szCs w:val="17"/>
                <w:color w:val="auto"/>
                <w:w w:val="92"/>
              </w:rPr>
              <w:t>$</w:t>
            </w:r>
          </w:p>
        </w:tc>
        <w:tc>
          <w:tcPr>
            <w:tcW w:w="7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209</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86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46,717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90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254,384</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75"/>
              <w:spacing w:after="0" w:line="198" w:lineRule="exact"/>
              <w:rPr>
                <w:sz w:val="20"/>
                <w:szCs w:val="20"/>
                <w:color w:val="auto"/>
              </w:rPr>
            </w:pPr>
            <w:r>
              <w:rPr>
                <w:rFonts w:ascii="Calibri" w:cs="Calibri" w:eastAsia="Calibri" w:hAnsi="Calibri"/>
                <w:sz w:val="17"/>
                <w:szCs w:val="17"/>
                <w:color w:val="auto"/>
              </w:rPr>
              <w:t>$</w:t>
            </w:r>
          </w:p>
        </w:tc>
        <w:tc>
          <w:tcPr>
            <w:tcW w:w="8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1,291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302,601</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360"/>
              <w:spacing w:after="0" w:line="185" w:lineRule="exact"/>
              <w:rPr>
                <w:sz w:val="20"/>
                <w:szCs w:val="20"/>
                <w:color w:val="auto"/>
              </w:rPr>
            </w:pPr>
            <w:r>
              <w:rPr>
                <w:rFonts w:ascii="Calibri" w:cs="Calibri" w:eastAsia="Calibri" w:hAnsi="Calibri"/>
                <w:sz w:val="17"/>
                <w:szCs w:val="17"/>
                <w:color w:val="auto"/>
              </w:rPr>
              <w:t>Cash dividends declared and paid</w:t>
            </w:r>
          </w:p>
        </w:tc>
        <w:tc>
          <w:tcPr>
            <w:tcW w:w="122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(12,001)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7"/>
                <w:szCs w:val="17"/>
                <w:color w:val="auto"/>
              </w:rPr>
              <w:t>(12,001)</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Share-based compensaton expense</w:t>
            </w:r>
          </w:p>
        </w:tc>
        <w:tc>
          <w:tcPr>
            <w:tcW w:w="13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3,825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3,825</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Vestng of restricted stock</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113,147</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Shares surrendered for payroll taxes</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(36,410)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(1,550)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(1,550)</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ESPP shares issued</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65,597</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2,008</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Shares repurchased</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(181,657)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(6,555)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(6,557)</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40" w:type="dxa"/>
            <w:vAlign w:val="bottom"/>
            <w:shd w:val="clear" w:color="auto" w:fill="CCEEFF"/>
          </w:tcPr>
          <w:p>
            <w:pPr>
              <w:ind w:left="360"/>
              <w:spacing w:after="0" w:line="162" w:lineRule="exact"/>
              <w:rPr>
                <w:sz w:val="20"/>
                <w:szCs w:val="20"/>
                <w:color w:val="auto"/>
              </w:rPr>
            </w:pPr>
            <w:r>
              <w:rPr>
                <w:rFonts w:ascii="Calibri" w:cs="Calibri" w:eastAsia="Calibri" w:hAnsi="Calibri"/>
                <w:sz w:val="17"/>
                <w:szCs w:val="17"/>
                <w:color w:val="auto"/>
              </w:rPr>
              <w:t>Other comprehensive income, net of</w:t>
            </w:r>
          </w:p>
        </w:tc>
        <w:tc>
          <w:tcPr>
            <w:tcW w:w="1340" w:type="dxa"/>
            <w:vAlign w:val="bottom"/>
            <w:gridSpan w:val="2"/>
            <w:vMerge w:val="restart"/>
            <w:shd w:val="clear" w:color="auto" w:fill="CCEEFF"/>
          </w:tcPr>
          <w:p>
            <w:pPr>
              <w:jc w:val="right"/>
              <w:ind w:right="180"/>
              <w:spacing w:after="0"/>
              <w:rPr>
                <w:sz w:val="20"/>
                <w:szCs w:val="20"/>
                <w:color w:val="auto"/>
              </w:rPr>
            </w:pPr>
            <w:r>
              <w:rPr>
                <w:rFonts w:ascii="Calibri" w:cs="Calibri" w:eastAsia="Calibri" w:hAnsi="Calibri"/>
                <w:sz w:val="17"/>
                <w:szCs w:val="17"/>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Calibri" w:cs="Calibri" w:eastAsia="Calibri" w:hAnsi="Calibri"/>
                <w:sz w:val="17"/>
                <w:szCs w:val="17"/>
                <w:color w:val="auto"/>
              </w:rPr>
              <w:t>—</w:t>
            </w:r>
          </w:p>
        </w:tc>
        <w:tc>
          <w:tcPr>
            <w:tcW w:w="3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Calibri" w:cs="Calibri" w:eastAsia="Calibri" w:hAnsi="Calibri"/>
                <w:sz w:val="17"/>
                <w:szCs w:val="17"/>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Calibri" w:cs="Calibri" w:eastAsia="Calibri" w:hAnsi="Calibri"/>
                <w:sz w:val="17"/>
                <w:szCs w:val="17"/>
                <w:color w:val="auto"/>
              </w:rPr>
              <w:t>—</w:t>
            </w:r>
          </w:p>
        </w:tc>
        <w:tc>
          <w:tcPr>
            <w:tcW w:w="4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Calibri" w:cs="Calibri" w:eastAsia="Calibri" w:hAnsi="Calibri"/>
                <w:sz w:val="17"/>
                <w:szCs w:val="17"/>
                <w:color w:val="auto"/>
              </w:rPr>
              <w:t>1,649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Calibri" w:cs="Calibri" w:eastAsia="Calibri" w:hAnsi="Calibri"/>
                <w:sz w:val="17"/>
                <w:szCs w:val="17"/>
                <w:color w:val="auto"/>
              </w:rPr>
              <w:t>1,649</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tax</w:t>
            </w:r>
          </w:p>
        </w:tc>
        <w:tc>
          <w:tcPr>
            <w:tcW w:w="1340" w:type="dxa"/>
            <w:vAlign w:val="bottom"/>
            <w:tcBorders>
              <w:bottom w:val="single" w:sz="8" w:color="CCEEFF"/>
            </w:tcBorders>
            <w:gridSpan w:val="2"/>
            <w:vMerge w:val="continue"/>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680"/>
              <w:spacing w:after="0" w:line="205" w:lineRule="exact"/>
              <w:rPr>
                <w:sz w:val="20"/>
                <w:szCs w:val="20"/>
                <w:color w:val="auto"/>
              </w:rPr>
            </w:pPr>
            <w:r>
              <w:rPr>
                <w:rFonts w:ascii="Calibri" w:cs="Calibri" w:eastAsia="Calibri" w:hAnsi="Calibri"/>
                <w:sz w:val="17"/>
                <w:szCs w:val="17"/>
                <w:color w:val="auto"/>
              </w:rPr>
              <w:t>Net income</w:t>
            </w:r>
          </w:p>
        </w:tc>
        <w:tc>
          <w:tcPr>
            <w:tcW w:w="13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8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Calibri" w:cs="Calibri" w:eastAsia="Calibri" w:hAnsi="Calibri"/>
                <w:sz w:val="17"/>
                <w:szCs w:val="17"/>
                <w:color w:val="auto"/>
              </w:rPr>
              <w:t>60,041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60,041</w:t>
            </w:r>
          </w:p>
        </w:tc>
        <w:tc>
          <w:tcPr>
            <w:tcW w:w="0" w:type="dxa"/>
            <w:vAlign w:val="bottom"/>
          </w:tcPr>
          <w:p>
            <w:pPr>
              <w:spacing w:after="0"/>
              <w:rPr>
                <w:sz w:val="1"/>
                <w:szCs w:val="1"/>
                <w:color w:val="auto"/>
              </w:rPr>
            </w:pPr>
          </w:p>
        </w:tc>
      </w:tr>
      <w:tr>
        <w:trPr>
          <w:trHeight w:val="25"/>
        </w:trPr>
        <w:tc>
          <w:tcPr>
            <w:tcW w:w="3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0"/>
              <w:spacing w:after="0" w:line="185" w:lineRule="exact"/>
              <w:rPr>
                <w:sz w:val="20"/>
                <w:szCs w:val="20"/>
                <w:color w:val="auto"/>
              </w:rPr>
            </w:pPr>
            <w:r>
              <w:rPr>
                <w:rFonts w:ascii="Calibri" w:cs="Calibri" w:eastAsia="Calibri" w:hAnsi="Calibri"/>
                <w:sz w:val="17"/>
                <w:szCs w:val="17"/>
                <w:color w:val="auto"/>
              </w:rPr>
              <w:t>BALANCE — April 2, 2023</w:t>
            </w:r>
          </w:p>
        </w:tc>
        <w:tc>
          <w:tcPr>
            <w:tcW w:w="122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20,850,454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5"/>
              <w:spacing w:after="0" w:line="198" w:lineRule="exact"/>
              <w:rPr>
                <w:sz w:val="20"/>
                <w:szCs w:val="20"/>
                <w:color w:val="auto"/>
              </w:rPr>
            </w:pPr>
            <w:r>
              <w:rPr>
                <w:rFonts w:ascii="Calibri" w:cs="Calibri" w:eastAsia="Calibri" w:hAnsi="Calibri"/>
                <w:sz w:val="17"/>
                <w:szCs w:val="17"/>
                <w:color w:val="auto"/>
                <w:w w:val="92"/>
              </w:rPr>
              <w:t>$</w:t>
            </w:r>
          </w:p>
        </w:tc>
        <w:tc>
          <w:tcPr>
            <w:tcW w:w="72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86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44,443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90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302,424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5"/>
              <w:spacing w:after="0" w:line="198" w:lineRule="exact"/>
              <w:rPr>
                <w:sz w:val="20"/>
                <w:szCs w:val="20"/>
                <w:color w:val="auto"/>
              </w:rPr>
            </w:pPr>
            <w:r>
              <w:rPr>
                <w:rFonts w:ascii="Calibri" w:cs="Calibri" w:eastAsia="Calibri" w:hAnsi="Calibri"/>
                <w:sz w:val="17"/>
                <w:szCs w:val="17"/>
                <w:color w:val="auto"/>
              </w:rPr>
              <w:t>$</w:t>
            </w:r>
          </w:p>
        </w:tc>
        <w:tc>
          <w:tcPr>
            <w:tcW w:w="84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2,940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CCEEFF"/>
            </w:tcBorders>
            <w:shd w:val="clear" w:color="auto" w:fill="CCEEFF"/>
          </w:tcPr>
          <w:p>
            <w:pPr>
              <w:jc w:val="right"/>
              <w:spacing w:after="0" w:line="198" w:lineRule="exact"/>
              <w:rPr>
                <w:sz w:val="20"/>
                <w:szCs w:val="20"/>
                <w:color w:val="auto"/>
              </w:rPr>
            </w:pPr>
            <w:r>
              <w:rPr>
                <w:rFonts w:ascii="Calibri" w:cs="Calibri" w:eastAsia="Calibri" w:hAnsi="Calibri"/>
                <w:sz w:val="17"/>
                <w:szCs w:val="17"/>
                <w:color w:val="auto"/>
              </w:rPr>
              <w:t>350,016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360"/>
              <w:spacing w:after="0" w:line="205" w:lineRule="exact"/>
              <w:rPr>
                <w:sz w:val="20"/>
                <w:szCs w:val="20"/>
                <w:color w:val="auto"/>
              </w:rPr>
            </w:pPr>
            <w:r>
              <w:rPr>
                <w:rFonts w:ascii="Calibri" w:cs="Calibri" w:eastAsia="Calibri" w:hAnsi="Calibri"/>
                <w:sz w:val="17"/>
                <w:szCs w:val="17"/>
                <w:color w:val="auto"/>
              </w:rPr>
              <w:t>Cash dividends declared and paid</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40" w:type="dxa"/>
            <w:vAlign w:val="bottom"/>
            <w:vMerge w:val="continue"/>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alibri" w:cs="Calibri" w:eastAsia="Calibri" w:hAnsi="Calibri"/>
                <w:sz w:val="17"/>
                <w:szCs w:val="17"/>
                <w:color w:val="auto"/>
              </w:rPr>
              <w:t>(13,238)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alibri" w:cs="Calibri" w:eastAsia="Calibri" w:hAnsi="Calibri"/>
                <w:sz w:val="17"/>
                <w:szCs w:val="17"/>
                <w:color w:val="auto"/>
              </w:rPr>
              <w:t>—</w:t>
            </w:r>
          </w:p>
        </w:tc>
        <w:tc>
          <w:tcPr>
            <w:tcW w:w="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alibri" w:cs="Calibri" w:eastAsia="Calibri" w:hAnsi="Calibri"/>
                <w:sz w:val="17"/>
                <w:szCs w:val="17"/>
                <w:color w:val="auto"/>
              </w:rPr>
              <w:t>(13,238)</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Share-based compensaton expense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4,880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4,880</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Vestng of restricted stock</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118,165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surrendered for payroll taxes</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(48,478)</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(2,139)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(2,140)</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ESPP shares issued</w:t>
            </w: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61,981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Calibri" w:cs="Calibri" w:eastAsia="Calibri" w:hAnsi="Calibri"/>
                <w:sz w:val="17"/>
                <w:szCs w:val="17"/>
                <w:color w:val="auto"/>
              </w:rPr>
              <w:t>2,241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2,242</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CEEFF"/>
            </w:tcBorders>
            <w:shd w:val="clear" w:color="auto" w:fill="CCEEFF"/>
          </w:tcPr>
          <w:p>
            <w:pPr>
              <w:ind w:left="360"/>
              <w:spacing w:after="0" w:line="205" w:lineRule="exact"/>
              <w:rPr>
                <w:sz w:val="20"/>
                <w:szCs w:val="20"/>
                <w:color w:val="auto"/>
              </w:rPr>
            </w:pPr>
            <w:r>
              <w:rPr>
                <w:rFonts w:ascii="Calibri" w:cs="Calibri" w:eastAsia="Calibri" w:hAnsi="Calibri"/>
                <w:sz w:val="17"/>
                <w:szCs w:val="17"/>
                <w:color w:val="auto"/>
              </w:rPr>
              <w:t>Shares repurchased</w:t>
            </w:r>
          </w:p>
        </w:tc>
        <w:tc>
          <w:tcPr>
            <w:tcW w:w="12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(191,861)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(11,270)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(11,272)</w:t>
            </w:r>
          </w:p>
        </w:tc>
        <w:tc>
          <w:tcPr>
            <w:tcW w:w="0" w:type="dxa"/>
            <w:vAlign w:val="bottom"/>
          </w:tcPr>
          <w:p>
            <w:pPr>
              <w:spacing w:after="0"/>
              <w:rPr>
                <w:sz w:val="1"/>
                <w:szCs w:val="1"/>
                <w:color w:val="auto"/>
              </w:rPr>
            </w:pPr>
          </w:p>
        </w:tc>
      </w:tr>
      <w:tr>
        <w:trPr>
          <w:trHeight w:val="162"/>
        </w:trPr>
        <w:tc>
          <w:tcPr>
            <w:tcW w:w="3140" w:type="dxa"/>
            <w:vAlign w:val="bottom"/>
          </w:tcPr>
          <w:p>
            <w:pPr>
              <w:ind w:left="360"/>
              <w:spacing w:after="0" w:line="162" w:lineRule="exact"/>
              <w:rPr>
                <w:sz w:val="20"/>
                <w:szCs w:val="20"/>
                <w:color w:val="auto"/>
              </w:rPr>
            </w:pPr>
            <w:r>
              <w:rPr>
                <w:rFonts w:ascii="Calibri" w:cs="Calibri" w:eastAsia="Calibri" w:hAnsi="Calibri"/>
                <w:sz w:val="17"/>
                <w:szCs w:val="17"/>
                <w:color w:val="auto"/>
              </w:rPr>
              <w:t>Other comprehensive income, net of</w:t>
            </w:r>
          </w:p>
        </w:tc>
        <w:tc>
          <w:tcPr>
            <w:tcW w:w="134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Calibri" w:cs="Calibri" w:eastAsia="Calibri" w:hAnsi="Calibri"/>
                <w:sz w:val="17"/>
                <w:szCs w:val="17"/>
                <w:color w:val="auto"/>
              </w:rPr>
              <w:t>—</w:t>
            </w:r>
          </w:p>
        </w:tc>
        <w:tc>
          <w:tcPr>
            <w:tcW w:w="4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7"/>
                <w:szCs w:val="17"/>
                <w:color w:val="auto"/>
              </w:rPr>
              <w:t>175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7"/>
                <w:szCs w:val="17"/>
                <w:color w:val="auto"/>
              </w:rPr>
              <w:t>175</w:t>
            </w:r>
          </w:p>
        </w:tc>
        <w:tc>
          <w:tcPr>
            <w:tcW w:w="0" w:type="dxa"/>
            <w:vAlign w:val="bottom"/>
          </w:tcPr>
          <w:p>
            <w:pPr>
              <w:spacing w:after="0"/>
              <w:rPr>
                <w:sz w:val="1"/>
                <w:szCs w:val="1"/>
                <w:color w:val="auto"/>
              </w:rPr>
            </w:pPr>
          </w:p>
        </w:tc>
      </w:tr>
      <w:tr>
        <w:trPr>
          <w:trHeight w:val="204"/>
        </w:trPr>
        <w:tc>
          <w:tcPr>
            <w:tcW w:w="3140" w:type="dxa"/>
            <w:vAlign w:val="bottom"/>
          </w:tcPr>
          <w:p>
            <w:pPr>
              <w:ind w:left="360"/>
              <w:spacing w:after="0" w:line="205" w:lineRule="exact"/>
              <w:rPr>
                <w:sz w:val="20"/>
                <w:szCs w:val="20"/>
                <w:color w:val="auto"/>
              </w:rPr>
            </w:pPr>
            <w:r>
              <w:rPr>
                <w:rFonts w:ascii="Calibri" w:cs="Calibri" w:eastAsia="Calibri" w:hAnsi="Calibri"/>
                <w:sz w:val="17"/>
                <w:szCs w:val="17"/>
                <w:color w:val="auto"/>
              </w:rPr>
              <w:t>tax</w:t>
            </w:r>
          </w:p>
        </w:tc>
        <w:tc>
          <w:tcPr>
            <w:tcW w:w="1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tcBorders>
              <w:bottom w:val="single" w:sz="8" w:color="CCEEFF"/>
            </w:tcBorders>
            <w:shd w:val="clear" w:color="auto" w:fill="CCEEFF"/>
          </w:tcPr>
          <w:p>
            <w:pPr>
              <w:ind w:left="680"/>
              <w:spacing w:after="0" w:line="205" w:lineRule="exact"/>
              <w:rPr>
                <w:sz w:val="20"/>
                <w:szCs w:val="20"/>
                <w:color w:val="auto"/>
              </w:rPr>
            </w:pPr>
            <w:r>
              <w:rPr>
                <w:rFonts w:ascii="Calibri" w:cs="Calibri" w:eastAsia="Calibri" w:hAnsi="Calibri"/>
                <w:sz w:val="17"/>
                <w:szCs w:val="17"/>
                <w:color w:val="auto"/>
              </w:rPr>
              <w:t>Net income</w:t>
            </w:r>
          </w:p>
        </w:tc>
        <w:tc>
          <w:tcPr>
            <w:tcW w:w="13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75,363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75,363</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85" w:lineRule="exact"/>
              <w:rPr>
                <w:sz w:val="20"/>
                <w:szCs w:val="20"/>
                <w:color w:val="auto"/>
              </w:rPr>
            </w:pPr>
            <w:r>
              <w:rPr>
                <w:rFonts w:ascii="Calibri" w:cs="Calibri" w:eastAsia="Calibri" w:hAnsi="Calibri"/>
                <w:sz w:val="17"/>
                <w:szCs w:val="17"/>
                <w:color w:val="auto"/>
              </w:rPr>
              <w:t>BALANCE — March 31, 2024</w:t>
            </w:r>
          </w:p>
        </w:tc>
        <w:tc>
          <w:tcPr>
            <w:tcW w:w="12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20,790,261</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15"/>
              <w:spacing w:after="0" w:line="198" w:lineRule="exact"/>
              <w:rPr>
                <w:sz w:val="20"/>
                <w:szCs w:val="20"/>
                <w:color w:val="auto"/>
              </w:rPr>
            </w:pPr>
            <w:r>
              <w:rPr>
                <w:rFonts w:ascii="Calibri" w:cs="Calibri" w:eastAsia="Calibri" w:hAnsi="Calibri"/>
                <w:sz w:val="17"/>
                <w:szCs w:val="17"/>
                <w:color w:val="auto"/>
                <w:w w:val="92"/>
              </w:rPr>
              <w:t>$</w:t>
            </w:r>
          </w:p>
        </w:tc>
        <w:tc>
          <w:tcPr>
            <w:tcW w:w="7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208</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86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38,154</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5"/>
              <w:spacing w:after="0" w:line="198" w:lineRule="exact"/>
              <w:rPr>
                <w:sz w:val="20"/>
                <w:szCs w:val="20"/>
                <w:color w:val="auto"/>
              </w:rPr>
            </w:pPr>
            <w:r>
              <w:rPr>
                <w:rFonts w:ascii="Calibri" w:cs="Calibri" w:eastAsia="Calibri" w:hAnsi="Calibri"/>
                <w:sz w:val="17"/>
                <w:szCs w:val="17"/>
                <w:color w:val="auto"/>
                <w:w w:val="92"/>
              </w:rPr>
              <w:t>$</w:t>
            </w:r>
          </w:p>
        </w:tc>
        <w:tc>
          <w:tcPr>
            <w:tcW w:w="90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364,549</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75"/>
              <w:spacing w:after="0" w:line="198" w:lineRule="exact"/>
              <w:rPr>
                <w:sz w:val="20"/>
                <w:szCs w:val="20"/>
                <w:color w:val="auto"/>
              </w:rPr>
            </w:pPr>
            <w:r>
              <w:rPr>
                <w:rFonts w:ascii="Calibri" w:cs="Calibri" w:eastAsia="Calibri" w:hAnsi="Calibri"/>
                <w:sz w:val="17"/>
                <w:szCs w:val="17"/>
                <w:color w:val="auto"/>
              </w:rPr>
              <w:t>$</w:t>
            </w:r>
          </w:p>
        </w:tc>
        <w:tc>
          <w:tcPr>
            <w:tcW w:w="8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3,115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5"/>
              <w:spacing w:after="0" w:line="198"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406,026</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Fiscal Year Ended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8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line="164" w:lineRule="exact"/>
              <w:rPr>
                <w:sz w:val="20"/>
                <w:szCs w:val="20"/>
                <w:color w:val="auto"/>
              </w:rPr>
            </w:pPr>
            <w:r>
              <w:rPr>
                <w:rFonts w:ascii="Calibri" w:cs="Calibri" w:eastAsia="Calibri" w:hAnsi="Calibri"/>
                <w:sz w:val="14"/>
                <w:szCs w:val="14"/>
                <w:b w:val="1"/>
                <w:bCs w:val="1"/>
                <w:color w:val="auto"/>
              </w:rPr>
              <w:t>March 31, 2024</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4" w:lineRule="exact"/>
              <w:rPr>
                <w:sz w:val="20"/>
                <w:szCs w:val="20"/>
                <w:color w:val="auto"/>
              </w:rPr>
            </w:pPr>
            <w:r>
              <w:rPr>
                <w:rFonts w:ascii="Calibri" w:cs="Calibri" w:eastAsia="Calibri" w:hAnsi="Calibri"/>
                <w:sz w:val="14"/>
                <w:szCs w:val="14"/>
                <w:b w:val="1"/>
                <w:bCs w:val="1"/>
                <w:color w:val="auto"/>
              </w:rPr>
              <w:t>April 2, 2023</w:t>
            </w:r>
          </w:p>
        </w:tc>
        <w:tc>
          <w:tcPr>
            <w:tcW w:w="240" w:type="dxa"/>
            <w:vAlign w:val="bottom"/>
          </w:tcPr>
          <w:p>
            <w:pPr>
              <w:spacing w:after="0"/>
              <w:rPr>
                <w:sz w:val="14"/>
                <w:szCs w:val="14"/>
                <w:color w:val="auto"/>
              </w:rPr>
            </w:pPr>
          </w:p>
        </w:tc>
        <w:tc>
          <w:tcPr>
            <w:tcW w:w="126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April 3, 2022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82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75,363</w:t>
            </w:r>
          </w:p>
        </w:tc>
        <w:tc>
          <w:tcPr>
            <w:tcW w:w="10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60,041</w:t>
            </w:r>
          </w:p>
        </w:tc>
        <w:tc>
          <w:tcPr>
            <w:tcW w:w="120" w:type="dxa"/>
            <w:vAlign w:val="bottom"/>
          </w:tcPr>
          <w:p>
            <w:pPr>
              <w:spacing w:after="0"/>
              <w:rPr>
                <w:sz w:val="16"/>
                <w:szCs w:val="16"/>
                <w:color w:val="auto"/>
              </w:rPr>
            </w:pPr>
          </w:p>
        </w:tc>
        <w:tc>
          <w:tcPr>
            <w:tcW w:w="2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51,542</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 provided by operatng actvites: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31,803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27,440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24,129</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582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2,708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1,971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1,899</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loss on deferred compensaton assets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(189)</w:t>
            </w:r>
          </w:p>
        </w:tc>
        <w:tc>
          <w:tcPr>
            <w:tcW w:w="0" w:type="dxa"/>
            <w:vAlign w:val="bottom"/>
          </w:tcPr>
          <w:p>
            <w:pPr>
              <w:spacing w:after="0"/>
              <w:rPr>
                <w:sz w:val="1"/>
                <w:szCs w:val="1"/>
                <w:color w:val="auto"/>
              </w:rPr>
            </w:pPr>
          </w:p>
        </w:tc>
      </w:tr>
      <w:tr>
        <w:trPr>
          <w:trHeight w:val="193"/>
        </w:trPr>
        <w:tc>
          <w:tcPr>
            <w:tcW w:w="5820" w:type="dxa"/>
            <w:vAlign w:val="bottom"/>
          </w:tcPr>
          <w:p>
            <w:pPr>
              <w:ind w:left="680"/>
              <w:spacing w:after="0" w:line="193" w:lineRule="exact"/>
              <w:rPr>
                <w:sz w:val="20"/>
                <w:szCs w:val="20"/>
                <w:color w:val="auto"/>
              </w:rPr>
            </w:pPr>
            <w:r>
              <w:rPr>
                <w:rFonts w:ascii="Calibri" w:cs="Calibri" w:eastAsia="Calibri" w:hAnsi="Calibri"/>
                <w:sz w:val="16"/>
                <w:szCs w:val="16"/>
                <w:color w:val="auto"/>
              </w:rPr>
              <w:t>Deferred income taxes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(1,501)</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3,825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3,818</w:t>
            </w:r>
          </w:p>
        </w:tc>
        <w:tc>
          <w:tcPr>
            <w:tcW w:w="0" w:type="dxa"/>
            <w:vAlign w:val="bottom"/>
          </w:tcPr>
          <w:p>
            <w:pPr>
              <w:spacing w:after="0"/>
              <w:rPr>
                <w:sz w:val="1"/>
                <w:szCs w:val="1"/>
                <w:color w:val="auto"/>
              </w:rPr>
            </w:pPr>
          </w:p>
        </w:tc>
      </w:tr>
      <w:tr>
        <w:trPr>
          <w:trHeight w:val="193"/>
        </w:trPr>
        <w:tc>
          <w:tcPr>
            <w:tcW w:w="5820" w:type="dxa"/>
            <w:vAlign w:val="bottom"/>
          </w:tcPr>
          <w:p>
            <w:pPr>
              <w:ind w:left="680"/>
              <w:spacing w:after="0" w:line="193" w:lineRule="exact"/>
              <w:rPr>
                <w:sz w:val="20"/>
                <w:szCs w:val="20"/>
                <w:color w:val="auto"/>
              </w:rPr>
            </w:pPr>
            <w:r>
              <w:rPr>
                <w:rFonts w:ascii="Calibri" w:cs="Calibri" w:eastAsia="Calibri" w:hAnsi="Calibri"/>
                <w:sz w:val="16"/>
                <w:szCs w:val="16"/>
                <w:color w:val="auto"/>
              </w:rPr>
              <w:t>(Gain) loss from asset disposals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(2,950)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452</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93</w:t>
            </w:r>
          </w:p>
        </w:tc>
        <w:tc>
          <w:tcPr>
            <w:tcW w:w="0" w:type="dxa"/>
            <w:vAlign w:val="bottom"/>
          </w:tcPr>
          <w:p>
            <w:pPr>
              <w:spacing w:after="0"/>
              <w:rPr>
                <w:sz w:val="1"/>
                <w:szCs w:val="1"/>
                <w:color w:val="auto"/>
              </w:rPr>
            </w:pPr>
          </w:p>
        </w:tc>
      </w:tr>
      <w:tr>
        <w:trPr>
          <w:trHeight w:val="157"/>
        </w:trPr>
        <w:tc>
          <w:tcPr>
            <w:tcW w:w="5820" w:type="dxa"/>
            <w:vAlign w:val="bottom"/>
          </w:tcPr>
          <w:p>
            <w:pPr>
              <w:ind w:left="680"/>
              <w:spacing w:after="0" w:line="157" w:lineRule="exact"/>
              <w:rPr>
                <w:sz w:val="20"/>
                <w:szCs w:val="20"/>
                <w:color w:val="auto"/>
              </w:rPr>
            </w:pPr>
            <w:r>
              <w:rPr>
                <w:rFonts w:ascii="Calibri" w:cs="Calibri" w:eastAsia="Calibri" w:hAnsi="Calibri"/>
                <w:sz w:val="16"/>
                <w:szCs w:val="16"/>
                <w:color w:val="auto"/>
              </w:rPr>
              <w:t>Changes in operatng accounts (using) providing cash, net of</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680"/>
              <w:spacing w:after="0" w:line="193" w:lineRule="exact"/>
              <w:rPr>
                <w:sz w:val="20"/>
                <w:szCs w:val="20"/>
                <w:color w:val="auto"/>
              </w:rPr>
            </w:pPr>
            <w:r>
              <w:rPr>
                <w:rFonts w:ascii="Calibri" w:cs="Calibri" w:eastAsia="Calibri" w:hAnsi="Calibri"/>
                <w:sz w:val="16"/>
                <w:szCs w:val="16"/>
                <w:color w:val="auto"/>
              </w:rPr>
              <w:t>acquisitons: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Trade receivables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21,399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(6,389)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(30,526)</w:t>
            </w:r>
          </w:p>
        </w:tc>
        <w:tc>
          <w:tcPr>
            <w:tcW w:w="0" w:type="dxa"/>
            <w:vAlign w:val="bottom"/>
          </w:tcPr>
          <w:p>
            <w:pPr>
              <w:spacing w:after="0"/>
              <w:rPr>
                <w:sz w:val="1"/>
                <w:szCs w:val="1"/>
                <w:color w:val="auto"/>
              </w:rPr>
            </w:pPr>
          </w:p>
        </w:tc>
      </w:tr>
      <w:tr>
        <w:trPr>
          <w:trHeight w:val="193"/>
        </w:trPr>
        <w:tc>
          <w:tcPr>
            <w:tcW w:w="5820" w:type="dxa"/>
            <w:vAlign w:val="bottom"/>
          </w:tcPr>
          <w:p>
            <w:pPr>
              <w:ind w:left="1020"/>
              <w:spacing w:after="0" w:line="193" w:lineRule="exact"/>
              <w:rPr>
                <w:sz w:val="20"/>
                <w:szCs w:val="20"/>
                <w:color w:val="auto"/>
              </w:rPr>
            </w:pPr>
            <w:r>
              <w:rPr>
                <w:rFonts w:ascii="Calibri" w:cs="Calibri" w:eastAsia="Calibri" w:hAnsi="Calibri"/>
                <w:sz w:val="16"/>
                <w:szCs w:val="16"/>
                <w:color w:val="auto"/>
              </w:rPr>
              <w:t>Inventories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19,921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4,717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(30,034)</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(828)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(11,596)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25,138</w:t>
            </w:r>
          </w:p>
        </w:tc>
        <w:tc>
          <w:tcPr>
            <w:tcW w:w="0" w:type="dxa"/>
            <w:vAlign w:val="bottom"/>
          </w:tcPr>
          <w:p>
            <w:pPr>
              <w:spacing w:after="0"/>
              <w:rPr>
                <w:sz w:val="1"/>
                <w:szCs w:val="1"/>
                <w:color w:val="auto"/>
              </w:rPr>
            </w:pPr>
          </w:p>
        </w:tc>
      </w:tr>
      <w:tr>
        <w:trPr>
          <w:trHeight w:val="193"/>
        </w:trPr>
        <w:tc>
          <w:tcPr>
            <w:tcW w:w="5820" w:type="dxa"/>
            <w:vAlign w:val="bottom"/>
          </w:tcPr>
          <w:p>
            <w:pPr>
              <w:ind w:left="1020"/>
              <w:spacing w:after="0" w:line="193" w:lineRule="exact"/>
              <w:rPr>
                <w:sz w:val="20"/>
                <w:szCs w:val="20"/>
                <w:color w:val="auto"/>
              </w:rPr>
            </w:pPr>
            <w:r>
              <w:rPr>
                <w:rFonts w:ascii="Calibri" w:cs="Calibri" w:eastAsia="Calibri" w:hAnsi="Calibri"/>
                <w:sz w:val="16"/>
                <w:szCs w:val="16"/>
                <w:color w:val="auto"/>
              </w:rPr>
              <w:t>Accrued liabilites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10,708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(737)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2,723</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Lease liabilites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(1,958)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(1,907)</w:t>
            </w:r>
          </w:p>
        </w:tc>
        <w:tc>
          <w:tcPr>
            <w:tcW w:w="0" w:type="dxa"/>
            <w:vAlign w:val="bottom"/>
          </w:tcPr>
          <w:p>
            <w:pPr>
              <w:spacing w:after="0"/>
              <w:rPr>
                <w:sz w:val="1"/>
                <w:szCs w:val="1"/>
                <w:color w:val="auto"/>
              </w:rPr>
            </w:pPr>
          </w:p>
        </w:tc>
      </w:tr>
      <w:tr>
        <w:trPr>
          <w:trHeight w:val="193"/>
        </w:trPr>
        <w:tc>
          <w:tcPr>
            <w:tcW w:w="5820" w:type="dxa"/>
            <w:vAlign w:val="bottom"/>
          </w:tcPr>
          <w:p>
            <w:pPr>
              <w:ind w:left="1020"/>
              <w:spacing w:after="0" w:line="193" w:lineRule="exact"/>
              <w:rPr>
                <w:sz w:val="20"/>
                <w:szCs w:val="20"/>
                <w:color w:val="auto"/>
              </w:rPr>
            </w:pPr>
            <w:r>
              <w:rPr>
                <w:rFonts w:ascii="Calibri" w:cs="Calibri" w:eastAsia="Calibri" w:hAnsi="Calibri"/>
                <w:sz w:val="16"/>
                <w:szCs w:val="16"/>
                <w:color w:val="auto"/>
              </w:rPr>
              <w:t>Income taxes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(1,390)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3,290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214</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(3,014)</w:t>
            </w:r>
          </w:p>
        </w:tc>
        <w:tc>
          <w:tcPr>
            <w:tcW w:w="0" w:type="dxa"/>
            <w:vAlign w:val="bottom"/>
          </w:tcPr>
          <w:p>
            <w:pPr>
              <w:spacing w:after="0"/>
              <w:rPr>
                <w:sz w:val="1"/>
                <w:szCs w:val="1"/>
                <w:color w:val="auto"/>
              </w:rPr>
            </w:pPr>
          </w:p>
        </w:tc>
      </w:tr>
      <w:tr>
        <w:trPr>
          <w:trHeight w:val="187"/>
        </w:trPr>
        <w:tc>
          <w:tcPr>
            <w:tcW w:w="582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159,499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77,400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42,837</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Additons to property, plant, and equipment</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(40,151)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(48,321)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(28,512)</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(83,455)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(21,546)</w:t>
            </w:r>
          </w:p>
        </w:tc>
        <w:tc>
          <w:tcPr>
            <w:tcW w:w="0" w:type="dxa"/>
            <w:vAlign w:val="bottom"/>
          </w:tcPr>
          <w:p>
            <w:pPr>
              <w:spacing w:after="0"/>
              <w:rPr>
                <w:sz w:val="1"/>
                <w:szCs w:val="1"/>
                <w:color w:val="auto"/>
              </w:rPr>
            </w:pPr>
          </w:p>
        </w:tc>
      </w:tr>
      <w:tr>
        <w:trPr>
          <w:trHeight w:val="193"/>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asset disposals</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7,091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302</w:t>
            </w:r>
          </w:p>
        </w:tc>
        <w:tc>
          <w:tcPr>
            <w:tcW w:w="0" w:type="dxa"/>
            <w:vAlign w:val="bottom"/>
          </w:tcPr>
          <w:p>
            <w:pPr>
              <w:spacing w:after="0"/>
              <w:rPr>
                <w:sz w:val="1"/>
                <w:szCs w:val="1"/>
                <w:color w:val="auto"/>
              </w:rPr>
            </w:pPr>
          </w:p>
        </w:tc>
      </w:tr>
      <w:tr>
        <w:trPr>
          <w:trHeight w:val="23"/>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(122,504)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(41,230)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(49,756)</w:t>
            </w:r>
          </w:p>
        </w:tc>
        <w:tc>
          <w:tcPr>
            <w:tcW w:w="0" w:type="dxa"/>
            <w:vAlign w:val="bottom"/>
          </w:tcPr>
          <w:p>
            <w:pPr>
              <w:spacing w:after="0"/>
              <w:rPr>
                <w:sz w:val="1"/>
                <w:szCs w:val="1"/>
                <w:color w:val="auto"/>
              </w:rPr>
            </w:pPr>
          </w:p>
        </w:tc>
      </w:tr>
      <w:tr>
        <w:trPr>
          <w:trHeight w:val="193"/>
        </w:trPr>
        <w:tc>
          <w:tcPr>
            <w:tcW w:w="582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paid</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(13,238)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(12,001)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(11,056)</w:t>
            </w:r>
          </w:p>
        </w:tc>
        <w:tc>
          <w:tcPr>
            <w:tcW w:w="0" w:type="dxa"/>
            <w:vAlign w:val="bottom"/>
          </w:tcPr>
          <w:p>
            <w:pPr>
              <w:spacing w:after="0"/>
              <w:rPr>
                <w:sz w:val="1"/>
                <w:szCs w:val="1"/>
                <w:color w:val="auto"/>
              </w:rPr>
            </w:pPr>
          </w:p>
        </w:tc>
      </w:tr>
      <w:tr>
        <w:trPr>
          <w:trHeight w:val="194"/>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2,008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1,772</w:t>
            </w:r>
          </w:p>
        </w:tc>
        <w:tc>
          <w:tcPr>
            <w:tcW w:w="0" w:type="dxa"/>
            <w:vAlign w:val="bottom"/>
          </w:tcPr>
          <w:p>
            <w:pPr>
              <w:spacing w:after="0"/>
              <w:rPr>
                <w:sz w:val="1"/>
                <w:szCs w:val="1"/>
                <w:color w:val="auto"/>
              </w:rPr>
            </w:pPr>
          </w:p>
        </w:tc>
      </w:tr>
      <w:tr>
        <w:trPr>
          <w:trHeight w:val="22"/>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0" w:type="dxa"/>
            <w:vAlign w:val="bottom"/>
          </w:tcPr>
          <w:p>
            <w:pPr>
              <w:spacing w:after="0"/>
              <w:rPr>
                <w:sz w:val="1"/>
                <w:szCs w:val="1"/>
                <w:color w:val="auto"/>
              </w:rPr>
            </w:pPr>
          </w:p>
        </w:tc>
      </w:tr>
      <w:tr>
        <w:trPr>
          <w:trHeight w:val="194"/>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(11,272)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(6,557)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(8,545)</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for debt issuance costs</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(287)</w:t>
            </w:r>
          </w:p>
        </w:tc>
        <w:tc>
          <w:tcPr>
            <w:tcW w:w="0" w:type="dxa"/>
            <w:vAlign w:val="bottom"/>
          </w:tcPr>
          <w:p>
            <w:pPr>
              <w:spacing w:after="0"/>
              <w:rPr>
                <w:sz w:val="1"/>
                <w:szCs w:val="1"/>
                <w:color w:val="auto"/>
              </w:rPr>
            </w:pPr>
          </w:p>
        </w:tc>
      </w:tr>
      <w:tr>
        <w:trPr>
          <w:trHeight w:val="193"/>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Payments on senior secured revolving loan</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(98,000)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(59,000)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(15,000)</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Borrowings on senior secured revolving loan</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42,000</w:t>
            </w:r>
          </w:p>
        </w:tc>
        <w:tc>
          <w:tcPr>
            <w:tcW w:w="0" w:type="dxa"/>
            <w:vAlign w:val="bottom"/>
          </w:tcPr>
          <w:p>
            <w:pPr>
              <w:spacing w:after="0"/>
              <w:rPr>
                <w:sz w:val="1"/>
                <w:szCs w:val="1"/>
                <w:color w:val="auto"/>
              </w:rPr>
            </w:pPr>
          </w:p>
        </w:tc>
      </w:tr>
      <w:tr>
        <w:trPr>
          <w:trHeight w:val="187"/>
        </w:trPr>
        <w:tc>
          <w:tcPr>
            <w:tcW w:w="582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(used in) provided by fnancing actvites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(37,408)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(32,100)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7,417</w:t>
            </w:r>
          </w:p>
        </w:tc>
        <w:tc>
          <w:tcPr>
            <w:tcW w:w="0" w:type="dxa"/>
            <w:vAlign w:val="bottom"/>
          </w:tcPr>
          <w:p>
            <w:pPr>
              <w:spacing w:after="0"/>
              <w:rPr>
                <w:sz w:val="1"/>
                <w:szCs w:val="1"/>
                <w:color w:val="auto"/>
              </w:rPr>
            </w:pPr>
          </w:p>
        </w:tc>
      </w:tr>
      <w:tr>
        <w:trPr>
          <w:trHeight w:val="23"/>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shd w:val="clear" w:color="auto" w:fill="CCEEFF"/>
          </w:tcPr>
          <w:p>
            <w:pPr>
              <w:ind w:left="180"/>
              <w:spacing w:after="0" w:line="174" w:lineRule="exact"/>
              <w:rPr>
                <w:sz w:val="20"/>
                <w:szCs w:val="20"/>
                <w:color w:val="auto"/>
              </w:rPr>
            </w:pPr>
            <w:r>
              <w:rPr>
                <w:rFonts w:ascii="Calibri" w:cs="Calibri" w:eastAsia="Calibri" w:hAnsi="Calibri"/>
                <w:sz w:val="16"/>
                <w:szCs w:val="16"/>
                <w:color w:val="auto"/>
              </w:rPr>
              <w:t>NET (DECREASE) INCREASE IN CASH AND CASH EQUIVALENTS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(413)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4,070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498</w:t>
            </w:r>
          </w:p>
        </w:tc>
        <w:tc>
          <w:tcPr>
            <w:tcW w:w="0" w:type="dxa"/>
            <w:vAlign w:val="bottom"/>
          </w:tcPr>
          <w:p>
            <w:pPr>
              <w:spacing w:after="0"/>
              <w:rPr>
                <w:sz w:val="1"/>
                <w:szCs w:val="1"/>
                <w:color w:val="auto"/>
              </w:rPr>
            </w:pPr>
          </w:p>
        </w:tc>
      </w:tr>
      <w:tr>
        <w:trPr>
          <w:trHeight w:val="194"/>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CASH AND CASH EQUIVALENTS - beginning of year</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7,566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3,496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2,998</w:t>
            </w:r>
          </w:p>
        </w:tc>
        <w:tc>
          <w:tcPr>
            <w:tcW w:w="0" w:type="dxa"/>
            <w:vAlign w:val="bottom"/>
          </w:tcPr>
          <w:p>
            <w:pPr>
              <w:spacing w:after="0"/>
              <w:rPr>
                <w:sz w:val="1"/>
                <w:szCs w:val="1"/>
                <w:color w:val="auto"/>
              </w:rPr>
            </w:pPr>
          </w:p>
        </w:tc>
      </w:tr>
      <w:tr>
        <w:trPr>
          <w:trHeight w:val="23"/>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CEEFF"/>
            </w:tcBorders>
            <w:shd w:val="clear" w:color="auto" w:fill="CCEEFF"/>
          </w:tcPr>
          <w:p>
            <w:pPr>
              <w:ind w:left="360"/>
              <w:spacing w:after="0" w:line="174" w:lineRule="exact"/>
              <w:rPr>
                <w:sz w:val="20"/>
                <w:szCs w:val="20"/>
                <w:color w:val="auto"/>
              </w:rPr>
            </w:pPr>
            <w:r>
              <w:rPr>
                <w:rFonts w:ascii="Calibri" w:cs="Calibri" w:eastAsia="Calibri" w:hAnsi="Calibri"/>
                <w:sz w:val="16"/>
                <w:szCs w:val="16"/>
                <w:color w:val="auto"/>
              </w:rPr>
              <w:t>CASH AND CASH EQUIVALENTS - end of year</w:t>
            </w: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7,566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3,496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80"/>
              <w:spacing w:after="0" w:line="180" w:lineRule="exact"/>
              <w:rPr>
                <w:sz w:val="20"/>
                <w:szCs w:val="20"/>
                <w:color w:val="auto"/>
              </w:rPr>
            </w:pPr>
            <w:r>
              <w:rPr>
                <w:rFonts w:ascii="Calibri" w:cs="Calibri" w:eastAsia="Calibri" w:hAnsi="Calibri"/>
                <w:sz w:val="16"/>
                <w:szCs w:val="16"/>
                <w:color w:val="auto"/>
              </w:rPr>
              <w:t>SUPPLEMENTAL DISCLOSURES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during the year for income taxes</w:t>
            </w: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28,631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19,485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19,726</w:t>
            </w:r>
          </w:p>
        </w:tc>
        <w:tc>
          <w:tcPr>
            <w:tcW w:w="0" w:type="dxa"/>
            <w:vAlign w:val="bottom"/>
          </w:tcPr>
          <w:p>
            <w:pPr>
              <w:spacing w:after="0"/>
              <w:rPr>
                <w:sz w:val="1"/>
                <w:szCs w:val="1"/>
                <w:color w:val="auto"/>
              </w:rPr>
            </w:pPr>
          </w:p>
        </w:tc>
      </w:tr>
      <w:tr>
        <w:trPr>
          <w:trHeight w:val="193"/>
        </w:trPr>
        <w:tc>
          <w:tcPr>
            <w:tcW w:w="582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0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4,654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4,759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1,197</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3,733</w:t>
            </w:r>
          </w:p>
        </w:tc>
        <w:tc>
          <w:tcPr>
            <w:tcW w:w="0" w:type="dxa"/>
            <w:vAlign w:val="bottom"/>
          </w:tcPr>
          <w:p>
            <w:pPr>
              <w:spacing w:after="0"/>
              <w:rPr>
                <w:sz w:val="1"/>
                <w:szCs w:val="1"/>
                <w:color w:val="auto"/>
              </w:rPr>
            </w:pPr>
          </w:p>
        </w:tc>
      </w:tr>
      <w:tr>
        <w:trPr>
          <w:trHeight w:val="23"/>
        </w:trPr>
        <w:tc>
          <w:tcPr>
            <w:tcW w:w="5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alibri" w:cs="Calibri" w:eastAsia="Calibri" w:hAnsi="Calibri"/>
          <w:sz w:val="18"/>
          <w:szCs w:val="18"/>
          <w:color w:val="auto"/>
        </w:rPr>
        <w:t>See accompanying notes to consolidated fnancial statements.</w:t>
      </w:r>
    </w:p>
    <w:p>
      <w:pPr>
        <w:spacing w:after="0" w:line="347"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679" w:right="1019" w:bottom="1440" w:gutter="0" w:footer="0" w:header="0"/>
        </w:sectPr>
      </w:pPr>
    </w:p>
    <w:bookmarkStart w:id="34" w:name="page35"/>
    <w:bookmarkEnd w:id="34"/>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7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 Nature of Business and Signifcant Accountng Policies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Nature of Business - </w:t>
      </w:r>
      <w:r>
        <w:rPr>
          <w:rFonts w:ascii="Calibri" w:cs="Calibri" w:eastAsia="Calibri" w:hAnsi="Calibri"/>
          <w:sz w:val="18"/>
          <w:szCs w:val="18"/>
          <w:color w:val="auto"/>
        </w:rPr>
        <w:t>We have three reportable segments: Industrial, Water Treatment and Health and Nutriton. The Industrial Group specializes in providing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industrial chemicals, products and services to industries such as agriculture, chemical processing, electronics, energy, food, pharmaceutcal and platng. This group also manufactures and sells certain food-grade products, including liquid phosphates, lactates and other blended products. The Water Treatment Group specializes in providing chemicals, products, equipment, services and solutons for potable water, municipal and industrial wastewater, industrial process water, non-residental swimming pool water and agricultural water. This group has the resources and fexibility to treat systems ranging in size from a single small well to a mult-million-gallon-per-day facility. Our Health and Nutriton Group specializes in providing ingredient distributon, processing and formulaton solutons to manufacturers of nutraceutcal, functonal food and beverage, personal care, dietary supplement and other nutritonal food, health and wellness products. This group ofers a diverse product portolio including minerals, vitamins and amino acids, excipients, joint products, botanicals and herbs, sweeteners and enzymes.</w:t>
      </w:r>
    </w:p>
    <w:p>
      <w:pPr>
        <w:spacing w:after="0" w:line="2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Fiscal Year - </w:t>
      </w:r>
      <w:r>
        <w:rPr>
          <w:rFonts w:ascii="Calibri" w:cs="Calibri" w:eastAsia="Calibri" w:hAnsi="Calibri"/>
          <w:sz w:val="18"/>
          <w:szCs w:val="18"/>
          <w:color w:val="auto"/>
        </w:rPr>
        <w:t>Our fscal year is a 52 or 53-week year ending on the Sunday closest to March 31. Our fscal 2024 was 52 weeks, fscal 2023 was 52 weeks,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fscal 2022 was 53 weeks. Fiscal 2025 will be 52 weeks.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Principles of Consolidaton - </w:t>
      </w:r>
      <w:r>
        <w:rPr>
          <w:rFonts w:ascii="Calibri" w:cs="Calibri" w:eastAsia="Calibri" w:hAnsi="Calibri"/>
          <w:sz w:val="18"/>
          <w:szCs w:val="18"/>
          <w:color w:val="auto"/>
        </w:rPr>
        <w:t>The consolidated fnancial statements include the accounts of Hawkins, Inc. and its wholly-owned subsidiaries. All intercompany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transactons and accounts have been eliminated.</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Estmates </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preparaton of fnancial statements in conformity with U.S. generally accepted accountng principles (“GAAP”) requires management to make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estmates and assumptons that afect the reported amounts of assets and liabilites, partcularly receivables, inventories, property, plant and equipment, right-of-use assets, goodwill, intangibles, accrued expenses, short-term and long-term lease liabilites, income taxes and related accounts and the reported amounts of revenues and expenses during the reportng period. Actual results could difer from those estmates.</w:t>
      </w:r>
    </w:p>
    <w:p>
      <w:pPr>
        <w:spacing w:after="0" w:line="24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auto"/>
        </w:rPr>
        <w:t xml:space="preserve">Revenue Recogniton - </w:t>
      </w:r>
      <w:r>
        <w:rPr>
          <w:rFonts w:ascii="Calibri" w:cs="Calibri" w:eastAsia="Calibri" w:hAnsi="Calibri"/>
          <w:sz w:val="17"/>
          <w:szCs w:val="17"/>
          <w:color w:val="auto"/>
        </w:rPr>
        <w:t>Revenue is measured as the amount of consideraton we expect to receive in exchange for transferring products. Revenue is</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recognized when we satsfy our performance obligatons under the contract. We recognize revenue upon transfer of control of the promised products to the customer, with revenue recognized at the point in tme the customer obtains control of the products. Net sales include products and shipping charges, net of estmates for product returns and any related sales rebates. We estmate product returns based on historical return rates. Using probability assessments, we estmate sales rebates expected to be paid over the term of the contract. The majority of our contracts have a single performance obligaton and are short term in nature. Sales taxes that are collected from customers and remited to governmental authorites are accounted for on a net basis and therefore are excluded from net sales. We ofer certain customers cash discounts and volume rebates as sales incentves. The discounts and volume rebates are recorded as a reducton in sales at the tme revenue is recognized in an amount estmated based on historical experience and contractual obligatons.</w:t>
      </w:r>
    </w:p>
    <w:p>
      <w:pPr>
        <w:spacing w:after="0" w:line="23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Shipping and Handling - </w:t>
      </w:r>
      <w:r>
        <w:rPr>
          <w:rFonts w:ascii="Calibri" w:cs="Calibri" w:eastAsia="Calibri" w:hAnsi="Calibri"/>
          <w:sz w:val="18"/>
          <w:szCs w:val="18"/>
          <w:color w:val="auto"/>
        </w:rPr>
        <w:t>All shipping and handling amounts billed to customers are included in revenues. Costs incurred related to the shipping and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handling of products are 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5" w:name="page36"/>
    <w:bookmarkEnd w:id="35"/>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Fair Value Measurements - </w:t>
      </w:r>
      <w:r>
        <w:rPr>
          <w:rFonts w:ascii="Calibri" w:cs="Calibri" w:eastAsia="Calibri" w:hAnsi="Calibri"/>
          <w:sz w:val="18"/>
          <w:szCs w:val="18"/>
          <w:color w:val="auto"/>
        </w:rPr>
        <w:t>The fnancial assets and liabilites that are re-measured and reported at fair value for each reportng period are an interest rate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swap, marketable securites held in a deferred compensaton retrement plan, and the earnout liability recorded in conjuncton with the acquisiton of Water Solutons. There are no fair value measurements with respect to nonfnancial assets or liabilites that are recognized or disclosed at fair value in our consolidated fnancial statements on a recurring basis.</w:t>
      </w:r>
    </w:p>
    <w:p>
      <w:pPr>
        <w:spacing w:after="0" w:line="24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Assets and liabilites measured at fair value are classifed using the following hierarchy, which is based upon the transparency of inputs to the valuaton as of the measurement date:</w:t>
      </w:r>
    </w:p>
    <w:p>
      <w:pPr>
        <w:spacing w:after="0" w:line="240" w:lineRule="exact"/>
        <w:rPr>
          <w:sz w:val="20"/>
          <w:szCs w:val="20"/>
          <w:color w:val="auto"/>
        </w:rPr>
      </w:pPr>
    </w:p>
    <w:p>
      <w:pPr>
        <w:ind w:left="460"/>
        <w:spacing w:after="0"/>
        <w:rPr>
          <w:sz w:val="20"/>
          <w:szCs w:val="20"/>
          <w:color w:val="auto"/>
        </w:rPr>
      </w:pPr>
      <w:r>
        <w:rPr>
          <w:rFonts w:ascii="Calibri" w:cs="Calibri" w:eastAsia="Calibri" w:hAnsi="Calibri"/>
          <w:sz w:val="18"/>
          <w:szCs w:val="18"/>
          <w:i w:val="1"/>
          <w:iCs w:val="1"/>
          <w:color w:val="auto"/>
        </w:rPr>
        <w:t xml:space="preserve">Level 1: </w:t>
      </w:r>
      <w:r>
        <w:rPr>
          <w:rFonts w:ascii="Calibri" w:cs="Calibri" w:eastAsia="Calibri" w:hAnsi="Calibri"/>
          <w:sz w:val="18"/>
          <w:szCs w:val="18"/>
          <w:color w:val="auto"/>
        </w:rPr>
        <w:t>Valuaton is based on quoted prices in actve markets for identcal assets or liabilites.</w:t>
      </w:r>
    </w:p>
    <w:p>
      <w:pPr>
        <w:spacing w:after="0" w:line="244" w:lineRule="exact"/>
        <w:rPr>
          <w:sz w:val="20"/>
          <w:szCs w:val="20"/>
          <w:color w:val="auto"/>
        </w:rPr>
      </w:pPr>
    </w:p>
    <w:p>
      <w:pPr>
        <w:jc w:val="both"/>
        <w:ind w:left="220" w:firstLine="243"/>
        <w:spacing w:after="0" w:line="235" w:lineRule="auto"/>
        <w:rPr>
          <w:sz w:val="20"/>
          <w:szCs w:val="20"/>
          <w:color w:val="auto"/>
        </w:rPr>
      </w:pPr>
      <w:r>
        <w:rPr>
          <w:rFonts w:ascii="Calibri" w:cs="Calibri" w:eastAsia="Calibri" w:hAnsi="Calibri"/>
          <w:sz w:val="18"/>
          <w:szCs w:val="18"/>
          <w:i w:val="1"/>
          <w:iCs w:val="1"/>
          <w:color w:val="auto"/>
        </w:rPr>
        <w:t xml:space="preserve">Level 2: </w:t>
      </w:r>
      <w:r>
        <w:rPr>
          <w:rFonts w:ascii="Calibri" w:cs="Calibri" w:eastAsia="Calibri" w:hAnsi="Calibri"/>
          <w:sz w:val="18"/>
          <w:szCs w:val="18"/>
          <w:color w:val="auto"/>
        </w:rPr>
        <w:t>Valuaton is based on quoted prices in actve markets for similar assets or liabilites, or quoted prices for identcal or similar assets or liabilites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 markets that are not actve, or inputs other than quoted prices that are observable or can be corroborated by observable market data for the asset or liability.</w:t>
      </w:r>
    </w:p>
    <w:p>
      <w:pPr>
        <w:spacing w:after="0" w:line="165" w:lineRule="exact"/>
        <w:rPr>
          <w:sz w:val="20"/>
          <w:szCs w:val="20"/>
          <w:color w:val="auto"/>
        </w:rPr>
      </w:pPr>
    </w:p>
    <w:p>
      <w:pPr>
        <w:jc w:val="both"/>
        <w:ind w:left="220" w:right="20" w:firstLine="243"/>
        <w:spacing w:after="0" w:line="235" w:lineRule="auto"/>
        <w:rPr>
          <w:sz w:val="20"/>
          <w:szCs w:val="20"/>
          <w:color w:val="auto"/>
        </w:rPr>
      </w:pPr>
      <w:r>
        <w:rPr>
          <w:rFonts w:ascii="Calibri" w:cs="Calibri" w:eastAsia="Calibri" w:hAnsi="Calibri"/>
          <w:sz w:val="18"/>
          <w:szCs w:val="18"/>
          <w:i w:val="1"/>
          <w:iCs w:val="1"/>
          <w:color w:val="auto"/>
        </w:rPr>
        <w:t xml:space="preserve">Level 3: </w:t>
      </w:r>
      <w:r>
        <w:rPr>
          <w:rFonts w:ascii="Calibri" w:cs="Calibri" w:eastAsia="Calibri" w:hAnsi="Calibri"/>
          <w:sz w:val="18"/>
          <w:szCs w:val="18"/>
          <w:color w:val="auto"/>
        </w:rPr>
        <w:t>Valuaton is based upon unobservable inputs for the asset or liability that are supported by litle or no market actvity. These fair values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determined using pricing models for which the assumptons utlize management’s estmates or market partcipant assumptons.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making fair value measurements, observable market data must be used when available. When inputs used to measure fair value fall within diferent levels of the hierarchy, the level within which the fair value measurement is categorized is based on the lowest level input that is signifcant to the fair value measurement.</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Cash Equivalents - </w:t>
      </w:r>
      <w:r>
        <w:rPr>
          <w:rFonts w:ascii="Calibri" w:cs="Calibri" w:eastAsia="Calibri" w:hAnsi="Calibri"/>
          <w:sz w:val="18"/>
          <w:szCs w:val="18"/>
          <w:color w:val="auto"/>
        </w:rPr>
        <w:t>Cash equivalents include all liquid debt instruments (primarily cash funds and money market accounts) purchased with an original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maturity of three months or less. The cash balances, maintained at large commercial banking insttutons with strong credit ratngs, typically exceed federally insured limits.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Trade Receivables and Concentratons of Credit Risk - </w:t>
      </w:r>
      <w:r>
        <w:rPr>
          <w:rFonts w:ascii="Calibri" w:cs="Calibri" w:eastAsia="Calibri" w:hAnsi="Calibri"/>
          <w:sz w:val="18"/>
          <w:szCs w:val="18"/>
          <w:color w:val="auto"/>
        </w:rPr>
        <w:t>Financial instruments, which potentally subject us to a concentraton of credit risk, principally consist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 trade receivables. We sell our principal products to a large number of customers in many diferent industries. As of March 31, 2024, no single customer represented more than 10% of our total trade receivables. There are no other concentratons of credit risk with other single customers from a partcular service or geographic area that would signifcantly impact us in the near term.</w:t>
      </w:r>
    </w:p>
    <w:p>
      <w:pPr>
        <w:spacing w:after="0" w:line="24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To reduce credit risk, we routnely assess the fnancial strength of our customers. Receivables are reported net of an allowance for credit losses as determined by management at the end of each reportng period. Our receivable allowance is based on an estmate of expected credit losses, with the estmate based on a number of qualitatve and quanttatve factors that, based on collecton experience, may have an impact on repayment risk and ability to collect.</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Inventories - </w:t>
      </w:r>
      <w:r>
        <w:rPr>
          <w:rFonts w:ascii="Calibri" w:cs="Calibri" w:eastAsia="Calibri" w:hAnsi="Calibri"/>
          <w:sz w:val="18"/>
          <w:szCs w:val="18"/>
          <w:color w:val="auto"/>
        </w:rPr>
        <w:t>Inventories, consistng primarily of fnished goods, are primarily valued at the lower of cost or net realizable value, with cost for approximately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82% of our inventory determined using the last-in, frst-out (“LIFO”) method. Cost for the other 18% of our total inventory is determined using the frst-in, frst-out (“FIFO”) method.</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Leases </w:t>
      </w:r>
      <w:r>
        <w:rPr>
          <w:rFonts w:ascii="Calibri" w:cs="Calibri" w:eastAsia="Calibri" w:hAnsi="Calibri"/>
          <w:sz w:val="18"/>
          <w:szCs w:val="18"/>
          <w:color w:val="auto"/>
        </w:rPr>
        <w:t>- We determine if an arrangement is a lease at incepton. Right-of-use ("ROU") assets include operatng leases. Lease liabilites for operatng leases 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classifed in "short-term lease liabilites" and "long-term lease liabilites" in our consolidated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ROU assets and related liabilites are recognized at commencement date based on the present value of the lease payments over the lease term. As most of our leases do not provide an implicit rate, we use our incremental borrowing rate based on the informaton available at commencement date in determining the present value of lease payments. Lease terms may include optons to extend or terminate the lease when it is reasonably certain that we will exercise that opton. Lease expense for lease payments is recognized on a straight-line basis over the lease term.</w:t>
      </w:r>
    </w:p>
    <w:p>
      <w:pPr>
        <w:spacing w:after="0" w:line="24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Property, Plant and Equipment - </w:t>
      </w:r>
      <w:r>
        <w:rPr>
          <w:rFonts w:ascii="Calibri" w:cs="Calibri" w:eastAsia="Calibri" w:hAnsi="Calibri"/>
          <w:sz w:val="18"/>
          <w:szCs w:val="18"/>
          <w:color w:val="auto"/>
        </w:rPr>
        <w:t>Property is stated at cost and depreciated or amortzed over the lives of the assets, using the straight-line method. Property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acquired in a business combinaton is recorded at the fair value of the assets on the date of acquisiton. Estmated lives are generally: 10 to 40 years for buildings and improvements; 3 to 20 years for machinery and equipment; and 3 to 10 years for transportaton equipment and ofce furniture and equipment including computer systems. Leasehold improvements are amortzed over the lesser of their estmated useful lives or the remaining lease term. Depreciaton and amortzaton expense is recorded in our Consolidated Statements of Income within cost of goods sold and selling, general and administratve expense, depending on the use of the underlying asset. We recorded depreciaton expense of $23.3 million for fscal 2024, $20.5 million for fscal 2023 and $17.7 million for fscal 2022.</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Signifcant improvements that add to productve capacity or extend the lives of propertes are capitalized. Costs for repairs and maintenance are charged to expense as incurred. When property is retred or otherwise disposed of, the cost and related accumulated depreciaton or amortzaton are removed from the accounts and any related gains or losses are included in income.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signifcant reductons in projected future cash fows. The assessment of possible impairment is based on our ability to recover the carrying value of the asset group from the expected future pre-tax cash fows (undiscounted) of the related asset group. If these cash fows are less than the carrying value of such asset group, an impairment loss would be measured by the amount the carrying value exceeds the fair value of the long-lived asset group. The measurement of impairment requires us to estmate future cash fows and the fair value of long-lived assets. We did not incur any asset write-of charges in fscal 2024, fscal 2023, or fscal 2022 related to the impairment of long-lived assets.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Goodwill and Identfable Intangible Assets - </w:t>
      </w:r>
      <w:r>
        <w:rPr>
          <w:rFonts w:ascii="Calibri" w:cs="Calibri" w:eastAsia="Calibri" w:hAnsi="Calibri"/>
          <w:sz w:val="18"/>
          <w:szCs w:val="18"/>
          <w:color w:val="auto"/>
        </w:rPr>
        <w:t>Goodwill represents the excess of the cost of acquired businesses over the fair value of identfable tangible net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assets and identfable intangible assets purchased. Goodwill is tested at least annually for impairment and is tested for impairment more frequently if events or changes in circumstances indicate that the asset might be impaired. Our annual test for impairment is as of the frst day of our fourth fscal quarter. As of January 1, 2024, we performed an analysis of qualitatve factors for our Industrial, Water Treatment and Health and Nutriton reportng units to determine whether it is more likely than not that the fair value of either of these reportng units was less than its carrying amount as a basis for determining whether it is necessary to perform a quanttatve goodwill impairment test. Based on management’s analysis of qualitatve factors, we determined that it was not necessary to perform a quanttatve goodwill impairment test for any of these reportng units. Goodwill impairment assessments were also completed in the fourth quarters of fscal 2023 and 2022 and, similarly, we did not record a goodwill impairment charge.</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identfable intangible assets include customer relatonships, trademarks and tradenames acquired in previous business acquisitons. Identfable intangible assets with fnite lives are amortzed whereas identfable intangible assets with indefnite lives are not amortzed. The values assigned to the intangible assets with fnite lives are being amortzed on average over a remaining useful life of approximately 10 years. Identfable intangible assets that are subject to amortzaton are evaluated for impairment whenever events or changes in circumstances indicate that the carrying amount may not be recoverable. No such events or changes in circumstances occurred during fscal 2024, 2023 or 2022. Identfable intangible assets not subject to amortzaton are tested for impairment annually or more frequently if events warrant. The impairment test consists of a qualitatve assessment to determine whether it is more likely than not that the asset is impaired. Based on management’s analysis of qualitatve factors, we determined that it was not necessary to perform an annual quanttatve impairment test for fscal 2024, 2023 or 2022.</w:t>
      </w:r>
    </w:p>
    <w:p>
      <w:pPr>
        <w:spacing w:after="0" w:line="2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Business Combinatons - </w:t>
      </w:r>
      <w:r>
        <w:rPr>
          <w:rFonts w:ascii="Calibri" w:cs="Calibri" w:eastAsia="Calibri" w:hAnsi="Calibri"/>
          <w:sz w:val="18"/>
          <w:szCs w:val="18"/>
          <w:color w:val="auto"/>
        </w:rPr>
        <w:t>We record business combinatons using the acquisiton method of accountng. Under the acquisiton method of accountng,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identfable assets acquired and liabilites assumed are recorded at their acquisiton date fair values. The excess of the purchase price over the estmated fair value is recorded as goodwill. Changes in the estmated fair values of net assets recorded for acquisitons prior to the fnalizaton of more detailed analysis, but not to exceed one year from the date of acquisiton, will adjust the amount of the purchase price allocable to goodwill. Measurement period adjustments are refected in the period in which they occur.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Income Taxes - </w:t>
      </w:r>
      <w:r>
        <w:rPr>
          <w:rFonts w:ascii="Calibri" w:cs="Calibri" w:eastAsia="Calibri" w:hAnsi="Calibri"/>
          <w:sz w:val="18"/>
          <w:szCs w:val="18"/>
          <w:color w:val="auto"/>
        </w:rPr>
        <w:t>Deferred taxes are provided for diferences between the fnancial statement and tax basis of assets and liabilites using enacted tax rates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efect for the year in which the diferences are expected to reverse. A valuaton allowance is provided to ofset deferred tax assets if, based on the available evidence, it is more likely than not that some or all of the value of the deferred tax assets will not be realized. We record any interest and penaltes related to income taxes as income tax expense in the Consolidated Statements of Income.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Stock-Based Compensaton - </w:t>
      </w:r>
      <w:r>
        <w:rPr>
          <w:rFonts w:ascii="Calibri" w:cs="Calibri" w:eastAsia="Calibri" w:hAnsi="Calibri"/>
          <w:sz w:val="18"/>
          <w:szCs w:val="18"/>
          <w:color w:val="auto"/>
        </w:rPr>
        <w:t>We account for stock-based compensaton on a fair value basis. The estmated grant date fair value of each stock-based award is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recognized in expense over the requisite service period (generally the vestng period). Non-vested share awards are recorded as expense over the requisite service periods based on the stock price on the date of grant.</w:t>
      </w:r>
    </w:p>
    <w:p>
      <w:pPr>
        <w:spacing w:after="0" w:line="246"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 xml:space="preserve">Earnings Per Share - </w:t>
      </w:r>
      <w:r>
        <w:rPr>
          <w:rFonts w:ascii="Calibri" w:cs="Calibri" w:eastAsia="Calibri" w:hAnsi="Calibri"/>
          <w:sz w:val="17"/>
          <w:szCs w:val="17"/>
          <w:color w:val="auto"/>
        </w:rPr>
        <w:t>Basic earnings per share (“EPS”) are computed by dividing net income by the weighted-average number of common shares outstanding.</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Diluted EPS are computed by dividing net income by the weighted-average number of common shares outstanding including the incremental shares assumed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to be issued as performance units and restricted stock.</w:t>
      </w:r>
    </w:p>
    <w:p>
      <w:pPr>
        <w:spacing w:after="0" w:line="235" w:lineRule="auto"/>
        <w:rPr>
          <w:sz w:val="20"/>
          <w:szCs w:val="20"/>
          <w:color w:val="auto"/>
        </w:rPr>
      </w:pPr>
      <w:r>
        <w:rPr>
          <w:rFonts w:ascii="Calibri" w:cs="Calibri" w:eastAsia="Calibri" w:hAnsi="Calibri"/>
          <w:sz w:val="18"/>
          <w:szCs w:val="18"/>
          <w:color w:val="auto"/>
        </w:rPr>
        <w:t>Basic and diluted EPS were calculated using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800" w:type="dxa"/>
            <w:vAlign w:val="bottom"/>
            <w:gridSpan w:val="2"/>
          </w:tcPr>
          <w:p>
            <w:pPr>
              <w:ind w:left="380"/>
              <w:spacing w:after="0"/>
              <w:rPr>
                <w:sz w:val="20"/>
                <w:szCs w:val="20"/>
                <w:color w:val="auto"/>
              </w:rPr>
            </w:pPr>
            <w:r>
              <w:rPr>
                <w:rFonts w:ascii="Calibri" w:cs="Calibri" w:eastAsia="Calibri" w:hAnsi="Calibri"/>
                <w:sz w:val="14"/>
                <w:szCs w:val="14"/>
                <w:b w:val="1"/>
                <w:bCs w:val="1"/>
                <w:color w:val="auto"/>
              </w:rPr>
              <w:t>March 31, 2024</w:t>
            </w:r>
          </w:p>
        </w:tc>
        <w:tc>
          <w:tcPr>
            <w:tcW w:w="1800" w:type="dxa"/>
            <w:vAlign w:val="bottom"/>
            <w:gridSpan w:val="2"/>
          </w:tcPr>
          <w:p>
            <w:pPr>
              <w:ind w:left="420"/>
              <w:spacing w:after="0"/>
              <w:rPr>
                <w:sz w:val="20"/>
                <w:szCs w:val="20"/>
                <w:color w:val="auto"/>
              </w:rPr>
            </w:pPr>
            <w:r>
              <w:rPr>
                <w:rFonts w:ascii="Calibri" w:cs="Calibri" w:eastAsia="Calibri" w:hAnsi="Calibri"/>
                <w:sz w:val="14"/>
                <w:szCs w:val="14"/>
                <w:b w:val="1"/>
                <w:bCs w:val="1"/>
                <w:color w:val="auto"/>
              </w:rPr>
              <w:t>April 02, 2023</w:t>
            </w:r>
          </w:p>
        </w:tc>
        <w:tc>
          <w:tcPr>
            <w:tcW w:w="1700" w:type="dxa"/>
            <w:vAlign w:val="bottom"/>
          </w:tcPr>
          <w:p>
            <w:pPr>
              <w:jc w:val="right"/>
              <w:ind w:right="395"/>
              <w:spacing w:after="0"/>
              <w:rPr>
                <w:sz w:val="20"/>
                <w:szCs w:val="20"/>
                <w:color w:val="auto"/>
              </w:rPr>
            </w:pPr>
            <w:r>
              <w:rPr>
                <w:rFonts w:ascii="Calibri" w:cs="Calibri" w:eastAsia="Calibri" w:hAnsi="Calibri"/>
                <w:sz w:val="14"/>
                <w:szCs w:val="14"/>
                <w:b w:val="1"/>
                <w:bCs w:val="1"/>
                <w:color w:val="auto"/>
              </w:rPr>
              <w:t>April 3, 2022</w:t>
            </w:r>
          </w:p>
        </w:tc>
      </w:tr>
      <w:tr>
        <w:trPr>
          <w:trHeight w:val="47"/>
        </w:trPr>
        <w:tc>
          <w:tcPr>
            <w:tcW w:w="592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23"/>
        </w:trPr>
        <w:tc>
          <w:tcPr>
            <w:tcW w:w="59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Weighted average common shares outstanding — basic</w:t>
            </w:r>
          </w:p>
        </w:tc>
        <w:tc>
          <w:tcPr>
            <w:tcW w:w="1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20,864,348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20,848,077</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20,947,234</w:t>
            </w:r>
          </w:p>
        </w:tc>
      </w:tr>
      <w:tr>
        <w:trPr>
          <w:trHeight w:val="223"/>
        </w:trPr>
        <w:tc>
          <w:tcPr>
            <w:tcW w:w="59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Dilutve impact of stock performance units and restricted stock</w:t>
            </w: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149,978</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166,828</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188,024</w:t>
            </w:r>
          </w:p>
        </w:tc>
      </w:tr>
      <w:tr>
        <w:trPr>
          <w:trHeight w:val="248"/>
        </w:trPr>
        <w:tc>
          <w:tcPr>
            <w:tcW w:w="592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Weighted average common shares outstanding — diluted</w:t>
            </w:r>
          </w:p>
        </w:tc>
        <w:tc>
          <w:tcPr>
            <w:tcW w:w="16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21,014,326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21,014,905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21,135,258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shares or stock optons excluded from the calculaton of weighted average common shares for diluted EPS for fscal 2024, 2023 or 2022.</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Derivatve Instruments and Hedging Actvites - </w:t>
      </w:r>
      <w:r>
        <w:rPr>
          <w:rFonts w:ascii="Calibri" w:cs="Calibri" w:eastAsia="Calibri" w:hAnsi="Calibri"/>
          <w:sz w:val="18"/>
          <w:szCs w:val="18"/>
          <w:color w:val="auto"/>
        </w:rPr>
        <w:t>We are subject to interest rate risk associated with our variable rate debt. We have in place an interest rate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swap agreement which has been designated as a cash fow hedge, the purpose of which is to eliminate the cash fow impact of interest rate changes on a porton of our variable-rate debt. The interest rate swap is measured at fair value on the contract date and is subsequently remeasured to fair value at each reportng date. Changes in the fair value of a derivatve that is highly efectve, and that is designated and qualifes as a cash fow hedge, are recorded in other comprehensive income, untl the consolidated statement of income is afected by the variability in cash fows of the designated hedged item. To the extent that the hedge is inefectve, changes in the fair value are recognized in the Consolidated Statements of Income.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 (Topic 740): Improvements to Income Tax Disclosures (ASU No.2023-09)</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 the Financial Accountng Standards Board ("FASB") issued accountng standards update No. 2023-09 to enhance the transparency and decision-usefulness of income tax disclosures and to provide informaton to beter assess how an entty's operatons and related tax risks and tax planning and operatonal opportunites afect its tax rate and prospects for future cash fows. For public business enttes, the amendments in this update are efectve for annual periods beginning afer December 15, 2024. We are in the process of evaluatng the impact of this standard on the disclosures in our fnancial statements.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Segment Reportng (Topic 280): Improvements to Reportable Segment Disclosures (ASU 2023-07)</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November 2023, the FASB issued accountng standards update No. 2023-07 to improve reportable segment disclosure requirements, primarily through enhanced disclosures about signifcant segment expenses. The update requires public enttes to disclose, on an annual and interim basis, signifcant segment expenses that are regularly provided to the chief operatng decision maker ("CODM"), the ttle and positon of the CODM and an explanaton of how the CODM uses the reported measure(s) of segment proft or loss in assessing segment performance and deciding how to allocate resources. The amendments in this update are efectve for public enttes in fscal years beginning afer December 15, 2023, and interim periods within fscal years beginning afer December 15, 2024 and are to be applied retrospectvely to all prior periods presented in the fnancial statements. Early adopton is permited. We are in the process of evaluatng the impact of this standard on the disclosures in our fnancial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8" w:name="page39"/>
    <w:bookmarkEnd w:id="38"/>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 Acquisitons and Asset Sales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Industrial Research Corporaton: </w:t>
      </w:r>
      <w:r>
        <w:rPr>
          <w:rFonts w:ascii="Calibri" w:cs="Calibri" w:eastAsia="Calibri" w:hAnsi="Calibri"/>
          <w:sz w:val="18"/>
          <w:szCs w:val="18"/>
          <w:color w:val="auto"/>
        </w:rPr>
        <w:t>On March 8, 2024, we acquired substantally all the assets of Industrial Research Corporaton ("Industrial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Research") for $4.6 million under the terms of a purchase agreement with Industrial Research and its shareholders. Industrial Research distributed water treatment chemicals and equipment to customers primarily in central to northern Louisiana, eastern Texas and southern Arkansas. The results of operatons since the acquisiton date and the assets are included in our Water Treatment segment. Costs associated with this transacton were not material and were expensed as incurred.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acquisiton has been accounted for under the acquisiton method of accountng, under which the total purchase price is allocated to the net tangible and intangible assets and liabilites of Industrial Research acquired in connecton with the acquisiton based on their estmated fair values. We estmated the fair values of the assets acquired and liabilites assumed using a discounted cash fow analysis (income approach). Of the $4.6 million purchase price, $2.2 million was allocated to customer relatonships, to be amortzed over 10 years. The remaining amount was allocated to net working capital and property, plant and equipment, with the residual amount of $1.7 million allocated to goodwill. The goodwill recognized as a result of this acquisiton is primarily atributable to strategic and synergistc benefts, as well as the assembled workforce. Such goodwill is expected to be deductble for tax purposes.</w:t>
      </w:r>
    </w:p>
    <w:p>
      <w:pPr>
        <w:spacing w:after="0" w:line="113"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b w:val="1"/>
          <w:bCs w:val="1"/>
          <w:i w:val="1"/>
          <w:iCs w:val="1"/>
          <w:color w:val="auto"/>
        </w:rPr>
        <w:t xml:space="preserve">Acquisiton of The Miami Products &amp; Chemical Company: </w:t>
      </w:r>
      <w:r>
        <w:rPr>
          <w:rFonts w:ascii="Calibri" w:cs="Calibri" w:eastAsia="Calibri" w:hAnsi="Calibri"/>
          <w:sz w:val="17"/>
          <w:szCs w:val="17"/>
          <w:color w:val="auto"/>
        </w:rPr>
        <w:t>On October 31, 2023, we acquired substantally all the assets of The Miami Products &amp; Chemical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Company ("Miami Products") for $15.5 million under the terms of a purchase agreement with Miami Products and its shareholders. Miami Products was a bleach manufacturer and distributor serving customers primarily throughout Ohio and the surrounding region. The results of operatons since the acquisiton date and the assets are included in our Water Treatment segment. Costs associated with this transacton were not material and were expensed as incurred.</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acquisiton has been accounted for under the acquisiton method of accountng, under which the total purchase price is allocated to the net tangible and intangible assets and liabilites of Miami Products acquired in connecton with the acquisiton based on their estmated fair values. We estmated the fair values of the assets acquired and liabilites assumed using a discounted cash fow analysis (income approach). Of the $15.5 million purchase price, $8.2 million was allocated to customer relatonships, to be amortzed over 11 years, and $0.8 million was allocated to trade names, to be amortzed over 10 years. The remaining amount was allocated to net working capital and property, plant and equipment, with the residual amount of $3.2 million allocated to goodwill. The goodwill recognized as a result of this acquisiton is primarily atributable to strategic and synergistc benefts, as well as the assembled workforce. Such goodwill is expected to be deductble for tax purposes.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Water Solutons Unlimited, Inc.: </w:t>
      </w:r>
      <w:r>
        <w:rPr>
          <w:rFonts w:ascii="Calibri" w:cs="Calibri" w:eastAsia="Calibri" w:hAnsi="Calibri"/>
          <w:sz w:val="18"/>
          <w:szCs w:val="18"/>
          <w:color w:val="auto"/>
        </w:rPr>
        <w:t>On October 27, 2023, we acquired substantally all the assets of Water Solutons Unlimited, Inc. ("Water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Solutons") under the terms of a purchase agreement with Water Solutons and its shareholders. We paid $60 million at closing and may be obligated to pay an additonal amount based on achieving a certain earnings target three years afer the acquisiton. Water Solutons was a manufacturer and distributor of water treatment chemicals serving customers primarily throughout Indiana, Illinois and Michigan. The results of operatons since the acquisiton date and the assets are included in our Water Treatment segment. Costs associated with this transacton were not material and were expensed as incurred.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acquisiton has been accounted for under the acquisiton method of accountng, under which the total purchase price is allocated to the net tangible and intangible assets and liabilites of Water Solutons acquired in connecton with the acquisiton based on their estmated fair values. We estmated the fair values of the assets acquired and liabilites assumed using a discounted cash fow analysis (income approach). The total purchase price was estmated to be $70.7 million, including the estmated potental earnout to be paid of $10.7 million. Of the $70.7 million purchase price, $32.4 million was allocated to customer relatonships, to be amortzed over 13 years, $6.4 million was allocated to trade names, to be amortzed over 10 years, and $0.2 million was allocated to non-compete agreements, to be amortzed over fve years. The remaining amount was allocated to net working capital and property, plant and equipment, with the residual amount of $21.0 million allocated to goodwill. The goodwill recognized as a result of this acquisiton is primarily atributable to strategic and synergistc benefts, as well as the assembled workforce. Such goodwill is expected to be deductble for tax purposes.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EcoTech Enterprises, Inc.: </w:t>
      </w:r>
      <w:r>
        <w:rPr>
          <w:rFonts w:ascii="Calibri" w:cs="Calibri" w:eastAsia="Calibri" w:hAnsi="Calibri"/>
          <w:sz w:val="18"/>
          <w:szCs w:val="18"/>
          <w:color w:val="auto"/>
        </w:rPr>
        <w:t>On July 14, 2023, we acquired substantally all the assets of EcoTech Enterprises, Inc. ("EcoTech") for $3.4 million,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under the terms of a purchase agreement with EcoTech and its shareholders. EcoTech was a water treatment chemical distributon company operatng primarily in Arkansas. The $3.4 million purchase price was allocated primarily to customer relatonships, to be amortzed over 10 years, property, plant and equipment, and net working capital. The results of operatons since the acquisiton date and the assets are included in our Water Treatment segment. Costs associated with this transacton were not material and 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3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Sale of bleach packaging assets: </w:t>
      </w:r>
      <w:r>
        <w:rPr>
          <w:rFonts w:ascii="Calibri" w:cs="Calibri" w:eastAsia="Calibri" w:hAnsi="Calibri"/>
          <w:sz w:val="18"/>
          <w:szCs w:val="18"/>
          <w:color w:val="auto"/>
        </w:rPr>
        <w:t>On March 30, 2023, we sold certain assets in our Industrial segment related to our consumer bleach packaging business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$7 million. These assets were not core to our Industrial segment operatons, where we tend to focus our manufacturing operatons on bulk products. The assets sold included plant equipment, inventory and intangible assets, all related to the packaging of bleach. We realized a gain of $3 million on this sale, which was recorded within selling, general and administratve expenses.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3 — Revenue</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revenue arrangements generally consist of a single performance obligaton to transfer promised goods or services. We disaggregate revenues from contracts with customers by both operatng segments and types of product sold. Reportng by operatng segment is pertnent to understanding our revenues, as it aligns to how we review the fnancial performance of our operatons. Types of products sold within each operatng segment help us to further evaluate the fnancial performance of our segments.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disaggregates external customer net sales by major revenue stream:</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740"/>
        <w:spacing w:after="0"/>
        <w:rPr>
          <w:sz w:val="20"/>
          <w:szCs w:val="20"/>
          <w:color w:val="auto"/>
        </w:rPr>
      </w:pPr>
      <w:r>
        <w:rPr>
          <w:rFonts w:ascii="Calibri" w:cs="Calibri" w:eastAsia="Calibri" w:hAnsi="Calibri"/>
          <w:sz w:val="18"/>
          <w:szCs w:val="18"/>
          <w:b w:val="1"/>
          <w:bCs w:val="1"/>
          <w:color w:val="auto"/>
        </w:rPr>
        <w:t>Fiscal Year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54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6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36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345,837</w:t>
            </w:r>
          </w:p>
        </w:tc>
        <w:tc>
          <w:tcPr>
            <w:tcW w:w="24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327,188</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36,375</w:t>
            </w:r>
          </w:p>
        </w:tc>
        <w:tc>
          <w:tcPr>
            <w:tcW w:w="240" w:type="dxa"/>
            <w:vAlign w:val="bottom"/>
          </w:tcPr>
          <w:p>
            <w:pPr>
              <w:spacing w:after="0"/>
              <w:rPr>
                <w:sz w:val="18"/>
                <w:szCs w:val="18"/>
                <w:color w:val="auto"/>
              </w:rPr>
            </w:pPr>
          </w:p>
        </w:tc>
        <w:tc>
          <w:tcPr>
            <w:tcW w:w="30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709,400</w:t>
            </w:r>
          </w:p>
        </w:tc>
      </w:tr>
      <w:tr>
        <w:trPr>
          <w:trHeight w:val="221"/>
        </w:trPr>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108,789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108,789</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55,720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32,349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88,069</w:t>
            </w:r>
          </w:p>
        </w:tc>
      </w:tr>
      <w:tr>
        <w:trPr>
          <w:trHeight w:val="229"/>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7,908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3,752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12,904</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409,465</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363,289</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146,408</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919,162</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-624840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-333375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Calibri" w:cs="Calibri" w:eastAsia="Calibri" w:hAnsi="Calibri"/>
          <w:sz w:val="18"/>
          <w:szCs w:val="18"/>
          <w:b w:val="1"/>
          <w:bCs w:val="1"/>
          <w:color w:val="auto"/>
        </w:rPr>
        <w:t>Fiscal Year Ended April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14605</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6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36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383,612</w:t>
            </w:r>
          </w:p>
        </w:tc>
        <w:tc>
          <w:tcPr>
            <w:tcW w:w="24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271,448</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48,575</w:t>
            </w:r>
          </w:p>
        </w:tc>
        <w:tc>
          <w:tcPr>
            <w:tcW w:w="240" w:type="dxa"/>
            <w:vAlign w:val="bottom"/>
          </w:tcPr>
          <w:p>
            <w:pPr>
              <w:spacing w:after="0"/>
              <w:rPr>
                <w:sz w:val="18"/>
                <w:szCs w:val="18"/>
                <w:color w:val="auto"/>
              </w:rPr>
            </w:pPr>
          </w:p>
        </w:tc>
        <w:tc>
          <w:tcPr>
            <w:tcW w:w="30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703,635</w:t>
            </w:r>
          </w:p>
        </w:tc>
      </w:tr>
      <w:tr>
        <w:trPr>
          <w:trHeight w:val="221"/>
        </w:trPr>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109,468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109,468</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77,479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27,996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105,475</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9,669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5,481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16,520</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470,760</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304,925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159,413</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935,098</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-624840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-334010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Calibri" w:cs="Calibri" w:eastAsia="Calibri" w:hAnsi="Calibri"/>
          <w:sz w:val="18"/>
          <w:szCs w:val="18"/>
          <w:b w:val="1"/>
          <w:bCs w:val="1"/>
          <w:color w:val="auto"/>
        </w:rPr>
        <w:t>Fiscal Year Ended April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14605</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6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360" w:type="dxa"/>
            <w:vAlign w:val="bottom"/>
            <w:gridSpan w:val="2"/>
          </w:tcPr>
          <w:p>
            <w:pPr>
              <w:jc w:val="center"/>
              <w:ind w:right="4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318,514</w:t>
            </w:r>
          </w:p>
        </w:tc>
        <w:tc>
          <w:tcPr>
            <w:tcW w:w="24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205,350</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34,690</w:t>
            </w:r>
          </w:p>
        </w:tc>
        <w:tc>
          <w:tcPr>
            <w:tcW w:w="240" w:type="dxa"/>
            <w:vAlign w:val="bottom"/>
          </w:tcPr>
          <w:p>
            <w:pPr>
              <w:spacing w:after="0"/>
              <w:rPr>
                <w:sz w:val="18"/>
                <w:szCs w:val="18"/>
                <w:color w:val="auto"/>
              </w:rPr>
            </w:pPr>
          </w:p>
        </w:tc>
        <w:tc>
          <w:tcPr>
            <w:tcW w:w="30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558,554</w:t>
            </w:r>
          </w:p>
        </w:tc>
      </w:tr>
      <w:tr>
        <w:trPr>
          <w:trHeight w:val="221"/>
        </w:trPr>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124,312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124,312</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61,443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20,211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81,654</w:t>
            </w:r>
          </w:p>
        </w:tc>
      </w:tr>
      <w:tr>
        <w:trPr>
          <w:trHeight w:val="230"/>
        </w:trPr>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6,981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2,572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10,021</w:t>
            </w:r>
          </w:p>
        </w:tc>
      </w:tr>
      <w:tr>
        <w:trPr>
          <w:trHeight w:val="2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386,938</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228,133</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159,470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774,541</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-624840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-333375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920"/>
          </w:cols>
          <w:pgMar w:left="320" w:top="112" w:right="339" w:bottom="1440" w:gutter="0" w:footer="0" w:header="0"/>
          <w:type w:val="continuous"/>
        </w:sectPr>
      </w:pPr>
    </w:p>
    <w:p>
      <w:pPr>
        <w:spacing w:after="0" w:line="79" w:lineRule="exact"/>
        <w:rPr>
          <w:sz w:val="20"/>
          <w:szCs w:val="20"/>
          <w:color w:val="auto"/>
        </w:rPr>
      </w:pPr>
    </w:p>
    <w:p>
      <w:pPr>
        <w:jc w:val="both"/>
        <w:ind w:left="660" w:hanging="328"/>
        <w:spacing w:after="0" w:line="239" w:lineRule="auto"/>
        <w:tabs>
          <w:tab w:leader="none" w:pos="651"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For our Industrial and Water Treatment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1" w:lineRule="exact"/>
        <w:rPr>
          <w:rFonts w:ascii="Calibri" w:cs="Calibri" w:eastAsia="Calibri" w:hAnsi="Calibri"/>
          <w:sz w:val="16"/>
          <w:szCs w:val="16"/>
          <w:color w:val="auto"/>
        </w:rPr>
      </w:pPr>
    </w:p>
    <w:p>
      <w:pPr>
        <w:ind w:left="660" w:hanging="328"/>
        <w:spacing w:after="0"/>
        <w:tabs>
          <w:tab w:leader="none" w:pos="651"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This line includes non-manufactured distributed specialty products in our Health and Nutriton segment, which may be sold out of one of our facilites or direct shipped to our customers.</w:t>
      </w:r>
    </w:p>
    <w:p>
      <w:pPr>
        <w:ind w:left="660" w:right="20" w:hanging="328"/>
        <w:spacing w:after="0" w:line="241" w:lineRule="auto"/>
        <w:tabs>
          <w:tab w:leader="none" w:pos="651"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This line includes bulk products in our Industrial and Water Treatment segments that we do not modify in any way, but receive, store, and ship from our facilites, or direct ship to our customers in large quanttes.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0" w:name="page41"/>
    <w:bookmarkEnd w:id="40"/>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 Derivatve Instruments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 We have designated this swap as a cash fow hedge and have determined that it qualifes for hedge accountng treatment. For so long as the hedge is efectve, changes in fair value of the cash fow hedge are recorded in other comprehensive income or loss (net of tax) untl income or loss from the cash fows of the hedged item is realized.</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fscal 2024, 2023 and 2022, we recorded $0.2 million, $1.6 million, and $1.3 million, respectvely, in other comprehensive income related to unrealized gains (net of tax) on the cash fow hedge. Included in other long-term assets on our consolidated balance sheet was $4.3 million as of March 31, 2024 and $4.0 million as of April 2, 2023.</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By their nature, derivatve instruments are subject to market risk. Derivatve instruments are also subject to credit risk associated with counterpartes to the derivatve contracts. Credit risk associated with derivatves is measured based on the replacement cost should the counterparty with a contract in a gain positon to us fail to perform under the terms of the contract. While the current interest rate swap is in efect, we do not antcipate nonperformance by the counterparty.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 Fair Value Measurements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fnancial assets and liabilites are measured at fair value as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Assets and Liabilites Measured at Fair Value on a Recurring Basis. </w:t>
      </w:r>
      <w:r>
        <w:rPr>
          <w:rFonts w:ascii="Calibri" w:cs="Calibri" w:eastAsia="Calibri" w:hAnsi="Calibri"/>
          <w:sz w:val="18"/>
          <w:szCs w:val="18"/>
          <w:color w:val="auto"/>
        </w:rPr>
        <w:t>The fair value hierarchy requires the use of observable market data when available.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fnancial assets that are re-measured and reported at fair value for each reportng period are an interest rate swap, marketable securites held in a deferred compensaton retrement plan, and the earnout liability recorded in conjuncton with the acquisiton of Water Solutons. The interest rate swap and assets held in a deferred compensaton retrement plan are classifed as other long-term assets on our balance sheet, with the porton of the deferred compensaton retrement plan assets expected to be paid within twelve months classifed as current assets. The earnout liability is classifed as a long-term liability on our balance sheet.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2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earnout liability recorded in conjuncton with the Water Solutons acquisiton is based upon achieving certain targets. The earnout is based on a target of adjusted earnings before interest, taxes, depreciaton and amortzaton (EBITDA) in year three of the acquisiton. The earnout liability was valued based upon a risk-neutral pricing analysis within a Monte Carlo simulaton framework, which is a Level 3 input. The Monte Carlo simulaton assumptons used to estmate the fair value of the earnout included forecasted EBITDA, an estmated EBITDA-specifc required rate of return, term period, risk-free rate, and an estmated EBITDA-specifc volatlity. Other key inputs included an estmate of our credit-adjusted discount rate and an appropriate risk-free rate over the term of the simulaton period. The earnout liability is adjusted to fair value at each reportng date untl setled. Changes in fair value are included in selling, general and administratve expenses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balances of assets measured at fair value on a recurring basis as of March 31, 2024 and April 2, 2023.</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Calibri" w:cs="Calibri" w:eastAsia="Calibri" w:hAnsi="Calibri"/>
                <w:sz w:val="18"/>
                <w:szCs w:val="18"/>
                <w:b w:val="1"/>
                <w:bCs w:val="1"/>
                <w:color w:val="auto"/>
              </w:rPr>
              <w:t>March 31, 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April 2, 2023</w:t>
            </w:r>
          </w:p>
        </w:tc>
        <w:tc>
          <w:tcPr>
            <w:tcW w:w="0" w:type="dxa"/>
            <w:vAlign w:val="bottom"/>
          </w:tcPr>
          <w:p>
            <w:pPr>
              <w:spacing w:after="0"/>
              <w:rPr>
                <w:sz w:val="1"/>
                <w:szCs w:val="1"/>
                <w:color w:val="auto"/>
              </w:rPr>
            </w:pPr>
          </w:p>
        </w:tc>
      </w:tr>
      <w:tr>
        <w:trPr>
          <w:trHeight w:val="23"/>
        </w:trPr>
        <w:tc>
          <w:tcPr>
            <w:tcW w:w="6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tcPr>
          <w:p>
            <w:pPr>
              <w:ind w:left="240"/>
              <w:spacing w:after="0" w:line="215" w:lineRule="exact"/>
              <w:rPr>
                <w:sz w:val="20"/>
                <w:szCs w:val="20"/>
                <w:color w:val="auto"/>
              </w:rPr>
            </w:pPr>
            <w:r>
              <w:rPr>
                <w:rFonts w:ascii="Calibri" w:cs="Calibri" w:eastAsia="Calibri" w:hAnsi="Calibri"/>
                <w:sz w:val="18"/>
                <w:szCs w:val="18"/>
                <w:color w:val="auto"/>
              </w:rPr>
              <w:t>Deferred compensaton plan assets</w:t>
            </w:r>
          </w:p>
        </w:tc>
        <w:tc>
          <w:tcPr>
            <w:tcW w:w="1100" w:type="dxa"/>
            <w:vAlign w:val="bottom"/>
            <w:gridSpan w:val="2"/>
          </w:tcPr>
          <w:p>
            <w:pPr>
              <w:jc w:val="right"/>
              <w:ind w:right="330"/>
              <w:spacing w:after="0"/>
              <w:rPr>
                <w:sz w:val="20"/>
                <w:szCs w:val="20"/>
                <w:color w:val="auto"/>
              </w:rPr>
            </w:pPr>
            <w:r>
              <w:rPr>
                <w:rFonts w:ascii="Calibri" w:cs="Calibri" w:eastAsia="Calibri" w:hAnsi="Calibri"/>
                <w:sz w:val="14"/>
                <w:szCs w:val="14"/>
                <w:color w:val="auto"/>
              </w:rPr>
              <w:t>Level 1</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4"/>
          </w:tcPr>
          <w:p>
            <w:pPr>
              <w:jc w:val="right"/>
              <w:spacing w:after="0" w:line="215" w:lineRule="exact"/>
              <w:rPr>
                <w:sz w:val="20"/>
                <w:szCs w:val="20"/>
                <w:color w:val="auto"/>
              </w:rPr>
            </w:pPr>
            <w:r>
              <w:rPr>
                <w:rFonts w:ascii="Calibri" w:cs="Calibri" w:eastAsia="Calibri" w:hAnsi="Calibri"/>
                <w:sz w:val="18"/>
                <w:szCs w:val="18"/>
                <w:color w:val="auto"/>
              </w:rPr>
              <w:t>10,042</w:t>
            </w:r>
          </w:p>
        </w:tc>
        <w:tc>
          <w:tcPr>
            <w:tcW w:w="26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7,659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Interest rate swap</w:t>
            </w:r>
          </w:p>
        </w:tc>
        <w:tc>
          <w:tcPr>
            <w:tcW w:w="1100" w:type="dxa"/>
            <w:vAlign w:val="bottom"/>
            <w:gridSpan w:val="2"/>
            <w:shd w:val="clear" w:color="auto" w:fill="CCEEFF"/>
          </w:tcPr>
          <w:p>
            <w:pPr>
              <w:jc w:val="right"/>
              <w:ind w:right="330"/>
              <w:spacing w:after="0"/>
              <w:rPr>
                <w:sz w:val="20"/>
                <w:szCs w:val="20"/>
                <w:color w:val="auto"/>
              </w:rPr>
            </w:pPr>
            <w:r>
              <w:rPr>
                <w:rFonts w:ascii="Calibri" w:cs="Calibri" w:eastAsia="Calibri" w:hAnsi="Calibri"/>
                <w:sz w:val="14"/>
                <w:szCs w:val="14"/>
                <w:color w:val="auto"/>
              </w:rPr>
              <w:t>Level 2</w:t>
            </w:r>
          </w:p>
        </w:tc>
        <w:tc>
          <w:tcPr>
            <w:tcW w:w="160" w:type="dxa"/>
            <w:vAlign w:val="bottom"/>
            <w:shd w:val="clear" w:color="auto" w:fill="CCEEFF"/>
          </w:tcPr>
          <w:p>
            <w:pPr>
              <w:spacing w:after="0"/>
              <w:rPr>
                <w:sz w:val="20"/>
                <w:szCs w:val="20"/>
                <w:color w:val="auto"/>
              </w:rPr>
            </w:pPr>
          </w:p>
        </w:tc>
        <w:tc>
          <w:tcPr>
            <w:tcW w:w="1420" w:type="dxa"/>
            <w:vAlign w:val="bottom"/>
            <w:gridSpan w:val="4"/>
            <w:shd w:val="clear" w:color="auto" w:fill="CCEEFF"/>
          </w:tcPr>
          <w:p>
            <w:pPr>
              <w:jc w:val="right"/>
              <w:spacing w:after="0"/>
              <w:rPr>
                <w:sz w:val="20"/>
                <w:szCs w:val="20"/>
                <w:color w:val="auto"/>
              </w:rPr>
            </w:pPr>
            <w:r>
              <w:rPr>
                <w:rFonts w:ascii="Calibri" w:cs="Calibri" w:eastAsia="Calibri" w:hAnsi="Calibri"/>
                <w:sz w:val="18"/>
                <w:szCs w:val="18"/>
                <w:color w:val="auto"/>
              </w:rPr>
              <w:t>4,268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4,028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Earnout liability</w:t>
            </w:r>
          </w:p>
        </w:tc>
        <w:tc>
          <w:tcPr>
            <w:tcW w:w="1100" w:type="dxa"/>
            <w:vAlign w:val="bottom"/>
            <w:gridSpan w:val="2"/>
            <w:shd w:val="clear" w:color="auto" w:fill="CCEEFF"/>
          </w:tcPr>
          <w:p>
            <w:pPr>
              <w:jc w:val="right"/>
              <w:ind w:right="330"/>
              <w:spacing w:after="0"/>
              <w:rPr>
                <w:sz w:val="20"/>
                <w:szCs w:val="20"/>
                <w:color w:val="auto"/>
              </w:rPr>
            </w:pPr>
            <w:r>
              <w:rPr>
                <w:rFonts w:ascii="Calibri" w:cs="Calibri" w:eastAsia="Calibri" w:hAnsi="Calibri"/>
                <w:sz w:val="14"/>
                <w:szCs w:val="14"/>
                <w:color w:val="auto"/>
              </w:rPr>
              <w:t>Level 3</w:t>
            </w:r>
          </w:p>
        </w:tc>
        <w:tc>
          <w:tcPr>
            <w:tcW w:w="160" w:type="dxa"/>
            <w:vAlign w:val="bottom"/>
            <w:shd w:val="clear" w:color="auto" w:fill="CCEEFF"/>
          </w:tcPr>
          <w:p>
            <w:pPr>
              <w:spacing w:after="0"/>
              <w:rPr>
                <w:sz w:val="20"/>
                <w:szCs w:val="20"/>
                <w:color w:val="auto"/>
              </w:rPr>
            </w:pPr>
          </w:p>
        </w:tc>
        <w:tc>
          <w:tcPr>
            <w:tcW w:w="1420" w:type="dxa"/>
            <w:vAlign w:val="bottom"/>
            <w:gridSpan w:val="4"/>
            <w:shd w:val="clear" w:color="auto" w:fill="CCEEFF"/>
          </w:tcPr>
          <w:p>
            <w:pPr>
              <w:jc w:val="right"/>
              <w:spacing w:after="0"/>
              <w:rPr>
                <w:sz w:val="20"/>
                <w:szCs w:val="20"/>
                <w:color w:val="auto"/>
              </w:rPr>
            </w:pPr>
            <w:r>
              <w:rPr>
                <w:rFonts w:ascii="Calibri" w:cs="Calibri" w:eastAsia="Calibri" w:hAnsi="Calibri"/>
                <w:sz w:val="18"/>
                <w:szCs w:val="18"/>
                <w:color w:val="auto"/>
              </w:rPr>
              <w:t>11,235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517"/>
        </w:trPr>
        <w:tc>
          <w:tcPr>
            <w:tcW w:w="6720" w:type="dxa"/>
            <w:vAlign w:val="bottom"/>
          </w:tcPr>
          <w:p>
            <w:pPr>
              <w:spacing w:after="0"/>
              <w:rPr>
                <w:sz w:val="20"/>
                <w:szCs w:val="20"/>
                <w:color w:val="auto"/>
              </w:rPr>
            </w:pPr>
            <w:r>
              <w:rPr>
                <w:rFonts w:ascii="Calibri" w:cs="Calibri" w:eastAsia="Calibri" w:hAnsi="Calibri"/>
                <w:sz w:val="18"/>
                <w:szCs w:val="18"/>
                <w:color w:val="auto"/>
              </w:rPr>
              <w:t>Changes in the earnout liability measured at fair value using Level 3 inputs were as follows:</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6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5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line="215" w:lineRule="exact"/>
              <w:rPr>
                <w:sz w:val="20"/>
                <w:szCs w:val="20"/>
                <w:color w:val="auto"/>
              </w:rPr>
            </w:pPr>
            <w:r>
              <w:rPr>
                <w:rFonts w:ascii="Calibri" w:cs="Calibri" w:eastAsia="Calibri" w:hAnsi="Calibri"/>
                <w:sz w:val="18"/>
                <w:szCs w:val="18"/>
                <w:color w:val="auto"/>
              </w:rPr>
              <w:t>Earnout liability at April 2, 2023</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Additon for acquisiton</w:t>
            </w: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10,664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Fair value adjustments</w:t>
            </w:r>
          </w:p>
        </w:tc>
        <w:tc>
          <w:tcPr>
            <w:tcW w:w="5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571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7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Earnout liability at March 31, 2024</w:t>
            </w: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11,235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b w:val="1"/>
                <w:bCs w:val="1"/>
                <w:color w:val="auto"/>
              </w:rPr>
              <w:t>Note 6 — Inventories</w:t>
            </w: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7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20" w:type="dxa"/>
            <w:vAlign w:val="bottom"/>
          </w:tcPr>
          <w:p>
            <w:pPr>
              <w:spacing w:after="0"/>
              <w:rPr>
                <w:sz w:val="20"/>
                <w:szCs w:val="20"/>
                <w:color w:val="auto"/>
              </w:rPr>
            </w:pPr>
            <w:r>
              <w:rPr>
                <w:rFonts w:ascii="Calibri" w:cs="Calibri" w:eastAsia="Calibri" w:hAnsi="Calibri"/>
                <w:sz w:val="18"/>
                <w:szCs w:val="18"/>
                <w:color w:val="auto"/>
              </w:rPr>
              <w:t>Inventories at March 31, 2024 and April 2, 2023 consisted of the following:</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532"/>
              <w:spacing w:after="0"/>
              <w:rPr>
                <w:sz w:val="20"/>
                <w:szCs w:val="20"/>
                <w:color w:val="auto"/>
              </w:rPr>
            </w:pPr>
            <w:r>
              <w:rPr>
                <w:rFonts w:ascii="Calibri" w:cs="Calibri" w:eastAsia="Calibri" w:hAnsi="Calibri"/>
                <w:sz w:val="14"/>
                <w:szCs w:val="14"/>
                <w:b w:val="1"/>
                <w:bCs w:val="1"/>
                <w:color w:val="auto"/>
              </w:rPr>
              <w:t>2024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Calibri" w:cs="Calibri" w:eastAsia="Calibri" w:hAnsi="Calibri"/>
                <w:sz w:val="14"/>
                <w:szCs w:val="14"/>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7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5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Inventory (FIFO basis)</w:t>
            </w:r>
          </w:p>
        </w:tc>
        <w:tc>
          <w:tcPr>
            <w:tcW w:w="1100" w:type="dxa"/>
            <w:vAlign w:val="bottom"/>
            <w:gridSpan w:val="2"/>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99,058</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128,589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LIFO reserve</w:t>
            </w:r>
          </w:p>
        </w:tc>
        <w:tc>
          <w:tcPr>
            <w:tcW w:w="5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(24,458)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(39,812)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inventory</w:t>
            </w: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74,600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260"/>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88,777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FIFO value of inventories accounted for under the LIFO method was $76.2 million at March 31, 2024 and $101.4 million at April 2, 2023. The remainder of the inventory was valued and accounted for under the FIFO method.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 Goodwill and Other Identfable Intangible Assets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carrying amount of goodwill for each of our three reportable segments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95"/>
              <w:spacing w:after="0"/>
              <w:rPr>
                <w:sz w:val="20"/>
                <w:szCs w:val="20"/>
                <w:color w:val="auto"/>
              </w:rPr>
            </w:pPr>
            <w:r>
              <w:rPr>
                <w:rFonts w:ascii="Calibri" w:cs="Calibri" w:eastAsia="Calibri" w:hAnsi="Calibri"/>
                <w:sz w:val="14"/>
                <w:szCs w:val="14"/>
                <w:b w:val="1"/>
                <w:bCs w:val="1"/>
                <w:color w:val="auto"/>
              </w:rPr>
              <w:t>Industrial</w:t>
            </w:r>
          </w:p>
        </w:tc>
        <w:tc>
          <w:tcPr>
            <w:tcW w:w="160" w:type="dxa"/>
            <w:vAlign w:val="bottom"/>
          </w:tcPr>
          <w:p>
            <w:pPr>
              <w:spacing w:after="0"/>
              <w:rPr>
                <w:sz w:val="14"/>
                <w:szCs w:val="14"/>
                <w:color w:val="auto"/>
              </w:rPr>
            </w:pPr>
          </w:p>
        </w:tc>
        <w:tc>
          <w:tcPr>
            <w:tcW w:w="1180" w:type="dxa"/>
            <w:vAlign w:val="bottom"/>
          </w:tcPr>
          <w:p>
            <w:pPr>
              <w:jc w:val="right"/>
              <w:ind w:right="55"/>
              <w:spacing w:after="0"/>
              <w:rPr>
                <w:sz w:val="20"/>
                <w:szCs w:val="20"/>
                <w:color w:val="auto"/>
              </w:rPr>
            </w:pPr>
            <w:r>
              <w:rPr>
                <w:rFonts w:ascii="Calibri" w:cs="Calibri" w:eastAsia="Calibri" w:hAnsi="Calibri"/>
                <w:sz w:val="14"/>
                <w:szCs w:val="14"/>
                <w:b w:val="1"/>
                <w:bCs w:val="1"/>
                <w:color w:val="auto"/>
              </w:rPr>
              <w:t>Water Treatment</w:t>
            </w:r>
          </w:p>
        </w:tc>
        <w:tc>
          <w:tcPr>
            <w:tcW w:w="13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Health and Nutriton</w:t>
            </w:r>
          </w:p>
        </w:tc>
        <w:tc>
          <w:tcPr>
            <w:tcW w:w="34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47"/>
        </w:trPr>
        <w:tc>
          <w:tcPr>
            <w:tcW w:w="43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340" w:type="dxa"/>
            <w:vAlign w:val="bottom"/>
            <w:tcBorders>
              <w:bottom w:val="single" w:sz="8" w:color="CCEEFF"/>
            </w:tcBorders>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Balance as of April 3, 2022 and April 2, 2023</w:t>
            </w:r>
          </w:p>
        </w:tc>
        <w:tc>
          <w:tcPr>
            <w:tcW w:w="1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6,495</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25,961</w:t>
            </w:r>
          </w:p>
        </w:tc>
        <w:tc>
          <w:tcPr>
            <w:tcW w:w="460" w:type="dxa"/>
            <w:vAlign w:val="bottom"/>
            <w:tcBorders>
              <w:bottom w:val="single" w:sz="8" w:color="auto"/>
            </w:tcBorders>
            <w:shd w:val="clear" w:color="auto" w:fill="CCEEFF"/>
          </w:tcPr>
          <w:p>
            <w:pPr>
              <w:jc w:val="right"/>
              <w:ind w:right="256"/>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44,945</w:t>
            </w: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77,401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360"/>
              <w:spacing w:after="0" w:line="215" w:lineRule="exact"/>
              <w:rPr>
                <w:sz w:val="20"/>
                <w:szCs w:val="20"/>
                <w:color w:val="auto"/>
              </w:rPr>
            </w:pPr>
            <w:r>
              <w:rPr>
                <w:rFonts w:ascii="Calibri" w:cs="Calibri" w:eastAsia="Calibri" w:hAnsi="Calibri"/>
                <w:sz w:val="18"/>
                <w:szCs w:val="18"/>
                <w:color w:val="auto"/>
              </w:rPr>
              <w:t>Additon due to acquisitons</w:t>
            </w:r>
          </w:p>
        </w:tc>
        <w:tc>
          <w:tcPr>
            <w:tcW w:w="1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Borders>
              <w:bottom w:val="single" w:sz="8" w:color="CCEEFF"/>
            </w:tcBorders>
            <w:vMerge w:val="continue"/>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25,998</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25,998</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Balance as of March 31, 2024</w:t>
            </w: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6,495</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51,959</w:t>
            </w:r>
          </w:p>
        </w:tc>
        <w:tc>
          <w:tcPr>
            <w:tcW w:w="460" w:type="dxa"/>
            <w:vAlign w:val="bottom"/>
            <w:tcBorders>
              <w:bottom w:val="single" w:sz="8" w:color="auto"/>
            </w:tcBorders>
            <w:shd w:val="clear" w:color="auto" w:fill="CCEEFF"/>
          </w:tcPr>
          <w:p>
            <w:pPr>
              <w:jc w:val="right"/>
              <w:ind w:right="256"/>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44,945</w:t>
            </w: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103,399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Calibri" w:cs="Calibri" w:eastAsia="Calibri" w:hAnsi="Calibri"/>
                <w:sz w:val="18"/>
                <w:szCs w:val="18"/>
                <w:color w:val="auto"/>
              </w:rPr>
              <w:t>39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3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3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center"/>
        <w:ind w:right="-1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summary of our identfable intangible assets as of March 31, 2024 and April 2,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2024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Calibri" w:cs="Calibri" w:eastAsia="Calibri" w:hAnsi="Calibri"/>
                <w:sz w:val="14"/>
                <w:szCs w:val="14"/>
                <w:b w:val="1"/>
                <w:bCs w:val="1"/>
                <w:color w:val="auto"/>
              </w:rPr>
              <w:t>Gross Amount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20"/>
              <w:spacing w:after="0" w:line="115" w:lineRule="exact"/>
              <w:rPr>
                <w:sz w:val="20"/>
                <w:szCs w:val="20"/>
                <w:color w:val="auto"/>
              </w:rPr>
            </w:pPr>
            <w:r>
              <w:rPr>
                <w:rFonts w:ascii="Calibri" w:cs="Calibri" w:eastAsia="Calibri" w:hAnsi="Calibri"/>
                <w:sz w:val="12"/>
                <w:szCs w:val="12"/>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restart"/>
          </w:tcPr>
          <w:p>
            <w:pPr>
              <w:ind w:left="60"/>
              <w:spacing w:after="0"/>
              <w:rPr>
                <w:sz w:val="20"/>
                <w:szCs w:val="20"/>
                <w:color w:val="auto"/>
              </w:rPr>
            </w:pPr>
            <w:r>
              <w:rPr>
                <w:rFonts w:ascii="Calibri" w:cs="Calibri" w:eastAsia="Calibri" w:hAnsi="Calibri"/>
                <w:sz w:val="14"/>
                <w:szCs w:val="14"/>
                <w:b w:val="1"/>
                <w:bCs w:val="1"/>
                <w:color w:val="auto"/>
              </w:rPr>
              <w:t>Net carrying value</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Amortzaton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34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3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Finite-life intangible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7240" w:type="dxa"/>
            <w:vAlign w:val="bottom"/>
          </w:tcPr>
          <w:p>
            <w:pPr>
              <w:ind w:left="260"/>
              <w:spacing w:after="0" w:line="215" w:lineRule="exact"/>
              <w:rPr>
                <w:sz w:val="20"/>
                <w:szCs w:val="20"/>
                <w:color w:val="auto"/>
              </w:rPr>
            </w:pPr>
            <w:r>
              <w:rPr>
                <w:rFonts w:ascii="Calibri" w:cs="Calibri" w:eastAsia="Calibri" w:hAnsi="Calibri"/>
                <w:sz w:val="18"/>
                <w:szCs w:val="18"/>
                <w:color w:val="auto"/>
              </w:rPr>
              <w:t>Customer relatonships</w:t>
            </w:r>
          </w:p>
        </w:tc>
        <w:tc>
          <w:tcPr>
            <w:tcW w:w="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153,694</w:t>
            </w:r>
          </w:p>
        </w:tc>
        <w:tc>
          <w:tcPr>
            <w:tcW w:w="40" w:type="dxa"/>
            <w:vAlign w:val="bottom"/>
          </w:tcPr>
          <w:p>
            <w:pPr>
              <w:spacing w:after="0"/>
              <w:rPr>
                <w:sz w:val="19"/>
                <w:szCs w:val="19"/>
                <w:color w:val="auto"/>
              </w:rPr>
            </w:pPr>
          </w:p>
        </w:tc>
        <w:tc>
          <w:tcPr>
            <w:tcW w:w="2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(46,146)</w:t>
            </w:r>
          </w:p>
        </w:tc>
        <w:tc>
          <w:tcPr>
            <w:tcW w:w="460" w:type="dxa"/>
            <w:vAlign w:val="bottom"/>
            <w:gridSpan w:val="3"/>
          </w:tcPr>
          <w:p>
            <w:pPr>
              <w:ind w:lef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107,548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shd w:val="clear" w:color="auto" w:fill="CCEEFF"/>
          </w:tcPr>
          <w:p>
            <w:pPr>
              <w:spacing w:after="0"/>
              <w:rPr>
                <w:sz w:val="20"/>
                <w:szCs w:val="20"/>
                <w:color w:val="auto"/>
              </w:rPr>
            </w:pPr>
          </w:p>
        </w:tc>
        <w:tc>
          <w:tcPr>
            <w:tcW w:w="7240" w:type="dxa"/>
            <w:vAlign w:val="bottom"/>
            <w:shd w:val="clear" w:color="auto" w:fill="CCEEFF"/>
          </w:tcPr>
          <w:p>
            <w:pPr>
              <w:ind w:left="260"/>
              <w:spacing w:after="0"/>
              <w:rPr>
                <w:sz w:val="20"/>
                <w:szCs w:val="20"/>
                <w:color w:val="auto"/>
              </w:rPr>
            </w:pPr>
            <w:r>
              <w:rPr>
                <w:rFonts w:ascii="Calibri" w:cs="Calibri" w:eastAsia="Calibri" w:hAnsi="Calibri"/>
                <w:sz w:val="18"/>
                <w:szCs w:val="18"/>
                <w:color w:val="auto"/>
              </w:rPr>
              <w:t>Trademarks and trade names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13,570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(5,968)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7,602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tcPr>
          <w:p>
            <w:pPr>
              <w:ind w:left="26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(3,972)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fnite-life intangible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171,485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(56,086)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115,399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Total intangible assets, net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172,712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(56,086)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116,626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97"/>
              <w:spacing w:after="0"/>
              <w:rPr>
                <w:sz w:val="20"/>
                <w:szCs w:val="20"/>
                <w:color w:val="auto"/>
              </w:rPr>
            </w:pPr>
            <w:r>
              <w:rPr>
                <w:rFonts w:ascii="Calibri" w:cs="Calibri" w:eastAsia="Calibri" w:hAnsi="Calibri"/>
                <w:sz w:val="14"/>
                <w:szCs w:val="14"/>
                <w:b w:val="1"/>
                <w:bCs w:val="1"/>
                <w:color w:val="auto"/>
                <w:w w:val="98"/>
              </w:rPr>
              <w:t>2023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Gross 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00"/>
              <w:spacing w:after="0" w:line="127" w:lineRule="exact"/>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Calibri" w:cs="Calibri" w:eastAsia="Calibri" w:hAnsi="Calibri"/>
                <w:sz w:val="14"/>
                <w:szCs w:val="14"/>
                <w:b w:val="1"/>
                <w:bCs w:val="1"/>
                <w:color w:val="auto"/>
              </w:rPr>
              <w:t>Net carrying value</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Amortzaton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72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2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Finite-life intangible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7240" w:type="dxa"/>
            <w:vAlign w:val="bottom"/>
          </w:tcPr>
          <w:p>
            <w:pPr>
              <w:ind w:left="340"/>
              <w:spacing w:after="0" w:line="215" w:lineRule="exact"/>
              <w:rPr>
                <w:sz w:val="20"/>
                <w:szCs w:val="20"/>
                <w:color w:val="auto"/>
              </w:rPr>
            </w:pPr>
            <w:r>
              <w:rPr>
                <w:rFonts w:ascii="Calibri" w:cs="Calibri" w:eastAsia="Calibri" w:hAnsi="Calibri"/>
                <w:sz w:val="18"/>
                <w:szCs w:val="18"/>
                <w:color w:val="auto"/>
              </w:rPr>
              <w:t>Customer relatonships</w:t>
            </w:r>
          </w:p>
        </w:tc>
        <w:tc>
          <w:tcPr>
            <w:tcW w:w="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109,107</w:t>
            </w:r>
          </w:p>
        </w:tc>
        <w:tc>
          <w:tcPr>
            <w:tcW w:w="40" w:type="dxa"/>
            <w:vAlign w:val="bottom"/>
          </w:tcPr>
          <w:p>
            <w:pPr>
              <w:spacing w:after="0"/>
              <w:rPr>
                <w:sz w:val="19"/>
                <w:szCs w:val="19"/>
                <w:color w:val="auto"/>
              </w:rPr>
            </w:pPr>
          </w:p>
        </w:tc>
        <w:tc>
          <w:tcPr>
            <w:tcW w:w="2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(38,377)</w:t>
            </w:r>
          </w:p>
        </w:tc>
        <w:tc>
          <w:tcPr>
            <w:tcW w:w="40" w:type="dxa"/>
            <w:vAlign w:val="bottom"/>
          </w:tcPr>
          <w:p>
            <w:pPr>
              <w:spacing w:after="0"/>
              <w:rPr>
                <w:sz w:val="19"/>
                <w:szCs w:val="19"/>
                <w:color w:val="auto"/>
              </w:rPr>
            </w:pPr>
          </w:p>
        </w:tc>
        <w:tc>
          <w:tcPr>
            <w:tcW w:w="460" w:type="dxa"/>
            <w:vAlign w:val="bottom"/>
            <w:gridSpan w:val="3"/>
          </w:tcPr>
          <w:p>
            <w:pPr>
              <w:jc w:val="right"/>
              <w:ind w:right="202"/>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70,730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Trademarks and trade names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6,370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(5,267)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240" w:type="dxa"/>
            <w:vAlign w:val="bottom"/>
            <w:tcBorders>
              <w:bottom w:val="single" w:sz="8" w:color="CCEEFF"/>
            </w:tcBorders>
          </w:tcPr>
          <w:p>
            <w:pPr>
              <w:ind w:left="34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3,904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(3,904)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2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fnite-life intangible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119,381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(47,548)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24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1"/>
                <w:szCs w:val="21"/>
                <w:color w:val="auto"/>
              </w:rPr>
            </w:pPr>
          </w:p>
        </w:tc>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 intangible assets, net</w:t>
            </w:r>
          </w:p>
        </w:tc>
        <w:tc>
          <w:tcPr>
            <w:tcW w:w="16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120,608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(47,548)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202"/>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73,060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auto"/>
        </w:rPr>
        <w:t>Intangible asset amortzaton expense was $8.5 million during fscal 2024, $6.9 million during fscal 2023, and $6.5 million during fscal 2022.</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estmated future amortzaton expense for identfable intangible assets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2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Intangible Assets</w:t>
            </w:r>
          </w:p>
        </w:tc>
      </w:tr>
      <w:tr>
        <w:trPr>
          <w:trHeight w:val="28"/>
        </w:trPr>
        <w:tc>
          <w:tcPr>
            <w:tcW w:w="8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Fiscal 2025</w:t>
            </w:r>
          </w:p>
        </w:tc>
        <w:tc>
          <w:tcPr>
            <w:tcW w:w="360" w:type="dxa"/>
            <w:vAlign w:val="bottom"/>
            <w:shd w:val="clear" w:color="auto" w:fill="CCEEFF"/>
          </w:tcPr>
          <w:p>
            <w:pPr>
              <w:jc w:val="right"/>
              <w:ind w:right="173"/>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11,156</w:t>
            </w:r>
          </w:p>
        </w:tc>
      </w:tr>
      <w:tr>
        <w:trPr>
          <w:trHeight w:val="222"/>
        </w:trPr>
        <w:tc>
          <w:tcPr>
            <w:tcW w:w="8600" w:type="dxa"/>
            <w:vAlign w:val="bottom"/>
          </w:tcPr>
          <w:p>
            <w:pPr>
              <w:ind w:left="20"/>
              <w:spacing w:after="0" w:line="215" w:lineRule="exact"/>
              <w:rPr>
                <w:sz w:val="20"/>
                <w:szCs w:val="20"/>
                <w:color w:val="auto"/>
              </w:rPr>
            </w:pPr>
            <w:r>
              <w:rPr>
                <w:rFonts w:ascii="Calibri" w:cs="Calibri" w:eastAsia="Calibri" w:hAnsi="Calibri"/>
                <w:sz w:val="18"/>
                <w:szCs w:val="18"/>
                <w:color w:val="auto"/>
              </w:rPr>
              <w:t>Fiscal 2026</w:t>
            </w:r>
          </w:p>
        </w:tc>
        <w:tc>
          <w:tcPr>
            <w:tcW w:w="36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10,972</w:t>
            </w:r>
          </w:p>
        </w:tc>
      </w:tr>
      <w:tr>
        <w:trPr>
          <w:trHeight w:val="237"/>
        </w:trPr>
        <w:tc>
          <w:tcPr>
            <w:tcW w:w="8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Fiscal 2027</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10,671</w:t>
            </w:r>
          </w:p>
        </w:tc>
      </w:tr>
      <w:tr>
        <w:trPr>
          <w:trHeight w:val="222"/>
        </w:trPr>
        <w:tc>
          <w:tcPr>
            <w:tcW w:w="8600" w:type="dxa"/>
            <w:vAlign w:val="bottom"/>
          </w:tcPr>
          <w:p>
            <w:pPr>
              <w:ind w:left="20"/>
              <w:spacing w:after="0" w:line="215" w:lineRule="exact"/>
              <w:rPr>
                <w:sz w:val="20"/>
                <w:szCs w:val="20"/>
                <w:color w:val="auto"/>
              </w:rPr>
            </w:pPr>
            <w:r>
              <w:rPr>
                <w:rFonts w:ascii="Calibri" w:cs="Calibri" w:eastAsia="Calibri" w:hAnsi="Calibri"/>
                <w:sz w:val="18"/>
                <w:szCs w:val="18"/>
                <w:color w:val="auto"/>
              </w:rPr>
              <w:t>Fiscal 2028</w:t>
            </w:r>
          </w:p>
        </w:tc>
        <w:tc>
          <w:tcPr>
            <w:tcW w:w="36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10,577</w:t>
            </w:r>
          </w:p>
        </w:tc>
      </w:tr>
      <w:tr>
        <w:trPr>
          <w:trHeight w:val="237"/>
        </w:trPr>
        <w:tc>
          <w:tcPr>
            <w:tcW w:w="8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Fiscal 2029</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10,553</w:t>
            </w:r>
          </w:p>
        </w:tc>
      </w:tr>
      <w:tr>
        <w:trPr>
          <w:trHeight w:val="223"/>
        </w:trPr>
        <w:tc>
          <w:tcPr>
            <w:tcW w:w="86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61,470</w:t>
            </w:r>
          </w:p>
        </w:tc>
      </w:tr>
      <w:tr>
        <w:trPr>
          <w:trHeight w:val="255"/>
        </w:trPr>
        <w:tc>
          <w:tcPr>
            <w:tcW w:w="86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360" w:type="dxa"/>
            <w:vAlign w:val="bottom"/>
            <w:tcBorders>
              <w:bottom w:val="single" w:sz="8" w:color="auto"/>
            </w:tcBorders>
            <w:shd w:val="clear" w:color="auto" w:fill="CCEEFF"/>
          </w:tcPr>
          <w:p>
            <w:pPr>
              <w:jc w:val="right"/>
              <w:ind w:right="173"/>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115,399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8 – Debt</w:t>
      </w:r>
    </w:p>
    <w:p>
      <w:pPr>
        <w:spacing w:after="0" w:line="244"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We have in place a Credit Agreement with U.S. Bank as Sole Lead Arranger and Sole Book Runner, and other lenders from tme to tme party thereto, whereby U.S. Bank is also serving as Administratve Agent. The Credit Agreement provides us with a “Revolving Loan Facility” totaling $250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w:t>
      </w:r>
    </w:p>
    <w:p>
      <w:pPr>
        <w:spacing w:after="0" w:line="222"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At March 31, 2024, the efectve interest rate on our borrowings was 4.3%. 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33" w:lineRule="exact"/>
        <w:rPr>
          <w:sz w:val="20"/>
          <w:szCs w:val="20"/>
          <w:color w:val="auto"/>
        </w:rPr>
      </w:pPr>
    </w:p>
    <w:p>
      <w:pPr>
        <w:ind w:right="640"/>
        <w:spacing w:after="0" w:line="227" w:lineRule="auto"/>
        <w:rPr>
          <w:sz w:val="20"/>
          <w:szCs w:val="20"/>
          <w:color w:val="auto"/>
        </w:rPr>
      </w:pPr>
      <w:r>
        <w:rPr>
          <w:rFonts w:ascii="Calibri" w:cs="Calibri" w:eastAsia="Calibri" w:hAnsi="Calibri"/>
          <w:sz w:val="18"/>
          <w:szCs w:val="18"/>
          <w:color w:val="auto"/>
        </w:rPr>
        <w:t>Unamortzed debt issuance costs of $0.3 million paid in connecton with the previous credit facility, are refected as a reducton of debt and are being amortzed as interest expense over the term of the Revolving Loan Facility.</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3" w:name="page44"/>
    <w:bookmarkEnd w:id="43"/>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As of March 31, 2024, we were in compliance with all required covenants.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Debt at March 31, 2024 and April 2, 2023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Calibri" w:cs="Calibri" w:eastAsia="Calibri" w:hAnsi="Calibri"/>
                <w:sz w:val="14"/>
                <w:szCs w:val="14"/>
                <w:b w:val="1"/>
                <w:b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March 31, 2024</w:t>
            </w:r>
          </w:p>
        </w:tc>
        <w:tc>
          <w:tcPr>
            <w:tcW w:w="240" w:type="dxa"/>
            <w:vAlign w:val="bottom"/>
          </w:tcPr>
          <w:p>
            <w:pPr>
              <w:spacing w:after="0"/>
              <w:rPr>
                <w:sz w:val="14"/>
                <w:szCs w:val="14"/>
                <w:color w:val="auto"/>
              </w:rPr>
            </w:pPr>
          </w:p>
        </w:tc>
        <w:tc>
          <w:tcPr>
            <w:tcW w:w="124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April 2, 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220" w:type="dxa"/>
            <w:vAlign w:val="bottom"/>
            <w:gridSpan w:val="2"/>
            <w:vMerge w:val="restart"/>
          </w:tcPr>
          <w:p>
            <w:pPr>
              <w:spacing w:after="0"/>
              <w:rPr>
                <w:sz w:val="20"/>
                <w:szCs w:val="20"/>
                <w:color w:val="auto"/>
              </w:rPr>
            </w:pPr>
            <w:r>
              <w:rPr>
                <w:rFonts w:ascii="Calibri" w:cs="Calibri" w:eastAsia="Calibri" w:hAnsi="Calibri"/>
                <w:sz w:val="18"/>
                <w:szCs w:val="18"/>
                <w:color w:val="auto"/>
              </w:rPr>
              <w:t>Senior secured revolving loan</w:t>
            </w: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vMerge w:val="continue"/>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99,000</w:t>
            </w:r>
          </w:p>
        </w:tc>
        <w:tc>
          <w:tcPr>
            <w:tcW w:w="120" w:type="dxa"/>
            <w:vAlign w:val="bottom"/>
          </w:tcPr>
          <w:p>
            <w:pPr>
              <w:spacing w:after="0"/>
              <w:rPr>
                <w:sz w:val="18"/>
                <w:szCs w:val="18"/>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112,000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60"/>
              <w:spacing w:after="0"/>
              <w:rPr>
                <w:sz w:val="20"/>
                <w:szCs w:val="20"/>
                <w:color w:val="auto"/>
              </w:rPr>
            </w:pPr>
            <w:r>
              <w:rPr>
                <w:rFonts w:ascii="Calibri" w:cs="Calibri" w:eastAsia="Calibri" w:hAnsi="Calibri"/>
                <w:sz w:val="18"/>
                <w:szCs w:val="18"/>
                <w:color w:val="auto"/>
              </w:rPr>
              <w:t>Less: unamortzed debt issuance costs</w:t>
            </w: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line="199" w:lineRule="exact"/>
              <w:rPr>
                <w:sz w:val="20"/>
                <w:szCs w:val="20"/>
                <w:color w:val="auto"/>
              </w:rPr>
            </w:pPr>
            <w:r>
              <w:rPr>
                <w:rFonts w:ascii="Calibri" w:cs="Calibri" w:eastAsia="Calibri" w:hAnsi="Calibri"/>
                <w:sz w:val="18"/>
                <w:szCs w:val="18"/>
                <w:color w:val="auto"/>
              </w:rPr>
              <w:t>Total debt, net of debt issuance costs</w:t>
            </w:r>
          </w:p>
        </w:tc>
        <w:tc>
          <w:tcPr>
            <w:tcW w:w="18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98,731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111,644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ind w:left="160"/>
              <w:spacing w:after="0"/>
              <w:rPr>
                <w:sz w:val="20"/>
                <w:szCs w:val="20"/>
                <w:color w:val="auto"/>
              </w:rPr>
            </w:pPr>
            <w:r>
              <w:rPr>
                <w:rFonts w:ascii="Calibri" w:cs="Calibri" w:eastAsia="Calibri" w:hAnsi="Calibri"/>
                <w:sz w:val="18"/>
                <w:szCs w:val="18"/>
                <w:color w:val="auto"/>
              </w:rPr>
              <w:t>Less: current porton of long-term debt, net of current unamortzed debt issuance costs</w:t>
            </w: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Calibri" w:cs="Calibri" w:eastAsia="Calibri" w:hAnsi="Calibri"/>
                <w:sz w:val="18"/>
                <w:szCs w:val="18"/>
                <w:color w:val="auto"/>
              </w:rPr>
              <w:t>Total long-term debt</w:t>
            </w: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88,818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 Share-Based Compensaton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Performance-Based Restricted Stock Units. </w:t>
      </w:r>
      <w:r>
        <w:rPr>
          <w:rFonts w:ascii="Calibri" w:cs="Calibri" w:eastAsia="Calibri" w:hAnsi="Calibri"/>
          <w:sz w:val="18"/>
          <w:szCs w:val="18"/>
          <w:color w:val="auto"/>
        </w:rPr>
        <w:t>Our Board of Directors has approved a performance-based equity compensaton arrangement for our executve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ofcers. This performance-based arrangement provides for the grant of performance-based restricted stock units that represent a possible future issuance of restricted shares of our common shares based on our pre-tax income target for the applicable fscal year. The actual number of restricted shares to be issued to each executve ofcer will be determined when our fnal fnancial informaton becomes available afer the applicable fscal year and will be between zero shares and 70,859 shares in the aggregate for fscal 2024. The restricted shares issued, if any, will fully vest two years afer the end of the fscal year on which the performance is based. We record the compensaton expense for the outstanding performance share units and then-converted restricted stock over the life of the awards.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restricted stock actvity for fscal 2022, 2023,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4"/>
              <w:spacing w:after="0"/>
              <w:rPr>
                <w:sz w:val="20"/>
                <w:szCs w:val="20"/>
                <w:color w:val="auto"/>
              </w:rPr>
            </w:pPr>
            <w:r>
              <w:rPr>
                <w:rFonts w:ascii="Calibri" w:cs="Calibri" w:eastAsia="Calibri" w:hAnsi="Calibri"/>
                <w:sz w:val="14"/>
                <w:szCs w:val="14"/>
                <w:b w:val="1"/>
                <w:bCs w:val="1"/>
                <w:color w:val="auto"/>
              </w:rPr>
              <w:t>Weighted-</w:t>
            </w:r>
          </w:p>
        </w:tc>
      </w:tr>
      <w:tr>
        <w:trPr>
          <w:trHeight w:val="148"/>
        </w:trPr>
        <w:tc>
          <w:tcPr>
            <w:tcW w:w="8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4"/>
              <w:spacing w:after="0" w:line="148" w:lineRule="exact"/>
              <w:rPr>
                <w:sz w:val="20"/>
                <w:szCs w:val="20"/>
                <w:color w:val="auto"/>
              </w:rPr>
            </w:pPr>
            <w:r>
              <w:rPr>
                <w:rFonts w:ascii="Calibri" w:cs="Calibri" w:eastAsia="Calibri" w:hAnsi="Calibri"/>
                <w:sz w:val="14"/>
                <w:szCs w:val="14"/>
                <w:b w:val="1"/>
                <w:bCs w:val="1"/>
                <w:color w:val="auto"/>
                <w:w w:val="99"/>
              </w:rPr>
              <w:t>Average Grant</w:t>
            </w:r>
          </w:p>
        </w:tc>
      </w:tr>
      <w:tr>
        <w:trPr>
          <w:trHeight w:val="170"/>
        </w:trPr>
        <w:tc>
          <w:tcPr>
            <w:tcW w:w="85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alibri" w:cs="Calibri" w:eastAsia="Calibri" w:hAnsi="Calibri"/>
                <w:sz w:val="14"/>
                <w:szCs w:val="14"/>
                <w:b w:val="1"/>
                <w:bCs w:val="1"/>
                <w:color w:val="auto"/>
              </w:rPr>
              <w:t>Shares</w:t>
            </w:r>
          </w:p>
        </w:tc>
        <w:tc>
          <w:tcPr>
            <w:tcW w:w="180" w:type="dxa"/>
            <w:vAlign w:val="bottom"/>
          </w:tcPr>
          <w:p>
            <w:pPr>
              <w:spacing w:after="0"/>
              <w:rPr>
                <w:sz w:val="14"/>
                <w:szCs w:val="14"/>
                <w:color w:val="auto"/>
              </w:rPr>
            </w:pPr>
          </w:p>
        </w:tc>
        <w:tc>
          <w:tcPr>
            <w:tcW w:w="1160" w:type="dxa"/>
            <w:vAlign w:val="bottom"/>
          </w:tcPr>
          <w:p>
            <w:pPr>
              <w:jc w:val="center"/>
              <w:ind w:right="94"/>
              <w:spacing w:after="0"/>
              <w:rPr>
                <w:sz w:val="20"/>
                <w:szCs w:val="20"/>
                <w:color w:val="auto"/>
              </w:rPr>
            </w:pPr>
            <w:r>
              <w:rPr>
                <w:rFonts w:ascii="Calibri" w:cs="Calibri" w:eastAsia="Calibri" w:hAnsi="Calibri"/>
                <w:sz w:val="14"/>
                <w:szCs w:val="14"/>
                <w:b w:val="1"/>
                <w:bCs w:val="1"/>
                <w:color w:val="auto"/>
              </w:rPr>
              <w:t>Date Fair Value</w:t>
            </w:r>
          </w:p>
        </w:tc>
      </w:tr>
      <w:tr>
        <w:trPr>
          <w:trHeight w:val="47"/>
        </w:trPr>
        <w:tc>
          <w:tcPr>
            <w:tcW w:w="8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23"/>
        </w:trPr>
        <w:tc>
          <w:tcPr>
            <w:tcW w:w="85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Outstanding at beginning of fscal 2022</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239,120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17.94</w:t>
            </w: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111,618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31.74</w:t>
            </w:r>
          </w:p>
        </w:tc>
      </w:tr>
      <w:tr>
        <w:trPr>
          <w:trHeight w:val="237"/>
        </w:trPr>
        <w:tc>
          <w:tcPr>
            <w:tcW w:w="8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(123,002)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17.25</w:t>
            </w:r>
          </w:p>
        </w:tc>
      </w:tr>
      <w:tr>
        <w:trPr>
          <w:trHeight w:val="223"/>
        </w:trPr>
        <w:tc>
          <w:tcPr>
            <w:tcW w:w="85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(13,258)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18.69</w:t>
            </w:r>
          </w:p>
        </w:tc>
      </w:tr>
      <w:tr>
        <w:trPr>
          <w:trHeight w:val="230"/>
        </w:trPr>
        <w:tc>
          <w:tcPr>
            <w:tcW w:w="85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2022</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25.48</w:t>
            </w: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88,524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38.31</w:t>
            </w:r>
          </w:p>
        </w:tc>
      </w:tr>
      <w:tr>
        <w:trPr>
          <w:trHeight w:val="237"/>
        </w:trPr>
        <w:tc>
          <w:tcPr>
            <w:tcW w:w="8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(102,860)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18.69</w:t>
            </w:r>
          </w:p>
        </w:tc>
      </w:tr>
      <w:tr>
        <w:trPr>
          <w:trHeight w:val="223"/>
        </w:trPr>
        <w:tc>
          <w:tcPr>
            <w:tcW w:w="85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34.68</w:t>
            </w:r>
          </w:p>
        </w:tc>
      </w:tr>
      <w:tr>
        <w:trPr>
          <w:trHeight w:val="229"/>
        </w:trPr>
        <w:tc>
          <w:tcPr>
            <w:tcW w:w="85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2023</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189,258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34.64</w:t>
            </w: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61,819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43.06</w:t>
            </w:r>
          </w:p>
        </w:tc>
      </w:tr>
      <w:tr>
        <w:trPr>
          <w:trHeight w:val="237"/>
        </w:trPr>
        <w:tc>
          <w:tcPr>
            <w:tcW w:w="8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(105,600)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31.74</w:t>
            </w:r>
          </w:p>
        </w:tc>
      </w:tr>
      <w:tr>
        <w:trPr>
          <w:trHeight w:val="217"/>
        </w:trPr>
        <w:tc>
          <w:tcPr>
            <w:tcW w:w="8520" w:type="dxa"/>
            <w:vAlign w:val="bottom"/>
          </w:tcPr>
          <w:p>
            <w:pPr>
              <w:ind w:left="20"/>
              <w:spacing w:after="0" w:line="195" w:lineRule="exact"/>
              <w:rPr>
                <w:sz w:val="20"/>
                <w:szCs w:val="20"/>
                <w:color w:val="auto"/>
              </w:rPr>
            </w:pPr>
            <w:r>
              <w:rPr>
                <w:rFonts w:ascii="Calibri" w:cs="Calibri" w:eastAsia="Calibri" w:hAnsi="Calibri"/>
                <w:sz w:val="18"/>
                <w:szCs w:val="18"/>
                <w:color w:val="auto"/>
              </w:rPr>
              <w:t>Outstanding at end of fscal 2024</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145,477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40.33</w:t>
            </w:r>
          </w:p>
        </w:tc>
      </w:tr>
      <w:tr>
        <w:trPr>
          <w:trHeight w:val="27"/>
        </w:trPr>
        <w:tc>
          <w:tcPr>
            <w:tcW w:w="8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recorded compensaton expense on performance-based restricted stock of approximately $3.7 million for fscal 2024, $2.8 million for fscal 2023 and $2.9 million for fscal 2022, substantally all of which was recorded in SG&amp;A expense in the Consolidated Statements of Income. The total fair value of performance-based restricted stock units vested was $3.4 million in fscal 2024, $1.9 million in fscal 2023 and $2.1 million in fscal 2022.</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Untl the performance-based restricted stock units result in the issuance of restricted stock, the amount of expense recorded each period is dependent upon our estmate of the number of shares that will ultmately be issued and our then current common share price. Upon issuance of restricted stock, we record compensaton expense over the remaining vestng period using the award date closing price. Unrecognized compensaton expense related to non-vested restricted stock and non-vested restricted share units as of March 31, 2024 was $4.5 million and is expected to be recognized over a weighted average period of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Restricted Stock Awards. </w:t>
      </w:r>
      <w:r>
        <w:rPr>
          <w:rFonts w:ascii="Calibri" w:cs="Calibri" w:eastAsia="Calibri" w:hAnsi="Calibri"/>
          <w:sz w:val="18"/>
          <w:szCs w:val="18"/>
          <w:color w:val="auto"/>
        </w:rPr>
        <w:t>As part of their retainer, our directors, other than the Chief Executve Ofcer, receive restricted stock for their Board services.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restricted stock awards are expensed over a one-year vestng period, based on the market value on the date of grant.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Board’s restricted stock actvity for fscal 2022, 2023, and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4"/>
              <w:spacing w:after="0"/>
              <w:rPr>
                <w:sz w:val="20"/>
                <w:szCs w:val="20"/>
                <w:color w:val="auto"/>
              </w:rPr>
            </w:pPr>
            <w:r>
              <w:rPr>
                <w:rFonts w:ascii="Calibri" w:cs="Calibri" w:eastAsia="Calibri" w:hAnsi="Calibri"/>
                <w:sz w:val="14"/>
                <w:szCs w:val="14"/>
                <w:b w:val="1"/>
                <w:bCs w:val="1"/>
                <w:color w:val="auto"/>
              </w:rPr>
              <w:t>Weighted-</w:t>
            </w:r>
          </w:p>
        </w:tc>
      </w:tr>
      <w:tr>
        <w:trPr>
          <w:trHeight w:val="148"/>
        </w:trPr>
        <w:tc>
          <w:tcPr>
            <w:tcW w:w="8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4"/>
              <w:spacing w:after="0" w:line="148" w:lineRule="exact"/>
              <w:rPr>
                <w:sz w:val="20"/>
                <w:szCs w:val="20"/>
                <w:color w:val="auto"/>
              </w:rPr>
            </w:pPr>
            <w:r>
              <w:rPr>
                <w:rFonts w:ascii="Calibri" w:cs="Calibri" w:eastAsia="Calibri" w:hAnsi="Calibri"/>
                <w:sz w:val="14"/>
                <w:szCs w:val="14"/>
                <w:b w:val="1"/>
                <w:bCs w:val="1"/>
                <w:color w:val="auto"/>
                <w:w w:val="99"/>
              </w:rPr>
              <w:t>Average Grant</w:t>
            </w:r>
          </w:p>
        </w:tc>
      </w:tr>
      <w:tr>
        <w:trPr>
          <w:trHeight w:val="170"/>
        </w:trPr>
        <w:tc>
          <w:tcPr>
            <w:tcW w:w="838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Calibri" w:cs="Calibri" w:eastAsia="Calibri" w:hAnsi="Calibri"/>
                <w:sz w:val="14"/>
                <w:szCs w:val="14"/>
                <w:b w:val="1"/>
                <w:bCs w:val="1"/>
                <w:color w:val="auto"/>
              </w:rPr>
              <w:t>Shares</w:t>
            </w:r>
          </w:p>
        </w:tc>
        <w:tc>
          <w:tcPr>
            <w:tcW w:w="200" w:type="dxa"/>
            <w:vAlign w:val="bottom"/>
          </w:tcPr>
          <w:p>
            <w:pPr>
              <w:spacing w:after="0"/>
              <w:rPr>
                <w:sz w:val="14"/>
                <w:szCs w:val="14"/>
                <w:color w:val="auto"/>
              </w:rPr>
            </w:pPr>
          </w:p>
        </w:tc>
        <w:tc>
          <w:tcPr>
            <w:tcW w:w="1280" w:type="dxa"/>
            <w:vAlign w:val="bottom"/>
          </w:tcPr>
          <w:p>
            <w:pPr>
              <w:jc w:val="center"/>
              <w:ind w:right="94"/>
              <w:spacing w:after="0"/>
              <w:rPr>
                <w:sz w:val="20"/>
                <w:szCs w:val="20"/>
                <w:color w:val="auto"/>
              </w:rPr>
            </w:pPr>
            <w:r>
              <w:rPr>
                <w:rFonts w:ascii="Calibri" w:cs="Calibri" w:eastAsia="Calibri" w:hAnsi="Calibri"/>
                <w:sz w:val="14"/>
                <w:szCs w:val="14"/>
                <w:b w:val="1"/>
                <w:bCs w:val="1"/>
                <w:color w:val="auto"/>
              </w:rPr>
              <w:t>Date Fair Value</w:t>
            </w:r>
          </w:p>
        </w:tc>
      </w:tr>
      <w:tr>
        <w:trPr>
          <w:trHeight w:val="47"/>
        </w:trPr>
        <w:tc>
          <w:tcPr>
            <w:tcW w:w="83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23"/>
        </w:trPr>
        <w:tc>
          <w:tcPr>
            <w:tcW w:w="83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Outstanding at beginning of fscal 2022</w:t>
            </w:r>
          </w:p>
        </w:tc>
        <w:tc>
          <w:tcPr>
            <w:tcW w:w="1040" w:type="dxa"/>
            <w:vAlign w:val="bottom"/>
            <w:shd w:val="clear" w:color="auto" w:fill="CCEEFF"/>
          </w:tcPr>
          <w:p>
            <w:pPr>
              <w:jc w:val="center"/>
              <w:ind w:left="332"/>
              <w:spacing w:after="0" w:line="215" w:lineRule="exact"/>
              <w:rPr>
                <w:sz w:val="20"/>
                <w:szCs w:val="20"/>
                <w:color w:val="auto"/>
              </w:rPr>
            </w:pPr>
            <w:r>
              <w:rPr>
                <w:rFonts w:ascii="Calibri" w:cs="Calibri" w:eastAsia="Calibri" w:hAnsi="Calibri"/>
                <w:sz w:val="18"/>
                <w:szCs w:val="18"/>
                <w:color w:val="auto"/>
                <w:w w:val="99"/>
              </w:rPr>
              <w:t>11,228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25.60</w:t>
            </w:r>
          </w:p>
        </w:tc>
      </w:tr>
      <w:tr>
        <w:trPr>
          <w:trHeight w:val="222"/>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040" w:type="dxa"/>
            <w:vAlign w:val="bottom"/>
          </w:tcPr>
          <w:p>
            <w:pPr>
              <w:jc w:val="center"/>
              <w:ind w:left="332"/>
              <w:spacing w:after="0" w:line="215" w:lineRule="exact"/>
              <w:rPr>
                <w:sz w:val="20"/>
                <w:szCs w:val="20"/>
                <w:color w:val="auto"/>
              </w:rPr>
            </w:pPr>
            <w:r>
              <w:rPr>
                <w:rFonts w:ascii="Calibri" w:cs="Calibri" w:eastAsia="Calibri" w:hAnsi="Calibri"/>
                <w:sz w:val="18"/>
                <w:szCs w:val="18"/>
                <w:color w:val="auto"/>
                <w:w w:val="99"/>
              </w:rPr>
              <w:t>10,287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32.80</w:t>
            </w:r>
          </w:p>
        </w:tc>
      </w:tr>
      <w:tr>
        <w:trPr>
          <w:trHeight w:val="237"/>
        </w:trPr>
        <w:tc>
          <w:tcPr>
            <w:tcW w:w="8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040" w:type="dxa"/>
            <w:vAlign w:val="bottom"/>
            <w:tcBorders>
              <w:bottom w:val="single" w:sz="8" w:color="auto"/>
            </w:tcBorders>
            <w:shd w:val="clear" w:color="auto" w:fill="CCEEFF"/>
          </w:tcPr>
          <w:p>
            <w:pPr>
              <w:jc w:val="center"/>
              <w:ind w:left="312"/>
              <w:spacing w:after="0"/>
              <w:rPr>
                <w:sz w:val="20"/>
                <w:szCs w:val="20"/>
                <w:color w:val="auto"/>
              </w:rPr>
            </w:pPr>
            <w:r>
              <w:rPr>
                <w:rFonts w:ascii="Calibri" w:cs="Calibri" w:eastAsia="Calibri" w:hAnsi="Calibri"/>
                <w:sz w:val="18"/>
                <w:szCs w:val="18"/>
                <w:color w:val="auto"/>
                <w:w w:val="98"/>
              </w:rPr>
              <w:t>(11,228)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25.60</w:t>
            </w:r>
          </w:p>
        </w:tc>
      </w:tr>
      <w:tr>
        <w:trPr>
          <w:trHeight w:val="216"/>
        </w:trPr>
        <w:tc>
          <w:tcPr>
            <w:tcW w:w="8380" w:type="dxa"/>
            <w:vAlign w:val="bottom"/>
          </w:tcPr>
          <w:p>
            <w:pPr>
              <w:ind w:left="20"/>
              <w:spacing w:after="0" w:line="195" w:lineRule="exact"/>
              <w:rPr>
                <w:sz w:val="20"/>
                <w:szCs w:val="20"/>
                <w:color w:val="auto"/>
              </w:rPr>
            </w:pPr>
            <w:r>
              <w:rPr>
                <w:rFonts w:ascii="Calibri" w:cs="Calibri" w:eastAsia="Calibri" w:hAnsi="Calibri"/>
                <w:sz w:val="18"/>
                <w:szCs w:val="18"/>
                <w:color w:val="auto"/>
              </w:rPr>
              <w:t>Outstanding at end of fscal 2022</w:t>
            </w:r>
          </w:p>
        </w:tc>
        <w:tc>
          <w:tcPr>
            <w:tcW w:w="1040" w:type="dxa"/>
            <w:vAlign w:val="bottom"/>
          </w:tcPr>
          <w:p>
            <w:pPr>
              <w:jc w:val="center"/>
              <w:ind w:left="332"/>
              <w:spacing w:after="0" w:line="215" w:lineRule="exact"/>
              <w:rPr>
                <w:sz w:val="20"/>
                <w:szCs w:val="20"/>
                <w:color w:val="auto"/>
              </w:rPr>
            </w:pPr>
            <w:r>
              <w:rPr>
                <w:rFonts w:ascii="Calibri" w:cs="Calibri" w:eastAsia="Calibri" w:hAnsi="Calibri"/>
                <w:sz w:val="18"/>
                <w:szCs w:val="18"/>
                <w:color w:val="auto"/>
                <w:w w:val="99"/>
              </w:rPr>
              <w:t>10,287</w:t>
            </w: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32.80</w:t>
            </w:r>
          </w:p>
        </w:tc>
      </w:tr>
      <w:tr>
        <w:trPr>
          <w:trHeight w:val="237"/>
        </w:trPr>
        <w:tc>
          <w:tcPr>
            <w:tcW w:w="8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Granted</w:t>
            </w:r>
          </w:p>
        </w:tc>
        <w:tc>
          <w:tcPr>
            <w:tcW w:w="1040" w:type="dxa"/>
            <w:vAlign w:val="bottom"/>
            <w:shd w:val="clear" w:color="auto" w:fill="CCEEFF"/>
          </w:tcPr>
          <w:p>
            <w:pPr>
              <w:jc w:val="center"/>
              <w:ind w:left="332"/>
              <w:spacing w:after="0"/>
              <w:rPr>
                <w:sz w:val="20"/>
                <w:szCs w:val="20"/>
                <w:color w:val="auto"/>
              </w:rPr>
            </w:pPr>
            <w:r>
              <w:rPr>
                <w:rFonts w:ascii="Calibri" w:cs="Calibri" w:eastAsia="Calibri" w:hAnsi="Calibri"/>
                <w:sz w:val="18"/>
                <w:szCs w:val="18"/>
                <w:color w:val="auto"/>
                <w:w w:val="99"/>
              </w:rPr>
              <w:t>12,565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38.98</w:t>
            </w:r>
          </w:p>
        </w:tc>
      </w:tr>
      <w:tr>
        <w:trPr>
          <w:trHeight w:val="223"/>
        </w:trPr>
        <w:tc>
          <w:tcPr>
            <w:tcW w:w="83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Vested</w:t>
            </w:r>
          </w:p>
        </w:tc>
        <w:tc>
          <w:tcPr>
            <w:tcW w:w="1040" w:type="dxa"/>
            <w:vAlign w:val="bottom"/>
            <w:tcBorders>
              <w:bottom w:val="single" w:sz="8" w:color="auto"/>
            </w:tcBorders>
          </w:tcPr>
          <w:p>
            <w:pPr>
              <w:jc w:val="center"/>
              <w:ind w:left="312"/>
              <w:spacing w:after="0" w:line="215" w:lineRule="exact"/>
              <w:rPr>
                <w:sz w:val="20"/>
                <w:szCs w:val="20"/>
                <w:color w:val="auto"/>
              </w:rPr>
            </w:pPr>
            <w:r>
              <w:rPr>
                <w:rFonts w:ascii="Calibri" w:cs="Calibri" w:eastAsia="Calibri" w:hAnsi="Calibri"/>
                <w:sz w:val="18"/>
                <w:szCs w:val="18"/>
                <w:color w:val="auto"/>
                <w:w w:val="98"/>
              </w:rPr>
              <w:t>(10,287)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32.80</w:t>
            </w:r>
          </w:p>
        </w:tc>
      </w:tr>
      <w:tr>
        <w:trPr>
          <w:trHeight w:val="230"/>
        </w:trPr>
        <w:tc>
          <w:tcPr>
            <w:tcW w:w="83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Outstanding at end of fscal 2023</w:t>
            </w:r>
          </w:p>
        </w:tc>
        <w:tc>
          <w:tcPr>
            <w:tcW w:w="1040" w:type="dxa"/>
            <w:vAlign w:val="bottom"/>
            <w:shd w:val="clear" w:color="auto" w:fill="CCEEFF"/>
          </w:tcPr>
          <w:p>
            <w:pPr>
              <w:jc w:val="center"/>
              <w:ind w:left="332"/>
              <w:spacing w:after="0" w:line="215" w:lineRule="exact"/>
              <w:rPr>
                <w:sz w:val="20"/>
                <w:szCs w:val="20"/>
                <w:color w:val="auto"/>
              </w:rPr>
            </w:pPr>
            <w:r>
              <w:rPr>
                <w:rFonts w:ascii="Calibri" w:cs="Calibri" w:eastAsia="Calibri" w:hAnsi="Calibri"/>
                <w:sz w:val="18"/>
                <w:szCs w:val="18"/>
                <w:color w:val="auto"/>
                <w:w w:val="99"/>
              </w:rPr>
              <w:t>12,565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38.98</w:t>
            </w:r>
          </w:p>
        </w:tc>
      </w:tr>
      <w:tr>
        <w:trPr>
          <w:trHeight w:val="222"/>
        </w:trPr>
        <w:tc>
          <w:tcPr>
            <w:tcW w:w="83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040" w:type="dxa"/>
            <w:vAlign w:val="bottom"/>
          </w:tcPr>
          <w:p>
            <w:pPr>
              <w:jc w:val="center"/>
              <w:ind w:left="332"/>
              <w:spacing w:after="0" w:line="215" w:lineRule="exact"/>
              <w:rPr>
                <w:sz w:val="20"/>
                <w:szCs w:val="20"/>
                <w:color w:val="auto"/>
              </w:rPr>
            </w:pPr>
            <w:r>
              <w:rPr>
                <w:rFonts w:ascii="Calibri" w:cs="Calibri" w:eastAsia="Calibri" w:hAnsi="Calibri"/>
                <w:sz w:val="18"/>
                <w:szCs w:val="18"/>
                <w:color w:val="auto"/>
                <w:w w:val="99"/>
              </w:rPr>
              <w:t>10,647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46.00</w:t>
            </w:r>
          </w:p>
        </w:tc>
      </w:tr>
      <w:tr>
        <w:trPr>
          <w:trHeight w:val="237"/>
        </w:trPr>
        <w:tc>
          <w:tcPr>
            <w:tcW w:w="8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040" w:type="dxa"/>
            <w:vAlign w:val="bottom"/>
            <w:tcBorders>
              <w:bottom w:val="single" w:sz="8" w:color="auto"/>
            </w:tcBorders>
            <w:shd w:val="clear" w:color="auto" w:fill="CCEEFF"/>
          </w:tcPr>
          <w:p>
            <w:pPr>
              <w:jc w:val="center"/>
              <w:ind w:left="312"/>
              <w:spacing w:after="0"/>
              <w:rPr>
                <w:sz w:val="20"/>
                <w:szCs w:val="20"/>
                <w:color w:val="auto"/>
              </w:rPr>
            </w:pPr>
            <w:r>
              <w:rPr>
                <w:rFonts w:ascii="Calibri" w:cs="Calibri" w:eastAsia="Calibri" w:hAnsi="Calibri"/>
                <w:sz w:val="18"/>
                <w:szCs w:val="18"/>
                <w:color w:val="auto"/>
                <w:w w:val="98"/>
              </w:rPr>
              <w:t>(12,565)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38.98</w:t>
            </w:r>
          </w:p>
        </w:tc>
      </w:tr>
      <w:tr>
        <w:trPr>
          <w:trHeight w:val="217"/>
        </w:trPr>
        <w:tc>
          <w:tcPr>
            <w:tcW w:w="8380" w:type="dxa"/>
            <w:vAlign w:val="bottom"/>
          </w:tcPr>
          <w:p>
            <w:pPr>
              <w:ind w:left="20"/>
              <w:spacing w:after="0" w:line="195" w:lineRule="exact"/>
              <w:rPr>
                <w:sz w:val="20"/>
                <w:szCs w:val="20"/>
                <w:color w:val="auto"/>
              </w:rPr>
            </w:pPr>
            <w:r>
              <w:rPr>
                <w:rFonts w:ascii="Calibri" w:cs="Calibri" w:eastAsia="Calibri" w:hAnsi="Calibri"/>
                <w:sz w:val="18"/>
                <w:szCs w:val="18"/>
                <w:color w:val="auto"/>
              </w:rPr>
              <w:t>Outstanding at end of fscal 2024</w:t>
            </w:r>
          </w:p>
        </w:tc>
        <w:tc>
          <w:tcPr>
            <w:tcW w:w="1040" w:type="dxa"/>
            <w:vAlign w:val="bottom"/>
            <w:tcBorders>
              <w:bottom w:val="single" w:sz="8" w:color="auto"/>
            </w:tcBorders>
          </w:tcPr>
          <w:p>
            <w:pPr>
              <w:jc w:val="center"/>
              <w:ind w:left="332"/>
              <w:spacing w:after="0" w:line="215" w:lineRule="exact"/>
              <w:rPr>
                <w:sz w:val="20"/>
                <w:szCs w:val="20"/>
                <w:color w:val="auto"/>
              </w:rPr>
            </w:pPr>
            <w:r>
              <w:rPr>
                <w:rFonts w:ascii="Calibri" w:cs="Calibri" w:eastAsia="Calibri" w:hAnsi="Calibri"/>
                <w:sz w:val="18"/>
                <w:szCs w:val="18"/>
                <w:color w:val="auto"/>
                <w:w w:val="99"/>
              </w:rPr>
              <w:t>10,647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46.00</w:t>
            </w:r>
          </w:p>
        </w:tc>
      </w:tr>
      <w:tr>
        <w:trPr>
          <w:trHeight w:val="27"/>
        </w:trPr>
        <w:tc>
          <w:tcPr>
            <w:tcW w:w="8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Annual expense related to the value of restricted stock was $0.5 million in fscal 2024, $0.4 million in fscal 2023, and $0.3 million in fscal 2022, and was recorded in SG&amp;A expense in the Consolidated Statements of Income. Unrecognized compensaton expense related to non-vested restricted stock awards as of March 31, 2024 was $0.2 million and is expected to be recognized over a weighted average period of 0.3 years.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10 — Share Repurchases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of directors has authorized the repurchase of up to 2,600,000 shares of our outstanding common shares. The shares may be repurchased on the open market or in privately negotated transactons subject to applicable securites laws and regulatons. Upon repurchase of the shares, we reduce our common shares for the par value of the shares with the excess applied against additonal paid-in capital. We repurchased 191,861 common shares at an aggregate purchase price of $11.3 million during fscal 2024. We repurchased 181,657 common shares at an aggregate purchase price of $6.6 million during fscal 2023. We repurchased 240,501 common shares at an aggregate purchase price of $8.5 million during fscal 2022. As of March 31, 2024, the number of shares available to be purchased under the share repurchase program was 937,487.</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 Retrement Plans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Company Sponsored Plans</w:t>
      </w:r>
      <w:r>
        <w:rPr>
          <w:rFonts w:ascii="Calibri" w:cs="Calibri" w:eastAsia="Calibri" w:hAnsi="Calibri"/>
          <w:sz w:val="18"/>
          <w:szCs w:val="18"/>
          <w:b w:val="1"/>
          <w:b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majority of our non-bargaining unit employees are eligible to partcipate in a company-sponsored proft sharing plan.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Contributons are made at our discreton subject to a maximum amount allowed under the Internal Revenue Code (“IRC”). The proft sharing plan contributon level for each employee depends upon date of hire, and was 2.5% or 5.0% of each employee’s eligible compensaton for fscal 2024, 2023 and 2022. We also have in place a retrement plan covering our collectve bargaining unit employees. The retrement plan provides for a contributon of 2.5% or 5.0% of each employee’s eligible annual wages depending on their hire date. In additon to the employer contributons described above, both the proft sharing plan and the retrement plan include a 401(k) plan that allows employees to contribute pre-tax earnings up to the maximum amount allowed under the IRC, with an employer match of up to 5% of the employee’s eligible compensaton.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two employee stock ownership plans (“ESOPs”), one covering the majority of our non-bargaining unit employees and the other covering our collectve bargaining unit employees. Contributons to the plan covering our non-bargaining unit employees are made at our discreton. Contributons to both plans are subject to a maximum amount allowed under the IRC, and were 2.5% or 5.0% of each employee’s eligible wages, depending on each eligible employee’s hire date, for fscal 2024, 2023 and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nonqualifed deferred compensaton plan covering employees who are classifed as “highly compensated employees” as determined by IRS guidelines for the plan year and who were hired on or before April 1, 2012. Employees who are eligible for the nonqualifed deferred compensaton plan for any plan year are not eligible for the proft sharing plan contributon or the ESOP contributons described above for that plan year. Our contributon to the nonqualifed deferred compensaton plan for fscal 2024, 2023 and 2022 was 10% of each employee’s eligible compensaton, subject to the maximum amount allowed under the IRC.</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an employee stock purchase plan (“ESPP”) covering substantally all of our employees. The ESPP allows employees to purchase newly-issued shares of the Company’s common shares at a discount from market. The number of new shares issued under the ESPP was 61,981 in fscal 2024, 65,597 in fscal 2023 and 71,692 in fscal 2022.</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represents the contributon expense for these company-sponsored plans for fscal 2024, 2023 and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380" w:type="dxa"/>
            <w:vAlign w:val="bottom"/>
          </w:tcPr>
          <w:p>
            <w:pPr>
              <w:spacing w:after="0"/>
              <w:rPr>
                <w:sz w:val="14"/>
                <w:szCs w:val="14"/>
                <w:color w:val="auto"/>
              </w:rPr>
            </w:pPr>
          </w:p>
        </w:tc>
        <w:tc>
          <w:tcPr>
            <w:tcW w:w="124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9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r>
      <w:tr>
        <w:trPr>
          <w:trHeight w:val="47"/>
        </w:trPr>
        <w:tc>
          <w:tcPr>
            <w:tcW w:w="59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209"/>
        </w:trPr>
        <w:tc>
          <w:tcPr>
            <w:tcW w:w="59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Non-bargaining unit employee plans: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940" w:type="dxa"/>
            <w:vAlign w:val="bottom"/>
          </w:tcPr>
          <w:p>
            <w:pPr>
              <w:ind w:left="140"/>
              <w:spacing w:after="0" w:line="215" w:lineRule="exact"/>
              <w:rPr>
                <w:sz w:val="20"/>
                <w:szCs w:val="20"/>
                <w:color w:val="auto"/>
              </w:rPr>
            </w:pPr>
            <w:r>
              <w:rPr>
                <w:rFonts w:ascii="Calibri" w:cs="Calibri" w:eastAsia="Calibri" w:hAnsi="Calibri"/>
                <w:sz w:val="18"/>
                <w:szCs w:val="18"/>
                <w:color w:val="auto"/>
              </w:rPr>
              <w:t>Proft sharing</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2,340</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1,067</w:t>
            </w:r>
          </w:p>
        </w:tc>
        <w:tc>
          <w:tcPr>
            <w:tcW w:w="120" w:type="dxa"/>
            <w:vAlign w:val="bottom"/>
          </w:tcPr>
          <w:p>
            <w:pPr>
              <w:spacing w:after="0"/>
              <w:rPr>
                <w:sz w:val="19"/>
                <w:szCs w:val="19"/>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1,056</w:t>
            </w:r>
          </w:p>
        </w:tc>
        <w:tc>
          <w:tcPr>
            <w:tcW w:w="100" w:type="dxa"/>
            <w:vAlign w:val="bottom"/>
          </w:tcPr>
          <w:p>
            <w:pPr>
              <w:spacing w:after="0"/>
              <w:rPr>
                <w:sz w:val="19"/>
                <w:szCs w:val="19"/>
                <w:color w:val="auto"/>
              </w:rPr>
            </w:pPr>
          </w:p>
        </w:tc>
      </w:tr>
      <w:tr>
        <w:trPr>
          <w:trHeight w:val="237"/>
        </w:trPr>
        <w:tc>
          <w:tcPr>
            <w:tcW w:w="5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401(k) matching contributons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3,564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3,247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3,122</w:t>
            </w:r>
          </w:p>
        </w:tc>
        <w:tc>
          <w:tcPr>
            <w:tcW w:w="100" w:type="dxa"/>
            <w:vAlign w:val="bottom"/>
            <w:shd w:val="clear" w:color="auto" w:fill="CCEEFF"/>
          </w:tcPr>
          <w:p>
            <w:pPr>
              <w:spacing w:after="0"/>
              <w:rPr>
                <w:sz w:val="20"/>
                <w:szCs w:val="20"/>
                <w:color w:val="auto"/>
              </w:rPr>
            </w:pPr>
          </w:p>
        </w:tc>
      </w:tr>
      <w:tr>
        <w:trPr>
          <w:trHeight w:val="222"/>
        </w:trPr>
        <w:tc>
          <w:tcPr>
            <w:tcW w:w="5940" w:type="dxa"/>
            <w:vAlign w:val="bottom"/>
          </w:tcPr>
          <w:p>
            <w:pPr>
              <w:ind w:left="140"/>
              <w:spacing w:after="0" w:line="215" w:lineRule="exact"/>
              <w:rPr>
                <w:sz w:val="20"/>
                <w:szCs w:val="20"/>
                <w:color w:val="auto"/>
              </w:rPr>
            </w:pPr>
            <w:r>
              <w:rPr>
                <w:rFonts w:ascii="Calibri" w:cs="Calibri" w:eastAsia="Calibri" w:hAnsi="Calibri"/>
                <w:sz w:val="18"/>
                <w:szCs w:val="18"/>
                <w:color w:val="auto"/>
              </w:rPr>
              <w:t>ESOP</w:t>
            </w:r>
          </w:p>
        </w:tc>
        <w:tc>
          <w:tcPr>
            <w:tcW w:w="38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1,056</w:t>
            </w:r>
          </w:p>
        </w:tc>
        <w:tc>
          <w:tcPr>
            <w:tcW w:w="100" w:type="dxa"/>
            <w:vAlign w:val="bottom"/>
          </w:tcPr>
          <w:p>
            <w:pPr>
              <w:spacing w:after="0"/>
              <w:rPr>
                <w:sz w:val="19"/>
                <w:szCs w:val="19"/>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color w:val="auto"/>
              </w:rPr>
              <w:t>Nonqualifed deferred compensaton plan</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1,355</w:t>
            </w:r>
          </w:p>
        </w:tc>
        <w:tc>
          <w:tcPr>
            <w:tcW w:w="100" w:type="dxa"/>
            <w:vAlign w:val="bottom"/>
            <w:shd w:val="clear" w:color="auto" w:fill="CCEEFF"/>
          </w:tcPr>
          <w:p>
            <w:pPr>
              <w:spacing w:after="0"/>
              <w:rPr>
                <w:sz w:val="20"/>
                <w:szCs w:val="20"/>
                <w:color w:val="auto"/>
              </w:rPr>
            </w:pPr>
          </w:p>
        </w:tc>
      </w:tr>
      <w:tr>
        <w:trPr>
          <w:trHeight w:val="222"/>
        </w:trPr>
        <w:tc>
          <w:tcPr>
            <w:tcW w:w="59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Bargaining unit employee plans</w:t>
            </w:r>
          </w:p>
        </w:tc>
        <w:tc>
          <w:tcPr>
            <w:tcW w:w="38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652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618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589</w:t>
            </w:r>
          </w:p>
        </w:tc>
        <w:tc>
          <w:tcPr>
            <w:tcW w:w="100" w:type="dxa"/>
            <w:vAlign w:val="bottom"/>
          </w:tcPr>
          <w:p>
            <w:pPr>
              <w:spacing w:after="0"/>
              <w:rPr>
                <w:sz w:val="19"/>
                <w:szCs w:val="19"/>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color w:val="auto"/>
              </w:rPr>
              <w:t>ESPP - all employees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689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619</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549</w:t>
            </w:r>
          </w:p>
        </w:tc>
        <w:tc>
          <w:tcPr>
            <w:tcW w:w="100" w:type="dxa"/>
            <w:vAlign w:val="bottom"/>
            <w:shd w:val="clear" w:color="auto" w:fill="CCEEFF"/>
          </w:tcPr>
          <w:p>
            <w:pPr>
              <w:spacing w:after="0"/>
              <w:rPr>
                <w:sz w:val="20"/>
                <w:szCs w:val="20"/>
                <w:color w:val="auto"/>
              </w:rPr>
            </w:pPr>
          </w:p>
        </w:tc>
      </w:tr>
      <w:tr>
        <w:trPr>
          <w:trHeight w:val="217"/>
        </w:trPr>
        <w:tc>
          <w:tcPr>
            <w:tcW w:w="5940" w:type="dxa"/>
            <w:vAlign w:val="bottom"/>
          </w:tcPr>
          <w:p>
            <w:pPr>
              <w:ind w:left="360"/>
              <w:spacing w:after="0" w:line="195" w:lineRule="exact"/>
              <w:rPr>
                <w:sz w:val="20"/>
                <w:szCs w:val="20"/>
                <w:color w:val="auto"/>
              </w:rPr>
            </w:pPr>
            <w:r>
              <w:rPr>
                <w:rFonts w:ascii="Calibri" w:cs="Calibri" w:eastAsia="Calibri" w:hAnsi="Calibri"/>
                <w:sz w:val="18"/>
                <w:szCs w:val="18"/>
                <w:color w:val="auto"/>
              </w:rPr>
              <w:t>Total contributon expense</w:t>
            </w:r>
          </w:p>
        </w:tc>
        <w:tc>
          <w:tcPr>
            <w:tcW w:w="3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11,645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8,251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7,727</w:t>
            </w:r>
          </w:p>
        </w:tc>
        <w:tc>
          <w:tcPr>
            <w:tcW w:w="100" w:type="dxa"/>
            <w:vAlign w:val="bottom"/>
          </w:tcPr>
          <w:p>
            <w:pPr>
              <w:spacing w:after="0"/>
              <w:rPr>
                <w:sz w:val="18"/>
                <w:szCs w:val="18"/>
                <w:color w:val="auto"/>
              </w:rPr>
            </w:pPr>
          </w:p>
        </w:tc>
      </w:tr>
      <w:tr>
        <w:trPr>
          <w:trHeight w:val="27"/>
        </w:trPr>
        <w:tc>
          <w:tcPr>
            <w:tcW w:w="5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color w:val="auto"/>
        </w:rPr>
        <w:t>In 2013, we withdrew from a collectvely bargained multemployer pension plan and recorded a liability for our share of the unfunded vested benefts.</w:t>
      </w:r>
    </w:p>
    <w:p>
      <w:pPr>
        <w:spacing w:after="0" w:line="235" w:lineRule="auto"/>
        <w:rPr>
          <w:sz w:val="20"/>
          <w:szCs w:val="20"/>
          <w:color w:val="auto"/>
        </w:rPr>
      </w:pPr>
      <w:r>
        <w:rPr>
          <w:rFonts w:ascii="Calibri" w:cs="Calibri" w:eastAsia="Calibri" w:hAnsi="Calibri"/>
          <w:sz w:val="18"/>
          <w:szCs w:val="18"/>
          <w:color w:val="auto"/>
        </w:rPr>
        <w:t>Payments of approximately $0.5 million per year are being made through 2034.</w:t>
      </w:r>
    </w:p>
    <w:p>
      <w:pPr>
        <w:spacing w:after="0" w:line="3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 Commitments and Contngencies</w:t>
      </w:r>
    </w:p>
    <w:p>
      <w:pPr>
        <w:spacing w:after="0" w:line="244"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b w:val="1"/>
          <w:bCs w:val="1"/>
          <w:i w:val="1"/>
          <w:iCs w:val="1"/>
          <w:color w:val="auto"/>
        </w:rPr>
        <w:t xml:space="preserve">Litgaton. </w:t>
      </w:r>
      <w:r>
        <w:rPr>
          <w:rFonts w:ascii="Calibri" w:cs="Calibri" w:eastAsia="Calibri" w:hAnsi="Calibri"/>
          <w:sz w:val="17"/>
          <w:szCs w:val="17"/>
          <w:color w:val="auto"/>
        </w:rPr>
        <w:t>As of March 31, 2024, there were no material pending legal proceedings, other than ordinary routne litgaton incidental to the business, to which</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we or any of our subsidiaries are a party or of which any of our property is the subject. Legal fees associated with such maters are expensed as incurred.</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Environmental Remediaton. </w:t>
      </w:r>
      <w:r>
        <w:rPr>
          <w:rFonts w:ascii="Calibri" w:cs="Calibri" w:eastAsia="Calibri" w:hAnsi="Calibri"/>
          <w:sz w:val="18"/>
          <w:szCs w:val="18"/>
          <w:color w:val="auto"/>
        </w:rPr>
        <w:t>In the fourth quarter of fscal 2024, we recorded a liability of $7.7 million related to estmated remediaton expenses associated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with perchlorinated biphenyls ("PCBs") discovered in the soil at our Rosemount, MN facility during our expansion project. This expense was recorded as an operatng expense within cost of goods sold in our Consolidated Statements of Income. We acquired the property, which had prior heavy industrial use, in fscal 2012. While the source of the PCBs is unknown, we have never brought PCBs onto the property or used PCBs on the site. The liability is not discounted as management expects to incur these expenses within the next twelve months. Given the many uncertaintes involved in assessing environmental claims, our reserves may prove to be insufcient. While it is possible that additonal expense related to the remediaton will be incurred in future periods if currently unknown issues arise, we are unable to estmate the extent of any further fnancial impact.</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Asset Retrement Obligatons. </w:t>
      </w:r>
      <w:r>
        <w:rPr>
          <w:rFonts w:ascii="Calibri" w:cs="Calibri" w:eastAsia="Calibri" w:hAnsi="Calibri"/>
          <w:sz w:val="18"/>
          <w:szCs w:val="18"/>
          <w:color w:val="auto"/>
        </w:rPr>
        <w:t>We have three leases of land which contain terms that state that at the end of the lease term, we have a specifed amount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tme to remove the property and buildings. Including available lease extensions, these leases expire in 2024, 2033 and 2044. At that tme, anything that remains on the land becomes the property of the lessor, and the lessor has the opton to either maintain the property or remove the property at our expense. We have not been able to reasonably estmate the fair value of the asset retrement obligatons, primarily due to the combinaton of the following factors: certain of the leases do not expire in the near future; we have a history of extending the leases with the lessors and currently intend to do so at expiraton of the lease periods; the lessors do not have a history of terminatng leases with their tenants; and because it is more likely than not that the buildings will have value at the end of the lease life and therefore, may not be removed by either the lessee or the lessor. Therefore, in accordance with accountng guidance related to asset retrement and environmental obligatons, we have not recorded an asset retrement obligaton as of March 31, 2024. We will contnue to monitor the factors surrounding the requirement to record an asset retrement obligaton and will recognize the fair value of a liability in the period in which it is incurred and a reasonable estmate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 Income Taxes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provisions for income taxes for fscal 2024, 2023 and 2022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b w:val="1"/>
                <w:bCs w:val="1"/>
                <w:color w:val="auto"/>
              </w:rPr>
              <w:t>2024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b w:val="1"/>
                <w:bCs w:val="1"/>
                <w:color w:val="auto"/>
              </w:rPr>
              <w:t>2023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2"/>
              <w:spacing w:after="0"/>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47"/>
        </w:trPr>
        <w:tc>
          <w:tcPr>
            <w:tcW w:w="57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5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Federal — current</w:t>
            </w:r>
          </w:p>
        </w:tc>
        <w:tc>
          <w:tcPr>
            <w:tcW w:w="1060" w:type="dxa"/>
            <w:vAlign w:val="bottom"/>
            <w:shd w:val="clear" w:color="auto" w:fill="CCEEFF"/>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21,872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14,736</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State — current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5,369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5,202</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360"/>
              <w:spacing w:after="0" w:line="202" w:lineRule="exact"/>
              <w:rPr>
                <w:sz w:val="20"/>
                <w:szCs w:val="20"/>
                <w:color w:val="auto"/>
              </w:rPr>
            </w:pPr>
            <w:r>
              <w:rPr>
                <w:rFonts w:ascii="Calibri" w:cs="Calibri" w:eastAsia="Calibri" w:hAnsi="Calibri"/>
                <w:sz w:val="18"/>
                <w:szCs w:val="18"/>
                <w:color w:val="auto"/>
              </w:rPr>
              <w:t>Total current</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27,241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22,773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19,938</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Federal — deferred</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(1,054)</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State — deferred</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(447)</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360"/>
              <w:spacing w:after="0" w:line="202" w:lineRule="exact"/>
              <w:rPr>
                <w:sz w:val="20"/>
                <w:szCs w:val="20"/>
                <w:color w:val="auto"/>
              </w:rPr>
            </w:pPr>
            <w:r>
              <w:rPr>
                <w:rFonts w:ascii="Calibri" w:cs="Calibri" w:eastAsia="Calibri" w:hAnsi="Calibri"/>
                <w:sz w:val="18"/>
                <w:szCs w:val="18"/>
                <w:color w:val="auto"/>
              </w:rPr>
              <w:t>Total deferred</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(1,459)</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(1,501)</w:t>
            </w:r>
          </w:p>
        </w:tc>
        <w:tc>
          <w:tcPr>
            <w:tcW w:w="0" w:type="dxa"/>
            <w:vAlign w:val="bottom"/>
          </w:tcPr>
          <w:p>
            <w:pPr>
              <w:spacing w:after="0"/>
              <w:rPr>
                <w:sz w:val="1"/>
                <w:szCs w:val="1"/>
                <w:color w:val="auto"/>
              </w:rPr>
            </w:pPr>
          </w:p>
        </w:tc>
      </w:tr>
      <w:tr>
        <w:trPr>
          <w:trHeight w:val="217"/>
        </w:trPr>
        <w:tc>
          <w:tcPr>
            <w:tcW w:w="5760" w:type="dxa"/>
            <w:vAlign w:val="bottom"/>
          </w:tcPr>
          <w:p>
            <w:pPr>
              <w:ind w:left="360"/>
              <w:spacing w:after="0" w:line="195" w:lineRule="exact"/>
              <w:rPr>
                <w:sz w:val="20"/>
                <w:szCs w:val="20"/>
                <w:color w:val="auto"/>
              </w:rPr>
            </w:pPr>
            <w:r>
              <w:rPr>
                <w:rFonts w:ascii="Calibri" w:cs="Calibri" w:eastAsia="Calibri" w:hAnsi="Calibri"/>
                <w:sz w:val="18"/>
                <w:szCs w:val="18"/>
                <w:color w:val="auto"/>
              </w:rPr>
              <w:t>Total provision</w:t>
            </w:r>
          </w:p>
        </w:tc>
        <w:tc>
          <w:tcPr>
            <w:tcW w:w="1060" w:type="dxa"/>
            <w:vAlign w:val="bottom"/>
            <w:tcBorders>
              <w:bottom w:val="single" w:sz="8" w:color="auto"/>
            </w:tcBorders>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25,782</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22,541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18,437</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Reconciliatons of the provisions for income taxes to the applicable federal statutory income tax rate for fscal 2024, 2023 and 2022 are listed below.</w:t>
      </w:r>
    </w:p>
    <w:p>
      <w:pPr>
        <w:sectPr>
          <w:pgSz w:w="11900" w:h="16838" w:orient="portrait"/>
          <w:cols w:equalWidth="0" w:num="1">
            <w:col w:w="11240"/>
          </w:cols>
          <w:pgMar w:left="320" w:top="112"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Statutory federal income tax</w:t>
      </w:r>
    </w:p>
    <w:p>
      <w:pPr>
        <w:spacing w:after="0" w:line="28" w:lineRule="exact"/>
        <w:rPr>
          <w:sz w:val="20"/>
          <w:szCs w:val="20"/>
          <w:color w:val="auto"/>
        </w:rPr>
      </w:pPr>
    </w:p>
    <w:p>
      <w:pPr>
        <w:ind w:left="20" w:right="2100"/>
        <w:spacing w:after="0" w:line="245" w:lineRule="auto"/>
        <w:rPr>
          <w:sz w:val="20"/>
          <w:szCs w:val="20"/>
          <w:color w:val="auto"/>
        </w:rPr>
      </w:pPr>
      <w:r>
        <w:rPr>
          <w:rFonts w:ascii="Calibri" w:cs="Calibri" w:eastAsia="Calibri" w:hAnsi="Calibri"/>
          <w:sz w:val="18"/>
          <w:szCs w:val="18"/>
          <w:color w:val="auto"/>
        </w:rPr>
        <w:t>State income taxes, net of federal deducton Other — net</w:t>
      </w:r>
    </w:p>
    <w:p>
      <w:pPr>
        <w:spacing w:after="0" w:line="6" w:lineRule="exact"/>
        <w:rPr>
          <w:sz w:val="20"/>
          <w:szCs w:val="20"/>
          <w:color w:val="auto"/>
        </w:rPr>
      </w:pPr>
    </w:p>
    <w:p>
      <w:pPr>
        <w:ind w:left="36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jc w:val="right"/>
              <w:ind w:right="554"/>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580" w:type="dxa"/>
            <w:vAlign w:val="bottom"/>
          </w:tcPr>
          <w:p>
            <w:pPr>
              <w:jc w:val="right"/>
              <w:ind w:right="554"/>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600" w:type="dxa"/>
            <w:vAlign w:val="bottom"/>
          </w:tcPr>
          <w:p>
            <w:pPr>
              <w:jc w:val="right"/>
              <w:ind w:right="574"/>
              <w:spacing w:after="0"/>
              <w:rPr>
                <w:sz w:val="20"/>
                <w:szCs w:val="20"/>
                <w:color w:val="auto"/>
              </w:rPr>
            </w:pPr>
            <w:r>
              <w:rPr>
                <w:rFonts w:ascii="Calibri" w:cs="Calibri" w:eastAsia="Calibri" w:hAnsi="Calibri"/>
                <w:sz w:val="14"/>
                <w:szCs w:val="14"/>
                <w:b w:val="1"/>
                <w:bCs w:val="1"/>
                <w:color w:val="auto"/>
              </w:rPr>
              <w:t>2022</w:t>
            </w:r>
          </w:p>
        </w:tc>
      </w:tr>
      <w:tr>
        <w:trPr>
          <w:trHeight w:val="47"/>
        </w:trPr>
        <w:tc>
          <w:tcPr>
            <w:tcW w:w="1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08"/>
        </w:trPr>
        <w:tc>
          <w:tcPr>
            <w:tcW w:w="1580" w:type="dxa"/>
            <w:vAlign w:val="bottom"/>
          </w:tcPr>
          <w:p>
            <w:pPr>
              <w:jc w:val="right"/>
              <w:spacing w:after="0" w:line="208" w:lineRule="exact"/>
              <w:rPr>
                <w:sz w:val="20"/>
                <w:szCs w:val="20"/>
                <w:color w:val="auto"/>
              </w:rPr>
            </w:pPr>
            <w:r>
              <w:rPr>
                <w:rFonts w:ascii="Calibri" w:cs="Calibri" w:eastAsia="Calibri" w:hAnsi="Calibri"/>
                <w:sz w:val="18"/>
                <w:szCs w:val="18"/>
                <w:color w:val="auto"/>
              </w:rPr>
              <w:t>21.0 %</w:t>
            </w:r>
          </w:p>
        </w:tc>
        <w:tc>
          <w:tcPr>
            <w:tcW w:w="120" w:type="dxa"/>
            <w:vAlign w:val="bottom"/>
          </w:tcPr>
          <w:p>
            <w:pPr>
              <w:spacing w:after="0"/>
              <w:rPr>
                <w:sz w:val="18"/>
                <w:szCs w:val="18"/>
                <w:color w:val="auto"/>
              </w:rPr>
            </w:pPr>
          </w:p>
        </w:tc>
        <w:tc>
          <w:tcPr>
            <w:tcW w:w="1580" w:type="dxa"/>
            <w:vAlign w:val="bottom"/>
          </w:tcPr>
          <w:p>
            <w:pPr>
              <w:jc w:val="right"/>
              <w:spacing w:after="0" w:line="208" w:lineRule="exact"/>
              <w:rPr>
                <w:sz w:val="20"/>
                <w:szCs w:val="20"/>
                <w:color w:val="auto"/>
              </w:rPr>
            </w:pPr>
            <w:r>
              <w:rPr>
                <w:rFonts w:ascii="Calibri" w:cs="Calibri" w:eastAsia="Calibri" w:hAnsi="Calibri"/>
                <w:sz w:val="18"/>
                <w:szCs w:val="18"/>
                <w:color w:val="auto"/>
              </w:rPr>
              <w:t>21.0 %</w:t>
            </w:r>
          </w:p>
        </w:tc>
        <w:tc>
          <w:tcPr>
            <w:tcW w:w="120" w:type="dxa"/>
            <w:vAlign w:val="bottom"/>
          </w:tcPr>
          <w:p>
            <w:pPr>
              <w:spacing w:after="0"/>
              <w:rPr>
                <w:sz w:val="18"/>
                <w:szCs w:val="18"/>
                <w:color w:val="auto"/>
              </w:rPr>
            </w:pPr>
          </w:p>
        </w:tc>
        <w:tc>
          <w:tcPr>
            <w:tcW w:w="1600" w:type="dxa"/>
            <w:vAlign w:val="bottom"/>
          </w:tcPr>
          <w:p>
            <w:pPr>
              <w:jc w:val="right"/>
              <w:spacing w:after="0" w:line="208" w:lineRule="exact"/>
              <w:rPr>
                <w:sz w:val="20"/>
                <w:szCs w:val="20"/>
                <w:color w:val="auto"/>
              </w:rPr>
            </w:pPr>
            <w:r>
              <w:rPr>
                <w:rFonts w:ascii="Calibri" w:cs="Calibri" w:eastAsia="Calibri" w:hAnsi="Calibri"/>
                <w:sz w:val="18"/>
                <w:szCs w:val="18"/>
                <w:color w:val="auto"/>
              </w:rPr>
              <w:t>21.0 %</w:t>
            </w:r>
          </w:p>
        </w:tc>
      </w:tr>
      <w:tr>
        <w:trPr>
          <w:trHeight w:val="221"/>
        </w:trPr>
        <w:tc>
          <w:tcPr>
            <w:tcW w:w="1580" w:type="dxa"/>
            <w:vAlign w:val="bottom"/>
          </w:tcPr>
          <w:p>
            <w:pPr>
              <w:jc w:val="right"/>
              <w:spacing w:after="0"/>
              <w:rPr>
                <w:sz w:val="20"/>
                <w:szCs w:val="20"/>
                <w:color w:val="auto"/>
              </w:rPr>
            </w:pPr>
            <w:r>
              <w:rPr>
                <w:rFonts w:ascii="Calibri" w:cs="Calibri" w:eastAsia="Calibri" w:hAnsi="Calibri"/>
                <w:sz w:val="18"/>
                <w:szCs w:val="18"/>
                <w:color w:val="auto"/>
              </w:rPr>
              <w:t>5.4 %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Calibri" w:cs="Calibri" w:eastAsia="Calibri" w:hAnsi="Calibri"/>
                <w:sz w:val="18"/>
                <w:szCs w:val="18"/>
                <w:color w:val="auto"/>
              </w:rPr>
              <w:t>6.8 %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Calibri" w:cs="Calibri" w:eastAsia="Calibri" w:hAnsi="Calibri"/>
                <w:sz w:val="18"/>
                <w:szCs w:val="18"/>
                <w:color w:val="auto"/>
              </w:rPr>
              <w:t>5.6 %</w:t>
            </w:r>
          </w:p>
        </w:tc>
      </w:tr>
      <w:tr>
        <w:trPr>
          <w:trHeight w:val="230"/>
        </w:trPr>
        <w:tc>
          <w:tcPr>
            <w:tcW w:w="1580" w:type="dxa"/>
            <w:vAlign w:val="bottom"/>
          </w:tcPr>
          <w:p>
            <w:pPr>
              <w:jc w:val="right"/>
              <w:spacing w:after="0"/>
              <w:rPr>
                <w:sz w:val="20"/>
                <w:szCs w:val="20"/>
                <w:color w:val="auto"/>
              </w:rPr>
            </w:pPr>
            <w:r>
              <w:rPr>
                <w:rFonts w:ascii="Calibri" w:cs="Calibri" w:eastAsia="Calibri" w:hAnsi="Calibri"/>
                <w:sz w:val="18"/>
                <w:szCs w:val="18"/>
                <w:color w:val="auto"/>
              </w:rPr>
              <w:t>(0.9)%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Calibri" w:cs="Calibri" w:eastAsia="Calibri" w:hAnsi="Calibri"/>
                <w:sz w:val="18"/>
                <w:szCs w:val="18"/>
                <w:color w:val="auto"/>
              </w:rPr>
              <w:t>(0.5)%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Calibri" w:cs="Calibri" w:eastAsia="Calibri" w:hAnsi="Calibri"/>
                <w:sz w:val="18"/>
                <w:szCs w:val="18"/>
                <w:color w:val="auto"/>
              </w:rPr>
              <w:t>(0.3)%</w:t>
            </w:r>
          </w:p>
        </w:tc>
      </w:tr>
      <w:tr>
        <w:trPr>
          <w:trHeight w:val="23"/>
        </w:trPr>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25.5 %</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27.3 %</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26.3 %</w:t>
            </w:r>
          </w:p>
        </w:tc>
      </w:tr>
      <w:tr>
        <w:trPr>
          <w:trHeight w:val="27"/>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-633730</wp:posOffset>
            </wp:positionV>
            <wp:extent cx="696912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969125"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-334010</wp:posOffset>
            </wp:positionV>
            <wp:extent cx="696912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6912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12"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Calibri" w:cs="Calibri" w:eastAsia="Calibri" w:hAnsi="Calibri"/>
          <w:sz w:val="18"/>
          <w:szCs w:val="18"/>
          <w:color w:val="auto"/>
        </w:rPr>
        <w:t>The tax efects of items comprising our net deferred tax liability as of March 31, 2024 and April 2, 2023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460" w:type="dxa"/>
            <w:vAlign w:val="bottom"/>
          </w:tcPr>
          <w:p>
            <w:pPr>
              <w:spacing w:after="0"/>
              <w:rPr>
                <w:sz w:val="14"/>
                <w:szCs w:val="14"/>
                <w:color w:val="auto"/>
              </w:rPr>
            </w:pPr>
          </w:p>
        </w:tc>
        <w:tc>
          <w:tcPr>
            <w:tcW w:w="1460" w:type="dxa"/>
            <w:vAlign w:val="bottom"/>
          </w:tcPr>
          <w:p>
            <w:pPr>
              <w:jc w:val="right"/>
              <w:ind w:right="7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47"/>
        </w:trPr>
        <w:tc>
          <w:tcPr>
            <w:tcW w:w="70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Deferred tax assets: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tcPr>
          <w:p>
            <w:pPr>
              <w:ind w:left="360"/>
              <w:spacing w:after="0" w:line="215" w:lineRule="exact"/>
              <w:rPr>
                <w:sz w:val="20"/>
                <w:szCs w:val="20"/>
                <w:color w:val="auto"/>
              </w:rPr>
            </w:pPr>
            <w:r>
              <w:rPr>
                <w:rFonts w:ascii="Calibri" w:cs="Calibri" w:eastAsia="Calibri" w:hAnsi="Calibri"/>
                <w:sz w:val="18"/>
                <w:szCs w:val="18"/>
                <w:color w:val="auto"/>
              </w:rPr>
              <w:t>Trade receivables</w:t>
            </w:r>
          </w:p>
        </w:tc>
        <w:tc>
          <w:tcPr>
            <w:tcW w:w="46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19"/>
                <w:szCs w:val="19"/>
                <w:color w:val="auto"/>
              </w:rPr>
            </w:pPr>
          </w:p>
        </w:tc>
        <w:tc>
          <w:tcPr>
            <w:tcW w:w="4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51</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Stock compensaton accruals</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2,224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2,027</w:t>
            </w:r>
          </w:p>
        </w:tc>
        <w:tc>
          <w:tcPr>
            <w:tcW w:w="0" w:type="dxa"/>
            <w:vAlign w:val="bottom"/>
          </w:tcPr>
          <w:p>
            <w:pPr>
              <w:spacing w:after="0"/>
              <w:rPr>
                <w:sz w:val="1"/>
                <w:szCs w:val="1"/>
                <w:color w:val="auto"/>
              </w:rPr>
            </w:pPr>
          </w:p>
        </w:tc>
      </w:tr>
      <w:tr>
        <w:trPr>
          <w:trHeight w:val="222"/>
        </w:trPr>
        <w:tc>
          <w:tcPr>
            <w:tcW w:w="7020" w:type="dxa"/>
            <w:vAlign w:val="bottom"/>
          </w:tcPr>
          <w:p>
            <w:pPr>
              <w:ind w:left="360"/>
              <w:spacing w:after="0" w:line="215" w:lineRule="exact"/>
              <w:rPr>
                <w:sz w:val="20"/>
                <w:szCs w:val="20"/>
                <w:color w:val="auto"/>
              </w:rPr>
            </w:pPr>
            <w:r>
              <w:rPr>
                <w:rFonts w:ascii="Calibri" w:cs="Calibri" w:eastAsia="Calibri" w:hAnsi="Calibri"/>
                <w:sz w:val="18"/>
                <w:szCs w:val="18"/>
                <w:color w:val="auto"/>
              </w:rPr>
              <w:t>Pension withdrawal liability</w:t>
            </w:r>
          </w:p>
        </w:tc>
        <w:tc>
          <w:tcPr>
            <w:tcW w:w="4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1,056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1,155</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Lease liability</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3,242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2,820</w:t>
            </w:r>
          </w:p>
        </w:tc>
        <w:tc>
          <w:tcPr>
            <w:tcW w:w="0" w:type="dxa"/>
            <w:vAlign w:val="bottom"/>
          </w:tcPr>
          <w:p>
            <w:pPr>
              <w:spacing w:after="0"/>
              <w:rPr>
                <w:sz w:val="1"/>
                <w:szCs w:val="1"/>
                <w:color w:val="auto"/>
              </w:rPr>
            </w:pPr>
          </w:p>
        </w:tc>
      </w:tr>
      <w:tr>
        <w:trPr>
          <w:trHeight w:val="222"/>
        </w:trPr>
        <w:tc>
          <w:tcPr>
            <w:tcW w:w="7020" w:type="dxa"/>
            <w:vAlign w:val="bottom"/>
          </w:tcPr>
          <w:p>
            <w:pPr>
              <w:ind w:left="360"/>
              <w:spacing w:after="0" w:line="215" w:lineRule="exact"/>
              <w:rPr>
                <w:sz w:val="20"/>
                <w:szCs w:val="20"/>
                <w:color w:val="auto"/>
              </w:rPr>
            </w:pPr>
            <w:r>
              <w:rPr>
                <w:rFonts w:ascii="Calibri" w:cs="Calibri" w:eastAsia="Calibri" w:hAnsi="Calibri"/>
                <w:sz w:val="18"/>
                <w:szCs w:val="18"/>
                <w:color w:val="auto"/>
              </w:rPr>
              <w:t>Inventories</w:t>
            </w:r>
          </w:p>
        </w:tc>
        <w:tc>
          <w:tcPr>
            <w:tcW w:w="4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2,645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2,437</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Other</w:t>
            </w:r>
          </w:p>
        </w:tc>
        <w:tc>
          <w:tcPr>
            <w:tcW w:w="4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5,963</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3,335</w:t>
            </w:r>
          </w:p>
        </w:tc>
        <w:tc>
          <w:tcPr>
            <w:tcW w:w="0" w:type="dxa"/>
            <w:vAlign w:val="bottom"/>
          </w:tcPr>
          <w:p>
            <w:pPr>
              <w:spacing w:after="0"/>
              <w:rPr>
                <w:sz w:val="1"/>
                <w:szCs w:val="1"/>
                <w:color w:val="auto"/>
              </w:rPr>
            </w:pPr>
          </w:p>
        </w:tc>
      </w:tr>
      <w:tr>
        <w:trPr>
          <w:trHeight w:val="217"/>
        </w:trPr>
        <w:tc>
          <w:tcPr>
            <w:tcW w:w="7020" w:type="dxa"/>
            <w:vAlign w:val="bottom"/>
          </w:tcPr>
          <w:p>
            <w:pPr>
              <w:ind w:left="20"/>
              <w:spacing w:after="0" w:line="195" w:lineRule="exact"/>
              <w:rPr>
                <w:sz w:val="20"/>
                <w:szCs w:val="20"/>
                <w:color w:val="auto"/>
              </w:rPr>
            </w:pPr>
            <w:r>
              <w:rPr>
                <w:rFonts w:ascii="Calibri" w:cs="Calibri" w:eastAsia="Calibri" w:hAnsi="Calibri"/>
                <w:sz w:val="18"/>
                <w:szCs w:val="18"/>
                <w:color w:val="auto"/>
              </w:rPr>
              <w:t>Total deferred tax assets</w:t>
            </w:r>
          </w:p>
        </w:tc>
        <w:tc>
          <w:tcPr>
            <w:tcW w:w="460" w:type="dxa"/>
            <w:vAlign w:val="bottom"/>
            <w:tcBorders>
              <w:bottom w:val="single" w:sz="8" w:color="auto"/>
            </w:tcBorders>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15,226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11,825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Deferred tax liabilites:</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20" w:type="dxa"/>
            <w:vAlign w:val="bottom"/>
          </w:tcPr>
          <w:p>
            <w:pPr>
              <w:ind w:left="360"/>
              <w:spacing w:after="0" w:line="215" w:lineRule="exact"/>
              <w:rPr>
                <w:sz w:val="20"/>
                <w:szCs w:val="20"/>
                <w:color w:val="auto"/>
              </w:rPr>
            </w:pPr>
            <w:r>
              <w:rPr>
                <w:rFonts w:ascii="Calibri" w:cs="Calibri" w:eastAsia="Calibri" w:hAnsi="Calibri"/>
                <w:sz w:val="18"/>
                <w:szCs w:val="18"/>
                <w:color w:val="auto"/>
              </w:rPr>
              <w:t>Prepaid expenses</w:t>
            </w:r>
          </w:p>
        </w:tc>
        <w:tc>
          <w:tcPr>
            <w:tcW w:w="46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(1,119)</w:t>
            </w:r>
          </w:p>
        </w:tc>
        <w:tc>
          <w:tcPr>
            <w:tcW w:w="100" w:type="dxa"/>
            <w:vAlign w:val="bottom"/>
          </w:tcPr>
          <w:p>
            <w:pPr>
              <w:spacing w:after="0"/>
              <w:rPr>
                <w:sz w:val="19"/>
                <w:szCs w:val="19"/>
                <w:color w:val="auto"/>
              </w:rPr>
            </w:pPr>
          </w:p>
        </w:tc>
        <w:tc>
          <w:tcPr>
            <w:tcW w:w="4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(1,089)</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Excess of tax over book depreciaton</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(18,428)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(16,360)</w:t>
            </w:r>
          </w:p>
        </w:tc>
        <w:tc>
          <w:tcPr>
            <w:tcW w:w="0" w:type="dxa"/>
            <w:vAlign w:val="bottom"/>
          </w:tcPr>
          <w:p>
            <w:pPr>
              <w:spacing w:after="0"/>
              <w:rPr>
                <w:sz w:val="1"/>
                <w:szCs w:val="1"/>
                <w:color w:val="auto"/>
              </w:rPr>
            </w:pPr>
          </w:p>
        </w:tc>
      </w:tr>
      <w:tr>
        <w:trPr>
          <w:trHeight w:val="222"/>
        </w:trPr>
        <w:tc>
          <w:tcPr>
            <w:tcW w:w="7020" w:type="dxa"/>
            <w:vAlign w:val="bottom"/>
          </w:tcPr>
          <w:p>
            <w:pPr>
              <w:ind w:left="360"/>
              <w:spacing w:after="0" w:line="215" w:lineRule="exact"/>
              <w:rPr>
                <w:sz w:val="20"/>
                <w:szCs w:val="20"/>
                <w:color w:val="auto"/>
              </w:rPr>
            </w:pPr>
            <w:r>
              <w:rPr>
                <w:rFonts w:ascii="Calibri" w:cs="Calibri" w:eastAsia="Calibri" w:hAnsi="Calibri"/>
                <w:sz w:val="18"/>
                <w:szCs w:val="18"/>
                <w:color w:val="auto"/>
              </w:rPr>
              <w:t>Intangible assets</w:t>
            </w:r>
          </w:p>
        </w:tc>
        <w:tc>
          <w:tcPr>
            <w:tcW w:w="46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(13,771)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(14,334)</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ROU asset</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(3,162)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(2,754)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360"/>
              <w:spacing w:after="0" w:line="215" w:lineRule="exact"/>
              <w:rPr>
                <w:sz w:val="20"/>
                <w:szCs w:val="20"/>
                <w:color w:val="auto"/>
              </w:rPr>
            </w:pPr>
            <w:r>
              <w:rPr>
                <w:rFonts w:ascii="Calibri" w:cs="Calibri" w:eastAsia="Calibri" w:hAnsi="Calibri"/>
                <w:sz w:val="18"/>
                <w:szCs w:val="18"/>
                <w:color w:val="auto"/>
              </w:rPr>
              <w:t>Unrealized gain on interest rate swap</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deferred tax liabilites</w:t>
            </w:r>
          </w:p>
        </w:tc>
        <w:tc>
          <w:tcPr>
            <w:tcW w:w="46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(37,632)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(35,624)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line="215" w:lineRule="exact"/>
              <w:rPr>
                <w:sz w:val="20"/>
                <w:szCs w:val="20"/>
                <w:color w:val="auto"/>
              </w:rPr>
            </w:pPr>
            <w:r>
              <w:rPr>
                <w:rFonts w:ascii="Calibri" w:cs="Calibri" w:eastAsia="Calibri" w:hAnsi="Calibri"/>
                <w:sz w:val="18"/>
                <w:szCs w:val="18"/>
                <w:color w:val="auto"/>
              </w:rPr>
              <w:t>Net deferred tax liabilites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2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(22,406)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Calibri" w:cs="Calibri" w:eastAsia="Calibri" w:hAnsi="Calibri"/>
                <w:sz w:val="18"/>
                <w:szCs w:val="18"/>
                <w:color w:val="auto"/>
                <w:w w:val="87"/>
              </w:rPr>
              <w:t>$</w:t>
            </w:r>
          </w:p>
        </w:tc>
        <w:tc>
          <w:tcPr>
            <w:tcW w:w="14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(23,799)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of March 31, 2024, the Company has determined that it is more likely than not that the deferred tax assets at March 31, 2024 will be realized either through future taxable income or reversals of taxable temporary diferences.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subject to U.S. federal income tax as well as income tax of multple state jurisdictons. The tax years prior to our fscal year ended March 28, 2021 are closed to examinaton by the Internal Revenue Service, and with few exceptons, state and local income tax jurisdictons.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8" w:name="page49"/>
    <w:bookmarkEnd w:id="48"/>
    <w:p>
      <w:pPr>
        <w:jc w:val="center"/>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14 – Leases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Lease Obligatons. </w:t>
      </w:r>
      <w:r>
        <w:rPr>
          <w:rFonts w:ascii="Calibri" w:cs="Calibri" w:eastAsia="Calibri" w:hAnsi="Calibri"/>
          <w:sz w:val="18"/>
          <w:szCs w:val="18"/>
          <w:color w:val="auto"/>
        </w:rPr>
        <w:t>As of March 31, 2024, we were obligated under operatng lease agreements for certain manufacturing facilites, warehouse space, the land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on which some of our facilites sit, vehicles and informaton technology equipment. Our leases have remaining lease terms of 1 year to 21 years, some of which include optons to extend the lease for up to 15 years.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March 31, 2024 and April 2, 2023, our operatng lease components with inital or remaining terms in excess of one year were classifed on the consolidated balance sheet within right-of-use assets, short-term lease liability and long-term lease liability.</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lease expense was $4.0 million for the twelve months ended March 31, 2024 and $3.1 million for the twelve months ended April 2, 2023, and includes leases less than 12 months in duraton.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60" w:type="dxa"/>
            <w:vAlign w:val="bottom"/>
            <w:gridSpan w:val="2"/>
          </w:tcPr>
          <w:p>
            <w:pPr>
              <w:spacing w:after="0"/>
              <w:rPr>
                <w:sz w:val="20"/>
                <w:szCs w:val="20"/>
                <w:color w:val="auto"/>
              </w:rPr>
            </w:pPr>
            <w:r>
              <w:rPr>
                <w:rFonts w:ascii="Calibri" w:cs="Calibri" w:eastAsia="Calibri" w:hAnsi="Calibri"/>
                <w:sz w:val="18"/>
                <w:szCs w:val="18"/>
                <w:color w:val="auto"/>
              </w:rPr>
              <w:t>Other informaton related to our operatng leases was as follows: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6"/>
        </w:trPr>
        <w:tc>
          <w:tcPr>
            <w:tcW w:w="7120" w:type="dxa"/>
            <w:vAlign w:val="bottom"/>
          </w:tcPr>
          <w:p>
            <w:pPr>
              <w:spacing w:after="0"/>
              <w:rPr>
                <w:sz w:val="22"/>
                <w:szCs w:val="22"/>
                <w:color w:val="auto"/>
              </w:rPr>
            </w:pPr>
          </w:p>
        </w:tc>
        <w:tc>
          <w:tcPr>
            <w:tcW w:w="1540" w:type="dxa"/>
            <w:vAlign w:val="bottom"/>
          </w:tcPr>
          <w:p>
            <w:pPr>
              <w:ind w:left="420"/>
              <w:spacing w:after="0"/>
              <w:rPr>
                <w:sz w:val="20"/>
                <w:szCs w:val="20"/>
                <w:color w:val="auto"/>
              </w:rPr>
            </w:pPr>
            <w:r>
              <w:rPr>
                <w:rFonts w:ascii="Calibri" w:cs="Calibri" w:eastAsia="Calibri" w:hAnsi="Calibri"/>
                <w:sz w:val="18"/>
                <w:szCs w:val="18"/>
                <w:b w:val="1"/>
                <w:bCs w:val="1"/>
                <w:color w:val="auto"/>
                <w:w w:val="94"/>
              </w:rPr>
              <w:t>March 31, 2024</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gridSpan w:val="3"/>
          </w:tcPr>
          <w:p>
            <w:pPr>
              <w:jc w:val="right"/>
              <w:ind w:right="560"/>
              <w:spacing w:after="0"/>
              <w:rPr>
                <w:sz w:val="20"/>
                <w:szCs w:val="20"/>
                <w:color w:val="auto"/>
              </w:rPr>
            </w:pPr>
            <w:r>
              <w:rPr>
                <w:rFonts w:ascii="Calibri" w:cs="Calibri" w:eastAsia="Calibri" w:hAnsi="Calibri"/>
                <w:sz w:val="18"/>
                <w:szCs w:val="18"/>
                <w:b w:val="1"/>
                <w:bCs w:val="1"/>
                <w:color w:val="auto"/>
              </w:rPr>
              <w:t>April 2, 2023</w:t>
            </w:r>
          </w:p>
        </w:tc>
      </w:tr>
      <w:tr>
        <w:trPr>
          <w:trHeight w:val="23"/>
        </w:trPr>
        <w:tc>
          <w:tcPr>
            <w:tcW w:w="7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1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Lease Term and Discount Rate</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6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Weighted average remaining lease term (years)</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6.48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7.84</w:t>
            </w:r>
          </w:p>
        </w:tc>
      </w:tr>
      <w:tr>
        <w:trPr>
          <w:trHeight w:val="237"/>
        </w:trPr>
        <w:tc>
          <w:tcPr>
            <w:tcW w:w="866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Weighted average discount rate</w:t>
            </w:r>
          </w:p>
        </w:tc>
        <w:tc>
          <w:tcPr>
            <w:tcW w:w="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95"/>
              </w:rPr>
              <w:t>4.0 %</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2.8 %</w:t>
            </w:r>
          </w:p>
        </w:tc>
      </w:tr>
      <w:tr>
        <w:trPr>
          <w:trHeight w:val="517"/>
        </w:trPr>
        <w:tc>
          <w:tcPr>
            <w:tcW w:w="8660" w:type="dxa"/>
            <w:vAlign w:val="bottom"/>
            <w:gridSpan w:val="2"/>
          </w:tcPr>
          <w:p>
            <w:pPr>
              <w:spacing w:after="0"/>
              <w:rPr>
                <w:sz w:val="20"/>
                <w:szCs w:val="20"/>
                <w:color w:val="auto"/>
              </w:rPr>
            </w:pPr>
            <w:r>
              <w:rPr>
                <w:rFonts w:ascii="Calibri" w:cs="Calibri" w:eastAsia="Calibri" w:hAnsi="Calibri"/>
                <w:sz w:val="18"/>
                <w:szCs w:val="18"/>
                <w:color w:val="auto"/>
              </w:rPr>
              <w:t>Maturites of lease liabilites as of March 31, 2024 were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866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(In thousands)</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Calibri" w:cs="Calibri" w:eastAsia="Calibri" w:hAnsi="Calibri"/>
                <w:sz w:val="18"/>
                <w:szCs w:val="18"/>
                <w:b w:val="1"/>
                <w:bCs w:val="1"/>
                <w:color w:val="auto"/>
              </w:rPr>
              <w:t>Operatng Leases</w:t>
            </w:r>
          </w:p>
        </w:tc>
      </w:tr>
      <w:tr>
        <w:trPr>
          <w:trHeight w:val="23"/>
        </w:trPr>
        <w:tc>
          <w:tcPr>
            <w:tcW w:w="866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866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Fiscal 2025</w:t>
            </w:r>
          </w:p>
        </w:tc>
        <w:tc>
          <w:tcPr>
            <w:tcW w:w="102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2,870</w:t>
            </w:r>
          </w:p>
        </w:tc>
        <w:tc>
          <w:tcPr>
            <w:tcW w:w="60" w:type="dxa"/>
            <w:vAlign w:val="bottom"/>
          </w:tcPr>
          <w:p>
            <w:pPr>
              <w:spacing w:after="0"/>
              <w:rPr>
                <w:sz w:val="19"/>
                <w:szCs w:val="19"/>
                <w:color w:val="auto"/>
              </w:rPr>
            </w:pPr>
          </w:p>
        </w:tc>
      </w:tr>
      <w:tr>
        <w:trPr>
          <w:trHeight w:val="222"/>
        </w:trPr>
        <w:tc>
          <w:tcPr>
            <w:tcW w:w="86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Fiscal 2026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2,548</w:t>
            </w:r>
          </w:p>
        </w:tc>
        <w:tc>
          <w:tcPr>
            <w:tcW w:w="60" w:type="dxa"/>
            <w:vAlign w:val="bottom"/>
          </w:tcPr>
          <w:p>
            <w:pPr>
              <w:spacing w:after="0"/>
              <w:rPr>
                <w:sz w:val="19"/>
                <w:szCs w:val="19"/>
                <w:color w:val="auto"/>
              </w:rPr>
            </w:pPr>
          </w:p>
        </w:tc>
      </w:tr>
      <w:tr>
        <w:trPr>
          <w:trHeight w:val="237"/>
        </w:trPr>
        <w:tc>
          <w:tcPr>
            <w:tcW w:w="866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Fiscal 2027</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2,079</w:t>
            </w:r>
          </w:p>
        </w:tc>
        <w:tc>
          <w:tcPr>
            <w:tcW w:w="60" w:type="dxa"/>
            <w:vAlign w:val="bottom"/>
          </w:tcPr>
          <w:p>
            <w:pPr>
              <w:spacing w:after="0"/>
              <w:rPr>
                <w:sz w:val="20"/>
                <w:szCs w:val="20"/>
                <w:color w:val="auto"/>
              </w:rPr>
            </w:pPr>
          </w:p>
        </w:tc>
      </w:tr>
      <w:tr>
        <w:trPr>
          <w:trHeight w:val="222"/>
        </w:trPr>
        <w:tc>
          <w:tcPr>
            <w:tcW w:w="86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Fiscal 2028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1,819</w:t>
            </w:r>
          </w:p>
        </w:tc>
        <w:tc>
          <w:tcPr>
            <w:tcW w:w="60" w:type="dxa"/>
            <w:vAlign w:val="bottom"/>
          </w:tcPr>
          <w:p>
            <w:pPr>
              <w:spacing w:after="0"/>
              <w:rPr>
                <w:sz w:val="19"/>
                <w:szCs w:val="19"/>
                <w:color w:val="auto"/>
              </w:rPr>
            </w:pPr>
          </w:p>
        </w:tc>
      </w:tr>
      <w:tr>
        <w:trPr>
          <w:trHeight w:val="237"/>
        </w:trPr>
        <w:tc>
          <w:tcPr>
            <w:tcW w:w="866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Fiscal 2029</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1,475</w:t>
            </w:r>
          </w:p>
        </w:tc>
        <w:tc>
          <w:tcPr>
            <w:tcW w:w="60" w:type="dxa"/>
            <w:vAlign w:val="bottom"/>
          </w:tcPr>
          <w:p>
            <w:pPr>
              <w:spacing w:after="0"/>
              <w:rPr>
                <w:sz w:val="20"/>
                <w:szCs w:val="20"/>
                <w:color w:val="auto"/>
              </w:rPr>
            </w:pPr>
          </w:p>
        </w:tc>
      </w:tr>
      <w:tr>
        <w:trPr>
          <w:trHeight w:val="223"/>
        </w:trPr>
        <w:tc>
          <w:tcPr>
            <w:tcW w:w="866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2,819</w:t>
            </w:r>
          </w:p>
        </w:tc>
        <w:tc>
          <w:tcPr>
            <w:tcW w:w="60" w:type="dxa"/>
            <w:vAlign w:val="bottom"/>
          </w:tcPr>
          <w:p>
            <w:pPr>
              <w:spacing w:after="0"/>
              <w:rPr>
                <w:sz w:val="19"/>
                <w:szCs w:val="19"/>
                <w:color w:val="auto"/>
              </w:rPr>
            </w:pPr>
          </w:p>
        </w:tc>
      </w:tr>
      <w:tr>
        <w:trPr>
          <w:trHeight w:val="229"/>
        </w:trPr>
        <w:tc>
          <w:tcPr>
            <w:tcW w:w="86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w:t>
            </w:r>
          </w:p>
        </w:tc>
        <w:tc>
          <w:tcPr>
            <w:tcW w:w="102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13,610</w:t>
            </w:r>
          </w:p>
        </w:tc>
        <w:tc>
          <w:tcPr>
            <w:tcW w:w="60" w:type="dxa"/>
            <w:vAlign w:val="bottom"/>
          </w:tcPr>
          <w:p>
            <w:pPr>
              <w:spacing w:after="0"/>
              <w:rPr>
                <w:sz w:val="19"/>
                <w:szCs w:val="19"/>
                <w:color w:val="auto"/>
              </w:rPr>
            </w:pPr>
          </w:p>
        </w:tc>
      </w:tr>
      <w:tr>
        <w:trPr>
          <w:trHeight w:val="223"/>
        </w:trPr>
        <w:tc>
          <w:tcPr>
            <w:tcW w:w="866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Less: Interest</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(1,602)</w:t>
            </w:r>
          </w:p>
        </w:tc>
        <w:tc>
          <w:tcPr>
            <w:tcW w:w="60" w:type="dxa"/>
            <w:vAlign w:val="bottom"/>
          </w:tcPr>
          <w:p>
            <w:pPr>
              <w:spacing w:after="0"/>
              <w:rPr>
                <w:sz w:val="19"/>
                <w:szCs w:val="19"/>
                <w:color w:val="auto"/>
              </w:rPr>
            </w:pPr>
          </w:p>
        </w:tc>
      </w:tr>
      <w:tr>
        <w:trPr>
          <w:trHeight w:val="254"/>
        </w:trPr>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Present value of lease liabilites</w:t>
            </w:r>
          </w:p>
        </w:tc>
        <w:tc>
          <w:tcPr>
            <w:tcW w:w="102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12,008</w:t>
            </w:r>
          </w:p>
        </w:tc>
        <w:tc>
          <w:tcPr>
            <w:tcW w:w="60" w:type="dxa"/>
            <w:vAlign w:val="bottom"/>
          </w:tcPr>
          <w:p>
            <w:pPr>
              <w:spacing w:after="0"/>
              <w:rPr>
                <w:sz w:val="21"/>
                <w:szCs w:val="2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center"/>
        <w:ind w:right="-19"/>
        <w:spacing w:after="0"/>
        <w:rPr>
          <w:sz w:val="20"/>
          <w:szCs w:val="20"/>
          <w:color w:val="auto"/>
        </w:rPr>
      </w:pPr>
      <w:r>
        <w:rPr>
          <w:rFonts w:ascii="Calibri" w:cs="Calibri" w:eastAsia="Calibri" w:hAnsi="Calibri"/>
          <w:sz w:val="18"/>
          <w:szCs w:val="18"/>
          <w:b w:val="1"/>
          <w:bCs w:val="1"/>
          <w:color w:val="auto"/>
        </w:rPr>
        <w:t>HAWKINS, INC.</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NOTES TO CONSOLIDATED FINANCIAL STATEMENTS</w:t>
      </w:r>
      <w:r>
        <w:rPr>
          <w:rFonts w:ascii="Calibri" w:cs="Calibri" w:eastAsia="Calibri" w:hAnsi="Calibri"/>
          <w:sz w:val="18"/>
          <w:szCs w:val="18"/>
          <w:b w:val="1"/>
          <w:bCs w:val="1"/>
          <w:color w:val="auto"/>
        </w:rPr>
        <w:t xml:space="preserve"> — (Contnued)</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15 — Segment Informaton</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three reportable segments: Industrial, Water Treatment and Health and Nutriton. The accountng policies of the segments are the same as those described in the summary of signifcant accountng policies. Product costs and expenses for each segment are based on actual costs incurred along with cost allocatons of shared and centralized functons.</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evaluate performance based on operatng income. Reportable segments are defned primarily by product and type of customer. Segments are responsible for the sales, marketng and development of their products and services. Other than our Health and Nutriton segment, the segments do not have separate customer service or purchasing functons. There are no intersegment sales and no operatng segments have been aggregated.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vMerge w:val="restart"/>
            <w:shd w:val="clear" w:color="auto" w:fill="CCEEFF"/>
          </w:tcPr>
          <w:p>
            <w:pPr>
              <w:ind w:left="20"/>
              <w:spacing w:after="0"/>
              <w:rPr>
                <w:sz w:val="20"/>
                <w:szCs w:val="20"/>
                <w:color w:val="auto"/>
              </w:rPr>
            </w:pPr>
            <w:r>
              <w:rPr>
                <w:rFonts w:ascii="Calibri" w:cs="Calibri" w:eastAsia="Calibri" w:hAnsi="Calibri"/>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40"/>
              <w:spacing w:after="0"/>
              <w:rPr>
                <w:sz w:val="20"/>
                <w:szCs w:val="20"/>
                <w:color w:val="auto"/>
              </w:rPr>
            </w:pPr>
            <w:r>
              <w:rPr>
                <w:rFonts w:ascii="Calibri" w:cs="Calibri" w:eastAsia="Calibri" w:hAnsi="Calibri"/>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auto"/>
              </w:rPr>
              <w:t>Water</w:t>
            </w:r>
          </w:p>
        </w:tc>
        <w:tc>
          <w:tcPr>
            <w:tcW w:w="144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b w:val="1"/>
                <w:bCs w:val="1"/>
                <w:color w:val="auto"/>
              </w:rPr>
              <w:t>Health and Nutriton</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51"/>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auto"/>
              </w:rPr>
              <w:t>Treatment</w:t>
            </w:r>
          </w:p>
        </w:tc>
        <w:tc>
          <w:tcPr>
            <w:tcW w:w="1440" w:type="dxa"/>
            <w:vAlign w:val="bottom"/>
            <w:tcBorders>
              <w:bottom w:val="single" w:sz="8" w:color="CCEEFF"/>
            </w:tcBorders>
            <w:gridSpan w:val="3"/>
            <w:vMerge w:val="continue"/>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400" w:type="dxa"/>
            <w:vAlign w:val="bottom"/>
          </w:tcPr>
          <w:p>
            <w:pPr>
              <w:ind w:left="20"/>
              <w:spacing w:after="0" w:line="150" w:lineRule="exact"/>
              <w:rPr>
                <w:sz w:val="20"/>
                <w:szCs w:val="20"/>
                <w:color w:val="auto"/>
              </w:rPr>
            </w:pPr>
            <w:r>
              <w:rPr>
                <w:rFonts w:ascii="Calibri" w:cs="Calibri" w:eastAsia="Calibri" w:hAnsi="Calibri"/>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Fiscal Year Ended March 31, 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409,465</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363,289</w:t>
            </w:r>
          </w:p>
        </w:tc>
        <w:tc>
          <w:tcPr>
            <w:tcW w:w="100" w:type="dxa"/>
            <w:vAlign w:val="bottom"/>
          </w:tcPr>
          <w:p>
            <w:pPr>
              <w:spacing w:after="0"/>
              <w:rPr>
                <w:sz w:val="19"/>
                <w:szCs w:val="19"/>
                <w:color w:val="auto"/>
              </w:rPr>
            </w:pPr>
          </w:p>
        </w:tc>
        <w:tc>
          <w:tcPr>
            <w:tcW w:w="400" w:type="dxa"/>
            <w:vAlign w:val="bottom"/>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146,408</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919,162</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67,545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98,498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27,593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193,636</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28,316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45,286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89,600</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39,229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53,212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104,036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line="215" w:lineRule="exact"/>
              <w:rPr>
                <w:sz w:val="20"/>
                <w:szCs w:val="20"/>
                <w:color w:val="auto"/>
              </w:rPr>
            </w:pPr>
            <w:r>
              <w:rPr>
                <w:rFonts w:ascii="Calibri" w:cs="Calibri" w:eastAsia="Calibri" w:hAnsi="Calibri"/>
                <w:sz w:val="18"/>
                <w:szCs w:val="18"/>
                <w:color w:val="auto"/>
              </w:rPr>
              <w:t>Identfable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03" w:lineRule="exact"/>
              <w:rPr>
                <w:sz w:val="20"/>
                <w:szCs w:val="20"/>
                <w:color w:val="auto"/>
              </w:rPr>
            </w:pPr>
            <w:r>
              <w:rPr>
                <w:rFonts w:ascii="Calibri" w:cs="Calibri" w:eastAsia="Calibri" w:hAnsi="Calibri"/>
                <w:sz w:val="18"/>
                <w:szCs w:val="18"/>
                <w:color w:val="auto"/>
              </w:rPr>
              <w:t>239,586</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03" w:lineRule="exact"/>
              <w:rPr>
                <w:sz w:val="20"/>
                <w:szCs w:val="20"/>
                <w:color w:val="auto"/>
              </w:rPr>
            </w:pPr>
            <w:r>
              <w:rPr>
                <w:rFonts w:ascii="Calibri" w:cs="Calibri" w:eastAsia="Calibri" w:hAnsi="Calibri"/>
                <w:sz w:val="18"/>
                <w:szCs w:val="18"/>
                <w:color w:val="auto"/>
              </w:rPr>
              <w:t>255,188</w:t>
            </w:r>
          </w:p>
        </w:tc>
        <w:tc>
          <w:tcPr>
            <w:tcW w:w="100" w:type="dxa"/>
            <w:vAlign w:val="bottom"/>
          </w:tcPr>
          <w:p>
            <w:pPr>
              <w:spacing w:after="0"/>
              <w:rPr>
                <w:sz w:val="17"/>
                <w:szCs w:val="17"/>
                <w:color w:val="auto"/>
              </w:rPr>
            </w:pPr>
          </w:p>
        </w:tc>
        <w:tc>
          <w:tcPr>
            <w:tcW w:w="400" w:type="dxa"/>
            <w:vAlign w:val="bottom"/>
          </w:tcPr>
          <w:p>
            <w:pPr>
              <w:jc w:val="right"/>
              <w:ind w:right="192"/>
              <w:spacing w:after="0" w:line="203"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03" w:lineRule="exact"/>
              <w:rPr>
                <w:sz w:val="20"/>
                <w:szCs w:val="20"/>
                <w:color w:val="auto"/>
              </w:rPr>
            </w:pPr>
            <w:r>
              <w:rPr>
                <w:rFonts w:ascii="Calibri" w:cs="Calibri" w:eastAsia="Calibri" w:hAnsi="Calibri"/>
                <w:sz w:val="18"/>
                <w:szCs w:val="18"/>
                <w:color w:val="auto"/>
              </w:rPr>
              <w:t>134,915</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3" w:lineRule="exact"/>
              <w:rPr>
                <w:sz w:val="20"/>
                <w:szCs w:val="20"/>
                <w:color w:val="auto"/>
              </w:rPr>
            </w:pPr>
            <w:r>
              <w:rPr>
                <w:rFonts w:ascii="Calibri" w:cs="Calibri" w:eastAsia="Calibri" w:hAnsi="Calibri"/>
                <w:sz w:val="18"/>
                <w:szCs w:val="18"/>
                <w:color w:val="auto"/>
              </w:rPr>
              <w:t>629,689</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24,280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15,739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40,151</w:t>
            </w:r>
          </w:p>
        </w:tc>
        <w:tc>
          <w:tcPr>
            <w:tcW w:w="0" w:type="dxa"/>
            <w:vAlign w:val="bottom"/>
          </w:tcPr>
          <w:p>
            <w:pPr>
              <w:spacing w:after="0"/>
              <w:rPr>
                <w:sz w:val="1"/>
                <w:szCs w:val="1"/>
                <w:color w:val="auto"/>
              </w:rPr>
            </w:pPr>
          </w:p>
        </w:tc>
      </w:tr>
      <w:tr>
        <w:trPr>
          <w:trHeight w:val="222"/>
        </w:trPr>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Fiscal Year Ended April 2, 2023:</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470,760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304,925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159,413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935,098</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68,115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67,208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29,796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165,119</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25,703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35,734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15,532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76,969</w:t>
            </w:r>
          </w:p>
        </w:tc>
        <w:tc>
          <w:tcPr>
            <w:tcW w:w="0" w:type="dxa"/>
            <w:vAlign w:val="bottom"/>
          </w:tcPr>
          <w:p>
            <w:pPr>
              <w:spacing w:after="0"/>
              <w:rPr>
                <w:sz w:val="1"/>
                <w:szCs w:val="1"/>
                <w:color w:val="auto"/>
              </w:rPr>
            </w:pPr>
          </w:p>
        </w:tc>
      </w:tr>
      <w:tr>
        <w:trPr>
          <w:trHeight w:val="223"/>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42,412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31,474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14,264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88,150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line="195" w:lineRule="exact"/>
              <w:rPr>
                <w:sz w:val="20"/>
                <w:szCs w:val="20"/>
                <w:color w:val="auto"/>
              </w:rPr>
            </w:pPr>
            <w:r>
              <w:rPr>
                <w:rFonts w:ascii="Calibri" w:cs="Calibri" w:eastAsia="Calibri" w:hAnsi="Calibri"/>
                <w:sz w:val="18"/>
                <w:szCs w:val="18"/>
                <w:color w:val="auto"/>
              </w:rPr>
              <w:t>Identfable assets*</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253,436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155,430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155,626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564,492</w:t>
            </w:r>
          </w:p>
        </w:tc>
        <w:tc>
          <w:tcPr>
            <w:tcW w:w="0" w:type="dxa"/>
            <w:vAlign w:val="bottom"/>
          </w:tcPr>
          <w:p>
            <w:pPr>
              <w:spacing w:after="0"/>
              <w:rPr>
                <w:sz w:val="1"/>
                <w:szCs w:val="1"/>
                <w:color w:val="auto"/>
              </w:rPr>
            </w:pPr>
          </w:p>
        </w:tc>
      </w:tr>
      <w:tr>
        <w:trPr>
          <w:trHeight w:val="222"/>
        </w:trPr>
        <w:tc>
          <w:tcPr>
            <w:tcW w:w="5400" w:type="dxa"/>
            <w:vAlign w:val="bottom"/>
          </w:tcPr>
          <w:p>
            <w:pPr>
              <w:ind w:left="300"/>
              <w:spacing w:after="0" w:line="215" w:lineRule="exact"/>
              <w:rPr>
                <w:sz w:val="20"/>
                <w:szCs w:val="20"/>
                <w:color w:val="auto"/>
              </w:rPr>
            </w:pPr>
            <w:r>
              <w:rPr>
                <w:rFonts w:ascii="Calibri" w:cs="Calibri" w:eastAsia="Calibri" w:hAnsi="Calibri"/>
                <w:sz w:val="18"/>
                <w:szCs w:val="18"/>
                <w:color w:val="auto"/>
              </w:rPr>
              <w:t>Capital expenditures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31,635</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16,311</w:t>
            </w:r>
          </w:p>
        </w:tc>
        <w:tc>
          <w:tcPr>
            <w:tcW w:w="100" w:type="dxa"/>
            <w:vAlign w:val="bottom"/>
          </w:tcPr>
          <w:p>
            <w:pPr>
              <w:spacing w:after="0"/>
              <w:rPr>
                <w:sz w:val="19"/>
                <w:szCs w:val="19"/>
                <w:color w:val="auto"/>
              </w:rPr>
            </w:pPr>
          </w:p>
        </w:tc>
        <w:tc>
          <w:tcPr>
            <w:tcW w:w="400" w:type="dxa"/>
            <w:vAlign w:val="bottom"/>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375</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48,321</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Fiscal Year Ended April 3, 2022:</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386,938</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228,133</w:t>
            </w:r>
          </w:p>
        </w:tc>
        <w:tc>
          <w:tcPr>
            <w:tcW w:w="100" w:type="dxa"/>
            <w:vAlign w:val="bottom"/>
          </w:tcPr>
          <w:p>
            <w:pPr>
              <w:spacing w:after="0"/>
              <w:rPr>
                <w:sz w:val="19"/>
                <w:szCs w:val="19"/>
                <w:color w:val="auto"/>
              </w:rPr>
            </w:pPr>
          </w:p>
        </w:tc>
        <w:tc>
          <w:tcPr>
            <w:tcW w:w="400" w:type="dxa"/>
            <w:vAlign w:val="bottom"/>
          </w:tcPr>
          <w:p>
            <w:pPr>
              <w:jc w:val="right"/>
              <w:ind w:right="192"/>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159,470</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774,541</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59,606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54,571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32,343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146,520</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28,127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31,357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75,326</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31,479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71,194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line="215" w:lineRule="exact"/>
              <w:rPr>
                <w:sz w:val="20"/>
                <w:szCs w:val="20"/>
                <w:color w:val="auto"/>
              </w:rPr>
            </w:pPr>
            <w:r>
              <w:rPr>
                <w:rFonts w:ascii="Calibri" w:cs="Calibri" w:eastAsia="Calibri" w:hAnsi="Calibri"/>
                <w:sz w:val="18"/>
                <w:szCs w:val="18"/>
                <w:color w:val="auto"/>
              </w:rPr>
              <w:t>Identfable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03" w:lineRule="exact"/>
              <w:rPr>
                <w:sz w:val="20"/>
                <w:szCs w:val="20"/>
                <w:color w:val="auto"/>
              </w:rPr>
            </w:pPr>
            <w:r>
              <w:rPr>
                <w:rFonts w:ascii="Calibri" w:cs="Calibri" w:eastAsia="Calibri" w:hAnsi="Calibri"/>
                <w:sz w:val="18"/>
                <w:szCs w:val="18"/>
                <w:color w:val="auto"/>
              </w:rPr>
              <w:t>236,934</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03" w:lineRule="exact"/>
              <w:rPr>
                <w:sz w:val="20"/>
                <w:szCs w:val="20"/>
                <w:color w:val="auto"/>
              </w:rPr>
            </w:pPr>
            <w:r>
              <w:rPr>
                <w:rFonts w:ascii="Calibri" w:cs="Calibri" w:eastAsia="Calibri" w:hAnsi="Calibri"/>
                <w:sz w:val="18"/>
                <w:szCs w:val="18"/>
                <w:color w:val="auto"/>
              </w:rPr>
              <w:t>143,889</w:t>
            </w:r>
          </w:p>
        </w:tc>
        <w:tc>
          <w:tcPr>
            <w:tcW w:w="100" w:type="dxa"/>
            <w:vAlign w:val="bottom"/>
          </w:tcPr>
          <w:p>
            <w:pPr>
              <w:spacing w:after="0"/>
              <w:rPr>
                <w:sz w:val="17"/>
                <w:szCs w:val="17"/>
                <w:color w:val="auto"/>
              </w:rPr>
            </w:pPr>
          </w:p>
        </w:tc>
        <w:tc>
          <w:tcPr>
            <w:tcW w:w="400" w:type="dxa"/>
            <w:vAlign w:val="bottom"/>
          </w:tcPr>
          <w:p>
            <w:pPr>
              <w:jc w:val="right"/>
              <w:ind w:right="192"/>
              <w:spacing w:after="0" w:line="203"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03" w:lineRule="exact"/>
              <w:rPr>
                <w:sz w:val="20"/>
                <w:szCs w:val="20"/>
                <w:color w:val="auto"/>
              </w:rPr>
            </w:pPr>
            <w:r>
              <w:rPr>
                <w:rFonts w:ascii="Calibri" w:cs="Calibri" w:eastAsia="Calibri" w:hAnsi="Calibri"/>
                <w:sz w:val="18"/>
                <w:szCs w:val="18"/>
                <w:color w:val="auto"/>
              </w:rPr>
              <w:t>167,034</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3" w:lineRule="exact"/>
              <w:rPr>
                <w:sz w:val="20"/>
                <w:szCs w:val="20"/>
                <w:color w:val="auto"/>
              </w:rPr>
            </w:pPr>
            <w:r>
              <w:rPr>
                <w:rFonts w:ascii="Calibri" w:cs="Calibri" w:eastAsia="Calibri" w:hAnsi="Calibri"/>
                <w:sz w:val="18"/>
                <w:szCs w:val="18"/>
                <w:color w:val="auto"/>
              </w:rPr>
              <w:t>547,857</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18,812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8,939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28,512</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00" w:firstLine="8"/>
        <w:spacing w:after="0" w:line="235" w:lineRule="auto"/>
        <w:tabs>
          <w:tab w:leader="none" w:pos="127"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Unallocated assets not included, consistng primarily of cash and cash equivalents, prepaid expenses, and non-qualifed deferred compensaton plan assets of $28.2 million at March 31, 2024, $26.0 million at April 2, 2023 and $19.5 million at April 3, 2022</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b w:val="1"/>
          <w:bCs w:val="1"/>
          <w:color w:val="auto"/>
        </w:rPr>
        <w:t xml:space="preserve">ITEM 9. </w:t>
      </w:r>
      <w:r>
        <w:rPr>
          <w:rFonts w:ascii="Calibri" w:cs="Calibri" w:eastAsia="Calibri" w:hAnsi="Calibri"/>
          <w:sz w:val="18"/>
          <w:szCs w:val="18"/>
          <w:b w:val="1"/>
          <w:bCs w:val="1"/>
          <w:i w:val="1"/>
          <w:iCs w:val="1"/>
          <w:color w:val="auto"/>
        </w:rPr>
        <w:t>CHANGES IN AND DISAGREEMENTS WITH ACCOUNTANTS ON ACCOUNTING AND FINANCIAL DISCLOSURE</w:t>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None.</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9A. </w:t>
      </w:r>
      <w:r>
        <w:rPr>
          <w:rFonts w:ascii="Calibri" w:cs="Calibri" w:eastAsia="Calibri" w:hAnsi="Calibri"/>
          <w:sz w:val="18"/>
          <w:szCs w:val="18"/>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the end of the period covered by this Annual Report on Form 10-K, we conducted an evaluaton, under supervision and with the partcipaton of management, including the chief executve ofcer and chief fnancial ofcer, of the efectveness of the design and operaton of our disclosure controls and procedures pursuant to Rules 13a-15(f) and 15d-15(f) of the Exchange Act. Based upon that evaluaton, our chief executve ofcer and chief fnancial ofcer concluded that our disclosure controls and procedures are efectve.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Report on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as defned in Rules 13a-15(f) and 15d-15(f) of the Securites Exchange Act. Our internal control over fnancial reportng is designed to provide reasonable assurance regarding the reliability of fnancial reportng and the preparaton of fnancial statements for external purposes in accordance with generally accepted accountng principles. Our internal control over fnancial reportng includes those policies and procedures that (1) pertain to maintenance of records that, in reasonable detail, accurately and fairly refect the transactons and dispositons of our assets; (2) provide reasonable assurance that transactons are recorded as necessary to permit preparaton of the fnancial statements in accordance with generally accepted accountng principles, and that our receipts and expenditures are being made only in accordance with authorizatons of our management and directors; and (3) provide reasonable assurance regarding preventon or tmely detecton of unauthorized acquisiton, use or dispositon of our assets that could have a material efect on the fnancial statements.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Projectons of any evaluaton of the efectveness of internal control over fnancial reportng to future periods are subject to the risk that the controls may become inadequate because of changes in conditons, or that the degree of compliance with the policies or procedures may deteriorate.</w:t>
      </w:r>
    </w:p>
    <w:p>
      <w:pPr>
        <w:spacing w:after="0" w:line="97"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 xml:space="preserve">Management assessed the efectveness of our internal control over fnancial reportng as of March 31, 2024, based on the criteria described in </w:t>
      </w:r>
      <w:r>
        <w:rPr>
          <w:rFonts w:ascii="Calibri" w:cs="Calibri" w:eastAsia="Calibri" w:hAnsi="Calibri"/>
          <w:sz w:val="18"/>
          <w:szCs w:val="18"/>
          <w:i w:val="1"/>
          <w:iCs w:val="1"/>
          <w:color w:val="auto"/>
        </w:rPr>
        <w:t>Internal</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Control - Integrated Framework (2013) </w:t>
      </w:r>
      <w:r>
        <w:rPr>
          <w:rFonts w:ascii="Calibri" w:cs="Calibri" w:eastAsia="Calibri" w:hAnsi="Calibri"/>
          <w:sz w:val="18"/>
          <w:szCs w:val="18"/>
          <w:color w:val="auto"/>
        </w:rPr>
        <w:t>issued by the Commitee of Sponsoring Organizatons of the Treadway Commission. In making this assessment as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March 31, 2024, we have excluded the water treatment operatons acquired from Water Solutons and Miami Products in October 2023 and Industrial Research acquired in March 2024. The fnancial statements of these businesses comprise less than 15% of total assets and less than 2% of total revenues in our consolidated fnancial amounts as of and for the year ended March 31, 2024. We have excluded these businesses because we have not had sufcient tme to make an assessment of their internal controls using the COSO criteria in accordance with Secton 404 of the Sarbanes-Oxley Act of 2002. In excluding these businesses from our assessment, we have considered the “Frequently Asked Questons” as set forth by the ofce of the Chief Accountant and the Division of Corporate Finance on June 24, 2004, as revised on September 24, 2007, which acknowledges that it may not be possible to conduct an assessment of an acquired business’s internal control over fnancial reportng in the period between the consummaton date and the date of management’s assessment and contemplates that such business would be excluded from management’s assessment in the year of acquisiton. Based on this assessment, management believes that our internal control over fnancial reportng was efectve as of March 31,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independent registered public accountng frm has issued an atestaton report on our internal control over fnancial reportng for March 31, 2024 which is included in the Report of Independent Registered Public Accountng Firm in Item 8 of this Annual Report on 10-K.</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was no change in our internal control over fnancial reportng during the fourth quarter of fscal 2024 that has materially afected, or is reasonably likely to materially afect, our internal control over fnancial reportng.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b w:val="1"/>
          <w:bCs w:val="1"/>
          <w:color w:val="auto"/>
        </w:rPr>
        <w:t xml:space="preserve">ITEM 9B. </w:t>
      </w:r>
      <w:r>
        <w:rPr>
          <w:rFonts w:ascii="Calibri" w:cs="Calibri" w:eastAsia="Calibri" w:hAnsi="Calibri"/>
          <w:sz w:val="18"/>
          <w:szCs w:val="18"/>
          <w:b w:val="1"/>
          <w:bCs w:val="1"/>
          <w:i w:val="1"/>
          <w:iCs w:val="1"/>
          <w:color w:val="auto"/>
        </w:rPr>
        <w:t>OTHER INFORMATION</w:t>
      </w:r>
    </w:p>
    <w:p>
      <w:pPr>
        <w:spacing w:after="0" w:line="96"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None of the Company’s directors or ofcers (as defned in Rule 16a-1(f) of the Exchange Act) adopted, modifed or terminated any contract, instructon, or writen plan for the purchase or sale of the Company’s securites that was intended to satsfy the afrmatve defense conditons of Rule 10b5-1(c) of the Exchange Act or any non-Rule 10b5-1 trading arrangement (as defned in Item 408(c) of Regulaton S-K) during the quarter ended March 31, 2024.</w:t>
      </w:r>
    </w:p>
    <w:p>
      <w:pPr>
        <w:spacing w:after="0" w:line="3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9C. </w:t>
      </w:r>
      <w:r>
        <w:rPr>
          <w:rFonts w:ascii="Calibri" w:cs="Calibri" w:eastAsia="Calibri" w:hAnsi="Calibri"/>
          <w:sz w:val="18"/>
          <w:szCs w:val="18"/>
          <w:b w:val="1"/>
          <w:bCs w:val="1"/>
          <w:i w:val="1"/>
          <w:iCs w:val="1"/>
          <w:color w:val="auto"/>
        </w:rPr>
        <w:t>DISCLOSURE REGARDING FOREIGN JURISDICTIONS THAT PREVENT INSPECTIONS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30" w:right="619" w:bottom="1440" w:gutter="0" w:footer="0" w:header="0"/>
        </w:sectPr>
      </w:pPr>
    </w:p>
    <w:bookmarkStart w:id="52" w:name="page53"/>
    <w:bookmarkEnd w:id="52"/>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informaton required by Part III is incorporated by reference from Hawkins’ defnitve Proxy Statement for the Annual Meetng of Shareholders to be held on July 31, 2024 (the “2024 Proxy Statement”). Except for those portons specifcally incorporated in this Form 10-K by reference to the 2024 Proxy Statement, no other portons of the 2024 Proxy Statement are deemed to be fled as part of this Form 10-K.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10. </w:t>
      </w:r>
      <w:r>
        <w:rPr>
          <w:rFonts w:ascii="Calibri" w:cs="Calibri" w:eastAsia="Calibri" w:hAnsi="Calibri"/>
          <w:sz w:val="18"/>
          <w:szCs w:val="18"/>
          <w:b w:val="1"/>
          <w:bCs w:val="1"/>
          <w:i w:val="1"/>
          <w:iCs w:val="1"/>
          <w:color w:val="auto"/>
        </w:rPr>
        <w:t>DIRECTORS, EXECUTIVE OFFICERS, AND CORPORATE GOVERNANCE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Our current executve ofcers, their ages and ofces held, are set forth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6"/>
                <w:szCs w:val="16"/>
                <w:b w:val="1"/>
                <w:bCs w:val="1"/>
                <w:color w:val="auto"/>
              </w:rPr>
              <w:t>Name</w:t>
            </w:r>
          </w:p>
        </w:tc>
        <w:tc>
          <w:tcPr>
            <w:tcW w:w="1760" w:type="dxa"/>
            <w:vAlign w:val="bottom"/>
            <w:gridSpan w:val="3"/>
            <w:shd w:val="clear" w:color="auto" w:fill="CCEEFF"/>
          </w:tcPr>
          <w:p>
            <w:pPr>
              <w:ind w:left="940"/>
              <w:spacing w:after="0"/>
              <w:rPr>
                <w:sz w:val="20"/>
                <w:szCs w:val="20"/>
                <w:color w:val="auto"/>
              </w:rPr>
            </w:pPr>
            <w:r>
              <w:rPr>
                <w:rFonts w:ascii="Calibri" w:cs="Calibri" w:eastAsia="Calibri" w:hAnsi="Calibri"/>
                <w:sz w:val="16"/>
                <w:szCs w:val="16"/>
                <w:b w:val="1"/>
                <w:bCs w:val="1"/>
                <w:color w:val="auto"/>
              </w:rPr>
              <w:t>Age</w:t>
            </w: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6"/>
                <w:szCs w:val="16"/>
                <w:b w:val="1"/>
                <w:bCs w:val="1"/>
                <w:color w:val="auto"/>
              </w:rPr>
              <w:t>Ofce</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5420" w:type="dxa"/>
            <w:vAlign w:val="bottom"/>
            <w:tcBorders>
              <w:top w:val="single" w:sz="8" w:color="CCEEFF"/>
            </w:tcBorders>
            <w:shd w:val="clear" w:color="auto" w:fill="CCEEFF"/>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Patrick H. Hawkins</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53</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Chief Executve Ofcer and President</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Jefrey P. Oldenkamp</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51</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Executve Vice President, Chief Financial Ofcer and Treasurer</w:t>
            </w: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Richard G. Erstad</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Vice President, General Counsel and Secretary</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Drew M. Grahek</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54</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Vice President — Operatons</w:t>
            </w: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Douglas A. Lange</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54</w:t>
            </w:r>
          </w:p>
        </w:tc>
        <w:tc>
          <w:tcPr>
            <w:tcW w:w="560" w:type="dxa"/>
            <w:vAlign w:val="bottom"/>
          </w:tcPr>
          <w:p>
            <w:pPr>
              <w:spacing w:after="0"/>
              <w:rPr>
                <w:sz w:val="19"/>
                <w:szCs w:val="19"/>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Vice President — Water Treatment Group</w:t>
            </w: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David J. Mangine</w:t>
            </w:r>
          </w:p>
        </w:tc>
        <w:tc>
          <w:tcPr>
            <w:tcW w:w="120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66</w:t>
            </w:r>
          </w:p>
        </w:tc>
        <w:tc>
          <w:tcPr>
            <w:tcW w:w="5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560"/>
              <w:spacing w:after="0"/>
              <w:rPr>
                <w:sz w:val="20"/>
                <w:szCs w:val="20"/>
                <w:color w:val="auto"/>
              </w:rPr>
            </w:pPr>
            <w:r>
              <w:rPr>
                <w:rFonts w:ascii="Calibri" w:cs="Calibri" w:eastAsia="Calibri" w:hAnsi="Calibri"/>
                <w:sz w:val="18"/>
                <w:szCs w:val="18"/>
                <w:color w:val="auto"/>
              </w:rPr>
              <w:t>Vice President — Industrial Group</w:t>
            </w:r>
          </w:p>
        </w:tc>
      </w:tr>
      <w:tr>
        <w:trPr>
          <w:trHeight w:val="215"/>
        </w:trPr>
        <w:tc>
          <w:tcPr>
            <w:tcW w:w="20" w:type="dxa"/>
            <w:vAlign w:val="bottom"/>
          </w:tcPr>
          <w:p>
            <w:pPr>
              <w:spacing w:after="0"/>
              <w:rPr>
                <w:sz w:val="18"/>
                <w:szCs w:val="18"/>
                <w:color w:val="auto"/>
              </w:rPr>
            </w:pPr>
          </w:p>
        </w:tc>
        <w:tc>
          <w:tcPr>
            <w:tcW w:w="2420" w:type="dxa"/>
            <w:vAlign w:val="bottom"/>
            <w:gridSpan w:val="2"/>
          </w:tcPr>
          <w:p>
            <w:pPr>
              <w:spacing w:after="0" w:line="215" w:lineRule="exact"/>
              <w:rPr>
                <w:sz w:val="20"/>
                <w:szCs w:val="20"/>
                <w:color w:val="auto"/>
              </w:rPr>
            </w:pPr>
            <w:r>
              <w:rPr>
                <w:rFonts w:ascii="Calibri" w:cs="Calibri" w:eastAsia="Calibri" w:hAnsi="Calibri"/>
                <w:sz w:val="18"/>
                <w:szCs w:val="18"/>
                <w:color w:val="auto"/>
              </w:rPr>
              <w:t>Shirley A. Rozeboom</w:t>
            </w:r>
          </w:p>
        </w:tc>
        <w:tc>
          <w:tcPr>
            <w:tcW w:w="120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62</w:t>
            </w:r>
          </w:p>
        </w:tc>
        <w:tc>
          <w:tcPr>
            <w:tcW w:w="560" w:type="dxa"/>
            <w:vAlign w:val="bottom"/>
          </w:tcPr>
          <w:p>
            <w:pPr>
              <w:spacing w:after="0"/>
              <w:rPr>
                <w:sz w:val="18"/>
                <w:szCs w:val="18"/>
                <w:color w:val="auto"/>
              </w:rPr>
            </w:pPr>
          </w:p>
        </w:tc>
        <w:tc>
          <w:tcPr>
            <w:tcW w:w="6380" w:type="dxa"/>
            <w:vAlign w:val="bottom"/>
            <w:gridSpan w:val="3"/>
          </w:tcPr>
          <w:p>
            <w:pPr>
              <w:ind w:left="560"/>
              <w:spacing w:after="0" w:line="215" w:lineRule="exact"/>
              <w:rPr>
                <w:sz w:val="20"/>
                <w:szCs w:val="20"/>
                <w:color w:val="auto"/>
              </w:rPr>
            </w:pPr>
            <w:r>
              <w:rPr>
                <w:rFonts w:ascii="Calibri" w:cs="Calibri" w:eastAsia="Calibri" w:hAnsi="Calibri"/>
                <w:sz w:val="18"/>
                <w:szCs w:val="18"/>
                <w:color w:val="auto"/>
              </w:rPr>
              <w:t>Vice President — Health and Nutriton</w:t>
            </w:r>
          </w:p>
        </w:tc>
      </w:tr>
    </w:tbl>
    <w:p>
      <w:pPr>
        <w:spacing w:after="0" w:line="3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Patrick H. Hawkins </w:t>
      </w:r>
      <w:r>
        <w:rPr>
          <w:rFonts w:ascii="Calibri" w:cs="Calibri" w:eastAsia="Calibri" w:hAnsi="Calibri"/>
          <w:sz w:val="18"/>
          <w:szCs w:val="18"/>
          <w:color w:val="auto"/>
        </w:rPr>
        <w:t>has been our Chief Executve Ofcer and President and member of our board since 2011. Mr. Hawkins has held the positon of President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since 2010. He joined the Company in 1992 and served as the Business Director - Food and Pharmaceutcals, a positon he held from 2009 to 2010. Previously he served as Business Manager - Food and Co-Extrusion Products from 2007 to 2009 and Sales Representatve - Food Ingredients from 2002 to 2007. He previously served the Company in various other capacites, including Plant Manager, Quality Director and Technical Director.</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Jefrey P. Oldenkamp </w:t>
      </w:r>
      <w:r>
        <w:rPr>
          <w:rFonts w:ascii="Calibri" w:cs="Calibri" w:eastAsia="Calibri" w:hAnsi="Calibri"/>
          <w:sz w:val="18"/>
          <w:szCs w:val="18"/>
          <w:color w:val="auto"/>
        </w:rPr>
        <w:t>has been our Executve Vice President, Chief Financial Ofcer and Treasurer since October 2021. Mr. Oldenkamp joined Hawkins in May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2017 and assumed the role of Chief Financial Ofcer, Vice President and Treasurer in June 2017. Prior to joining Hawkins, Mr. Oldenkamp was with MTS Systems Corporaton, a supplier of high-performance test systems and sensors, where he served as Chief Financial Ofcer from 2015 to May 2017 and as Vice President of Finance for the MTS Test business from 2014 to 2015, and with Nilfsk-Advance, Inc., a global manufacturer of professional cleaning equipment, where he served as Americas Operatons Chief Financial Ofcer and Vice President from 2012 to 2014.</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Richard G. Erstad </w:t>
      </w:r>
      <w:r>
        <w:rPr>
          <w:rFonts w:ascii="Calibri" w:cs="Calibri" w:eastAsia="Calibri" w:hAnsi="Calibri"/>
          <w:sz w:val="18"/>
          <w:szCs w:val="18"/>
          <w:color w:val="auto"/>
        </w:rPr>
        <w:t>has been our Vice President, General Counsel and Secretary since 2008. Mr. Erstad was General Counsel and Secretary of BUCA, Inc.,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restaurant company, from 2005 to 2008. Mr. Erstad had previously been an atorney with the corporate group of Faegre &amp; Benson LLP, a law frm, from 1996 to 2005, where his practce focused on securites law and mergers and acquisitons. He is a member of the Minnesota Bar.</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Drew M. Grahek </w:t>
      </w:r>
      <w:r>
        <w:rPr>
          <w:rFonts w:ascii="Calibri" w:cs="Calibri" w:eastAsia="Calibri" w:hAnsi="Calibri"/>
          <w:sz w:val="18"/>
          <w:szCs w:val="18"/>
          <w:color w:val="auto"/>
        </w:rPr>
        <w:t>has been our Vice President - Operatons since September 2018. Prior to joining Hawkins, Mr. Grahek was Adjunct Faculty at the University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 Minnesota College of Contnuing Educaton and a Business Administrator in the Archdiocese of St. Paul and Minneapolis from June 2017 to June 2018; Director of Service Operatons and Supply Chain with Ulta Beauty, Inc. from April 2016 to June 2017; and Director of Stores with Field and Stream Outdoor Stores, a division of Dick’s Sportng Goods, Inc. from July 2015 to April 2016. Previously, he spent a total of 23 years at Target Corporaton in a variety of operatons, merchandising and property management positons.</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Douglas A. Lange </w:t>
      </w:r>
      <w:r>
        <w:rPr>
          <w:rFonts w:ascii="Calibri" w:cs="Calibri" w:eastAsia="Calibri" w:hAnsi="Calibri"/>
          <w:sz w:val="18"/>
          <w:szCs w:val="18"/>
          <w:color w:val="auto"/>
        </w:rPr>
        <w:t>has been our Vice President - Water Treatment Group since June 2020. Prior to ataining this positon, Mr. Lange served the Company 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General Manager and Product Development Manager for the Water Treatment Group afer joining the company in January 2019. Prior to joining the Company, Mr. Lange was with H.B. Fuller Company, a global supplier of special adhesives, where he served as Global Marketng Manager and Product Manager for specialty markets in electronics and wood products from 2011 to January 2019. Mr. Lange served in various roles in the specialty adhesives market for a total of 21 years prior to joining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3" w:name="page54"/>
    <w:bookmarkEnd w:id="53"/>
    <w:p>
      <w:pPr>
        <w:jc w:val="both"/>
        <w:spacing w:after="0" w:line="227" w:lineRule="auto"/>
        <w:rPr>
          <w:sz w:val="20"/>
          <w:szCs w:val="20"/>
          <w:color w:val="auto"/>
        </w:rPr>
      </w:pPr>
      <w:r>
        <w:rPr>
          <w:rFonts w:ascii="Calibri" w:cs="Calibri" w:eastAsia="Calibri" w:hAnsi="Calibri"/>
          <w:sz w:val="18"/>
          <w:szCs w:val="18"/>
          <w:i w:val="1"/>
          <w:iCs w:val="1"/>
          <w:color w:val="auto"/>
        </w:rPr>
        <w:t xml:space="preserve">David J. Mangine </w:t>
      </w:r>
      <w:r>
        <w:rPr>
          <w:rFonts w:ascii="Calibri" w:cs="Calibri" w:eastAsia="Calibri" w:hAnsi="Calibri"/>
          <w:sz w:val="18"/>
          <w:szCs w:val="18"/>
          <w:color w:val="auto"/>
        </w:rPr>
        <w:t>has been our Vice President - Industrial Group since 2021. Prior to ataining this positon, Mr. Mangine served as the Industrial Sales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Manager from 2011 to 2021, afer joining Hawkins in 2000 as an Account Manager.</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Shirley A. Rozeboom </w:t>
      </w:r>
      <w:r>
        <w:rPr>
          <w:rFonts w:ascii="Calibri" w:cs="Calibri" w:eastAsia="Calibri" w:hAnsi="Calibri"/>
          <w:sz w:val="18"/>
          <w:szCs w:val="18"/>
          <w:color w:val="auto"/>
        </w:rPr>
        <w:t>has been our Vice President - Health and Nutriton since 2019. Prior to ataining this positon, Ms. Rozeboom held the positon of Senior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Vice President of Sales for Stauber from 2012 to 2019, Director of Sales from 2008 to 2012 and Account Executve from 2000 to 2008.</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disclosure under the headings “Electon of Directors,” “Corporate Governance,” and, if applicable, “Delinquent Secton 16(a) Reports” of the 2024 Proxy Statement is incorporated herein by reference.</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adopted a Code of Business Conduct and Ethics that applies to all of our directors and employees, including our principal executve ofcer, principal fnancial ofcer, controller and other persons performing similar functons. We have posted the Code of Business Conduct and Ethics on our website located at www.hawkinsinc.com. Hawkins’ Code of Business Conduct and Ethics is also available in print to any shareholder who requests it in writng from our Corporate Secretary. We intend to post on our website any amendment to, or waiver from, a provision of our Code of Business Conduct and Ethics that applies to our principal executve ofcer, principal fnancial ofcer, controller and other persons performing similar functons within four business days following the date of such amendment or waiver. We are not including the informaton contained on our website as part of, or incorporatng it by reference into, this report.</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11. </w:t>
      </w:r>
      <w:r>
        <w:rPr>
          <w:rFonts w:ascii="Calibri" w:cs="Calibri" w:eastAsia="Calibri" w:hAnsi="Calibri"/>
          <w:sz w:val="18"/>
          <w:szCs w:val="18"/>
          <w:b w:val="1"/>
          <w:bCs w:val="1"/>
          <w:i w:val="1"/>
          <w:iCs w:val="1"/>
          <w:color w:val="auto"/>
        </w:rPr>
        <w:t>EXECUTIVE COMPENSATION</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disclosure under the heading “Compensaton of Executve Ofcers and Directors” in the 2024 Proxy Statement is incorporated herein by reference.</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12. </w:t>
      </w:r>
      <w:r>
        <w:rPr>
          <w:rFonts w:ascii="Calibri" w:cs="Calibri" w:eastAsia="Calibri" w:hAnsi="Calibri"/>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disclosure under the headings “Security Ownership of Management and Benefcial Ownership” and “Equity Compensaton Plan Informaton” in the 2024 Proxy Statement is incorporated herein by reference.</w:t>
      </w:r>
    </w:p>
    <w:p>
      <w:pPr>
        <w:spacing w:after="0" w:line="2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13. </w:t>
      </w:r>
      <w:r>
        <w:rPr>
          <w:rFonts w:ascii="Calibri" w:cs="Calibri" w:eastAsia="Calibri" w:hAnsi="Calibri"/>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spacing w:after="0"/>
        <w:rPr>
          <w:sz w:val="20"/>
          <w:szCs w:val="20"/>
          <w:color w:val="auto"/>
        </w:rPr>
      </w:pPr>
      <w:r>
        <w:rPr>
          <w:rFonts w:ascii="Calibri" w:cs="Calibri" w:eastAsia="Calibri" w:hAnsi="Calibri"/>
          <w:sz w:val="17"/>
          <w:szCs w:val="17"/>
          <w:color w:val="auto"/>
        </w:rPr>
        <w:t>The disclosure under the headings “Electon of Directors” and “Related Party Transactons” of the 2024 Proxy Statement is incorporated herein by reference.</w:t>
      </w: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14. </w:t>
      </w:r>
      <w:r>
        <w:rPr>
          <w:rFonts w:ascii="Calibri" w:cs="Calibri" w:eastAsia="Calibri" w:hAnsi="Calibri"/>
          <w:sz w:val="18"/>
          <w:szCs w:val="18"/>
          <w:b w:val="1"/>
          <w:bCs w:val="1"/>
          <w:i w:val="1"/>
          <w:i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Calibri" w:cs="Calibri" w:eastAsia="Calibri" w:hAnsi="Calibri"/>
          <w:sz w:val="17"/>
          <w:szCs w:val="17"/>
          <w:color w:val="auto"/>
        </w:rPr>
        <w:t>The disclosure under the heading “Independent Registered Public Accountng Firm’s Fees” of the 2024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4" w:name="page55"/>
    <w:bookmarkEnd w:id="54"/>
    <w:p>
      <w:pPr>
        <w:jc w:val="center"/>
        <w:ind w:right="-179"/>
        <w:spacing w:after="0"/>
        <w:rPr>
          <w:sz w:val="20"/>
          <w:szCs w:val="20"/>
          <w:color w:val="auto"/>
        </w:rPr>
      </w:pPr>
      <w:r>
        <w:rPr>
          <w:rFonts w:ascii="Calibri" w:cs="Calibri" w:eastAsia="Calibri" w:hAnsi="Calibri"/>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15. </w:t>
      </w:r>
      <w:r>
        <w:rPr>
          <w:rFonts w:ascii="Calibri" w:cs="Calibri" w:eastAsia="Calibri" w:hAnsi="Calibri"/>
          <w:sz w:val="18"/>
          <w:szCs w:val="18"/>
          <w:b w:val="1"/>
          <w:bCs w:val="1"/>
          <w:i w:val="1"/>
          <w:iCs w:val="1"/>
          <w:color w:val="auto"/>
        </w:rPr>
        <w:t>EXHIBITS AND FINANCIAL STATEMENT SCHEDULES</w:t>
      </w:r>
    </w:p>
    <w:p>
      <w:pPr>
        <w:spacing w:after="0" w:line="37" w:lineRule="exact"/>
        <w:rPr>
          <w:sz w:val="20"/>
          <w:szCs w:val="20"/>
          <w:color w:val="auto"/>
        </w:rPr>
      </w:pPr>
    </w:p>
    <w:p>
      <w:pPr>
        <w:ind w:left="20"/>
        <w:spacing w:after="0"/>
        <w:tabs>
          <w:tab w:leader="none" w:pos="1320" w:val="left"/>
        </w:tabs>
        <w:rPr>
          <w:sz w:val="20"/>
          <w:szCs w:val="20"/>
          <w:color w:val="auto"/>
        </w:rPr>
      </w:pPr>
      <w:r>
        <w:rPr>
          <w:rFonts w:ascii="Calibri" w:cs="Calibri" w:eastAsia="Calibri" w:hAnsi="Calibri"/>
          <w:sz w:val="18"/>
          <w:szCs w:val="18"/>
          <w:color w:val="auto"/>
        </w:rPr>
        <w:t>(a)(1)</w:t>
      </w:r>
      <w:r>
        <w:rPr>
          <w:sz w:val="20"/>
          <w:szCs w:val="20"/>
          <w:color w:val="auto"/>
        </w:rPr>
        <w:tab/>
      </w:r>
      <w:r>
        <w:rPr>
          <w:rFonts w:ascii="Calibri" w:cs="Calibri" w:eastAsia="Calibri" w:hAnsi="Calibri"/>
          <w:sz w:val="18"/>
          <w:szCs w:val="18"/>
          <w:color w:val="auto"/>
        </w:rPr>
        <w:t>FINANCIAL STATEMENTS OF THE COMPANY</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The following fnancial statements of Hawkins, Inc. are fled as part of this Annual Report on Form 10-K:</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Reports of Independent Registered Public Accountng Firms.</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Balance Sheets at March 31, 2024 and April 2, 2023.</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Income for the fscal years ended March 31, 2024, April 2, 2023 and April 3, 2022.</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Comprehensive Income for the fscal years ended March 31, 2024, April 2, 2023 and April 3, 2022.</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Shareholders’ Equity for the fscal years ended March 31, 2024, April 2, 2023, and April 3, 2022.</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Consolidated Statements of Cash Flows for the fscal years ended March 31, 2024, April 2, 2023, and April 3, 2022.</w:t>
      </w:r>
    </w:p>
    <w:p>
      <w:pPr>
        <w:spacing w:after="0" w:line="118"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Notes to Consolidated Financial Statements.</w:t>
      </w:r>
    </w:p>
    <w:p>
      <w:pPr>
        <w:spacing w:after="0" w:line="64" w:lineRule="exact"/>
        <w:rPr>
          <w:sz w:val="20"/>
          <w:szCs w:val="20"/>
          <w:color w:val="auto"/>
        </w:rPr>
      </w:pPr>
    </w:p>
    <w:p>
      <w:pPr>
        <w:ind w:left="20"/>
        <w:spacing w:after="0"/>
        <w:tabs>
          <w:tab w:leader="none" w:pos="1320" w:val="left"/>
        </w:tabs>
        <w:rPr>
          <w:sz w:val="20"/>
          <w:szCs w:val="20"/>
          <w:color w:val="auto"/>
        </w:rPr>
      </w:pPr>
      <w:r>
        <w:rPr>
          <w:rFonts w:ascii="Calibri" w:cs="Calibri" w:eastAsia="Calibri" w:hAnsi="Calibri"/>
          <w:sz w:val="18"/>
          <w:szCs w:val="18"/>
          <w:color w:val="auto"/>
        </w:rPr>
        <w:t>(a)(2)</w:t>
      </w:r>
      <w:r>
        <w:rPr>
          <w:sz w:val="20"/>
          <w:szCs w:val="20"/>
          <w:color w:val="auto"/>
        </w:rPr>
        <w:tab/>
      </w:r>
      <w:r>
        <w:rPr>
          <w:rFonts w:ascii="Calibri" w:cs="Calibri" w:eastAsia="Calibri" w:hAnsi="Calibri"/>
          <w:sz w:val="18"/>
          <w:szCs w:val="18"/>
          <w:color w:val="auto"/>
        </w:rPr>
        <w:t>FINANCIAL STATEMENT SCHEDULES OF THE COMPANY</w:t>
      </w:r>
    </w:p>
    <w:p>
      <w:pPr>
        <w:spacing w:after="0" w:line="69" w:lineRule="exact"/>
        <w:rPr>
          <w:sz w:val="20"/>
          <w:szCs w:val="20"/>
          <w:color w:val="auto"/>
        </w:rPr>
      </w:pPr>
    </w:p>
    <w:p>
      <w:pPr>
        <w:ind w:left="1340"/>
        <w:spacing w:after="0" w:line="210" w:lineRule="auto"/>
        <w:rPr>
          <w:sz w:val="20"/>
          <w:szCs w:val="20"/>
          <w:color w:val="auto"/>
        </w:rPr>
      </w:pPr>
      <w:r>
        <w:rPr>
          <w:rFonts w:ascii="Calibri" w:cs="Calibri" w:eastAsia="Calibri" w:hAnsi="Calibri"/>
          <w:sz w:val="18"/>
          <w:szCs w:val="18"/>
          <w:color w:val="auto"/>
        </w:rPr>
        <w:t>The additonal fnancial data listed below is included as a schedule to this Annual Report on Form 10-K and should be read in conjuncton with the fnancial statements presented in Part II, Item 8. Schedules not included with this additonal fnancial data have been omited because they are not required, or the required informaton is included in the fnancial statements or the notes.</w:t>
      </w:r>
    </w:p>
    <w:p>
      <w:pPr>
        <w:spacing w:after="0" w:line="66"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The following fnancial statement schedule for the fscal years 2024, 2023 and 2022.</w:t>
      </w:r>
    </w:p>
    <w:p>
      <w:pPr>
        <w:spacing w:after="0" w:line="64"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Schedule II — Valuaton and Qualifying Accounts.</w:t>
      </w:r>
    </w:p>
    <w:p>
      <w:pPr>
        <w:spacing w:after="0" w:line="64" w:lineRule="exact"/>
        <w:rPr>
          <w:sz w:val="20"/>
          <w:szCs w:val="20"/>
          <w:color w:val="auto"/>
        </w:rPr>
      </w:pPr>
    </w:p>
    <w:p>
      <w:pPr>
        <w:ind w:left="20"/>
        <w:spacing w:after="0"/>
        <w:tabs>
          <w:tab w:leader="none" w:pos="1320" w:val="left"/>
        </w:tabs>
        <w:rPr>
          <w:sz w:val="20"/>
          <w:szCs w:val="20"/>
          <w:color w:val="auto"/>
        </w:rPr>
      </w:pPr>
      <w:r>
        <w:rPr>
          <w:rFonts w:ascii="Calibri" w:cs="Calibri" w:eastAsia="Calibri" w:hAnsi="Calibri"/>
          <w:sz w:val="18"/>
          <w:szCs w:val="18"/>
          <w:color w:val="auto"/>
        </w:rPr>
        <w:t>(a)(3)</w:t>
      </w:r>
      <w:r>
        <w:rPr>
          <w:sz w:val="20"/>
          <w:szCs w:val="20"/>
          <w:color w:val="auto"/>
        </w:rPr>
        <w:tab/>
      </w:r>
      <w:r>
        <w:rPr>
          <w:rFonts w:ascii="Calibri" w:cs="Calibri" w:eastAsia="Calibri" w:hAnsi="Calibri"/>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22" w:right="519" w:bottom="1440" w:gutter="0" w:footer="0" w:header="0"/>
        </w:sectPr>
      </w:pPr>
    </w:p>
    <w:bookmarkStart w:id="55" w:name="page56"/>
    <w:bookmarkEnd w:id="55"/>
    <w:p>
      <w:pPr>
        <w:ind w:left="5134"/>
        <w:spacing w:after="0"/>
        <w:rPr>
          <w:sz w:val="20"/>
          <w:szCs w:val="20"/>
          <w:color w:val="auto"/>
        </w:rPr>
      </w:pPr>
      <w:r>
        <w:rPr>
          <w:rFonts w:ascii="Calibri" w:cs="Calibri" w:eastAsia="Calibri" w:hAnsi="Calibri"/>
          <w:sz w:val="18"/>
          <w:szCs w:val="18"/>
          <w:b w:val="1"/>
          <w:bCs w:val="1"/>
          <w:color w:val="auto"/>
        </w:rPr>
        <w:t>Exhibit Index</w:t>
      </w:r>
    </w:p>
    <w:p>
      <w:pPr>
        <w:spacing w:after="0" w:line="386" w:lineRule="exact"/>
        <w:rPr>
          <w:sz w:val="20"/>
          <w:szCs w:val="20"/>
          <w:color w:val="auto"/>
        </w:rPr>
      </w:pPr>
    </w:p>
    <w:p>
      <w:pPr>
        <w:ind w:left="894"/>
        <w:spacing w:after="0"/>
        <w:tabs>
          <w:tab w:leader="none" w:pos="1534" w:val="left"/>
          <w:tab w:leader="none" w:pos="8534" w:val="left"/>
        </w:tabs>
        <w:rPr>
          <w:sz w:val="20"/>
          <w:szCs w:val="20"/>
          <w:color w:val="auto"/>
        </w:rPr>
      </w:pPr>
      <w:r>
        <w:rPr>
          <w:rFonts w:ascii="Calibri" w:cs="Calibri" w:eastAsia="Calibri" w:hAnsi="Calibri"/>
          <w:sz w:val="14"/>
          <w:szCs w:val="14"/>
          <w:b w:val="1"/>
          <w:bCs w:val="1"/>
          <w:u w:val="single" w:color="auto"/>
          <w:color w:val="auto"/>
        </w:rPr>
        <w:t>Exhibit</w:t>
      </w:r>
      <w:r>
        <w:rPr>
          <w:sz w:val="20"/>
          <w:szCs w:val="20"/>
          <w:color w:val="auto"/>
        </w:rPr>
        <w:tab/>
      </w:r>
      <w:r>
        <w:rPr>
          <w:rFonts w:ascii="Calibri" w:cs="Calibri" w:eastAsia="Calibri" w:hAnsi="Calibri"/>
          <w:sz w:val="14"/>
          <w:szCs w:val="14"/>
          <w:b w:val="1"/>
          <w:bCs w:val="1"/>
          <w:u w:val="single" w:color="auto"/>
          <w:color w:val="auto"/>
        </w:rPr>
        <w:t>Descripton</w:t>
      </w:r>
      <w:r>
        <w:rPr>
          <w:sz w:val="20"/>
          <w:szCs w:val="20"/>
          <w:color w:val="auto"/>
        </w:rPr>
        <w:tab/>
      </w:r>
      <w:r>
        <w:rPr>
          <w:rFonts w:ascii="Calibri" w:cs="Calibri" w:eastAsia="Calibri" w:hAnsi="Calibri"/>
          <w:sz w:val="14"/>
          <w:szCs w:val="14"/>
          <w:b w:val="1"/>
          <w:bCs w:val="1"/>
          <w:u w:val="single" w:color="auto"/>
          <w:color w:val="auto"/>
        </w:rPr>
        <w:t>Method of Filing</w:t>
      </w:r>
    </w:p>
    <w:p>
      <w:pPr>
        <w:sectPr>
          <w:pgSz w:w="11900" w:h="16838" w:orient="portrait"/>
          <w:cols w:equalWidth="0" w:num="1">
            <w:col w:w="10454"/>
          </w:cols>
          <w:pgMar w:left="346" w:top="922" w:right="1099" w:bottom="1440" w:gutter="0" w:footer="0" w:header="0"/>
        </w:sectPr>
      </w:pPr>
    </w:p>
    <w:p>
      <w:pPr>
        <w:spacing w:after="0" w:line="57" w:lineRule="exact"/>
        <w:rPr>
          <w:sz w:val="20"/>
          <w:szCs w:val="20"/>
          <w:color w:val="auto"/>
        </w:rPr>
      </w:pPr>
    </w:p>
    <w:tbl>
      <w:tblPr>
        <w:tblLayout w:type="fixed"/>
        <w:tblInd w:w="914" w:type="dxa"/>
        <w:tblCellMar>
          <w:top w:w="0" w:type="dxa"/>
          <w:left w:w="0" w:type="dxa"/>
          <w:bottom w:w="0" w:type="dxa"/>
          <w:right w:w="0" w:type="dxa"/>
        </w:tblCellMar>
      </w:tblPr>
      <w:tr>
        <w:trPr>
          <w:trHeight w:val="220"/>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3.1</w:t>
            </w:r>
          </w:p>
        </w:tc>
        <w:tc>
          <w:tcPr>
            <w:tcW w:w="6400" w:type="dxa"/>
            <w:vAlign w:val="bottom"/>
            <w:gridSpan w:val="13"/>
          </w:tcPr>
          <w:p>
            <w:pPr>
              <w:spacing w:after="0"/>
              <w:rPr>
                <w:rFonts w:ascii="Calibri" w:cs="Calibri" w:eastAsia="Calibri" w:hAnsi="Calibri"/>
                <w:sz w:val="18"/>
                <w:szCs w:val="18"/>
                <w:color w:val="0000FF"/>
              </w:rPr>
            </w:pPr>
            <w:hyperlink r:id="rId87">
              <w:r>
                <w:rPr>
                  <w:rFonts w:ascii="Calibri" w:cs="Calibri" w:eastAsia="Calibri" w:hAnsi="Calibri"/>
                  <w:sz w:val="18"/>
                  <w:szCs w:val="18"/>
                  <w:color w:val="0000FF"/>
                </w:rPr>
                <w:t>Restated Artcles of Incorporaton. (1)</w:t>
              </w:r>
            </w:hyperlink>
          </w:p>
        </w:tc>
        <w:tc>
          <w:tcPr>
            <w:tcW w:w="0" w:type="dxa"/>
            <w:vAlign w:val="bottom"/>
          </w:tcPr>
          <w:p>
            <w:pPr>
              <w:spacing w:after="0"/>
              <w:rPr>
                <w:sz w:val="1"/>
                <w:szCs w:val="1"/>
                <w:color w:val="auto"/>
              </w:rPr>
            </w:pPr>
          </w:p>
        </w:tc>
      </w:tr>
      <w:tr>
        <w:trPr>
          <w:trHeight w:val="264"/>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3.2</w:t>
            </w:r>
          </w:p>
        </w:tc>
        <w:tc>
          <w:tcPr>
            <w:tcW w:w="2560" w:type="dxa"/>
            <w:vAlign w:val="bottom"/>
            <w:tcBorders>
              <w:top w:val="single" w:sz="8" w:color="0000FF"/>
              <w:bottom w:val="single" w:sz="8" w:color="0000FF"/>
            </w:tcBorders>
            <w:gridSpan w:val="2"/>
          </w:tcPr>
          <w:p>
            <w:pPr>
              <w:spacing w:after="0"/>
              <w:rPr>
                <w:rFonts w:ascii="Calibri" w:cs="Calibri" w:eastAsia="Calibri" w:hAnsi="Calibri"/>
                <w:sz w:val="18"/>
                <w:szCs w:val="18"/>
                <w:color w:val="0000FF"/>
                <w:w w:val="96"/>
              </w:rPr>
            </w:pPr>
            <w:hyperlink r:id="rId88">
              <w:r>
                <w:rPr>
                  <w:rFonts w:ascii="Calibri" w:cs="Calibri" w:eastAsia="Calibri" w:hAnsi="Calibri"/>
                  <w:sz w:val="18"/>
                  <w:szCs w:val="18"/>
                  <w:color w:val="0000FF"/>
                  <w:w w:val="96"/>
                </w:rPr>
                <w:t>Amended and Restated By-Laws. (2)</w:t>
              </w:r>
            </w:hyperlink>
          </w:p>
        </w:tc>
        <w:tc>
          <w:tcPr>
            <w:tcW w:w="100" w:type="dxa"/>
            <w:vAlign w:val="bottom"/>
            <w:tcBorders>
              <w:top w:val="single" w:sz="8" w:color="0000FF"/>
            </w:tcBorders>
          </w:tcPr>
          <w:p>
            <w:pPr>
              <w:spacing w:after="0"/>
              <w:rPr>
                <w:sz w:val="22"/>
                <w:szCs w:val="22"/>
                <w:color w:val="auto"/>
              </w:rPr>
            </w:pPr>
          </w:p>
        </w:tc>
        <w:tc>
          <w:tcPr>
            <w:tcW w:w="37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4.1</w:t>
            </w:r>
          </w:p>
        </w:tc>
        <w:tc>
          <w:tcPr>
            <w:tcW w:w="6400" w:type="dxa"/>
            <w:vAlign w:val="bottom"/>
            <w:gridSpan w:val="13"/>
          </w:tcPr>
          <w:p>
            <w:pPr>
              <w:spacing w:after="0"/>
              <w:rPr>
                <w:rFonts w:ascii="Calibri" w:cs="Calibri" w:eastAsia="Calibri" w:hAnsi="Calibri"/>
                <w:sz w:val="18"/>
                <w:szCs w:val="18"/>
                <w:color w:val="0000FF"/>
              </w:rPr>
            </w:pPr>
            <w:hyperlink r:id="rId89">
              <w:r>
                <w:rPr>
                  <w:rFonts w:ascii="Calibri" w:cs="Calibri" w:eastAsia="Calibri" w:hAnsi="Calibri"/>
                  <w:sz w:val="18"/>
                  <w:szCs w:val="18"/>
                  <w:color w:val="0000FF"/>
                </w:rPr>
                <w:t>Descripton of Securites. (3)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10.1*</w:t>
            </w:r>
          </w:p>
        </w:tc>
        <w:tc>
          <w:tcPr>
            <w:tcW w:w="6400" w:type="dxa"/>
            <w:vAlign w:val="bottom"/>
            <w:gridSpan w:val="13"/>
          </w:tcPr>
          <w:p>
            <w:pPr>
              <w:spacing w:after="0"/>
              <w:rPr>
                <w:rFonts w:ascii="Calibri" w:cs="Calibri" w:eastAsia="Calibri" w:hAnsi="Calibri"/>
                <w:sz w:val="18"/>
                <w:szCs w:val="18"/>
                <w:color w:val="0000FF"/>
              </w:rPr>
            </w:pPr>
            <w:hyperlink r:id="rId90">
              <w:r>
                <w:rPr>
                  <w:rFonts w:ascii="Calibri" w:cs="Calibri" w:eastAsia="Calibri" w:hAnsi="Calibri"/>
                  <w:sz w:val="18"/>
                  <w:szCs w:val="18"/>
                  <w:color w:val="0000FF"/>
                </w:rPr>
                <w:t>Hawkins, Inc. 2010 Omnibus Incentve Plan. (4)</w:t>
              </w:r>
            </w:hyperlink>
          </w:p>
        </w:tc>
        <w:tc>
          <w:tcPr>
            <w:tcW w:w="0" w:type="dxa"/>
            <w:vAlign w:val="bottom"/>
          </w:tcPr>
          <w:p>
            <w:pPr>
              <w:spacing w:after="0"/>
              <w:rPr>
                <w:sz w:val="1"/>
                <w:szCs w:val="1"/>
                <w:color w:val="auto"/>
              </w:rPr>
            </w:pPr>
          </w:p>
        </w:tc>
      </w:tr>
      <w:tr>
        <w:trPr>
          <w:trHeight w:val="263"/>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10.2*</w:t>
            </w:r>
          </w:p>
        </w:tc>
        <w:tc>
          <w:tcPr>
            <w:tcW w:w="3320" w:type="dxa"/>
            <w:vAlign w:val="bottom"/>
            <w:tcBorders>
              <w:top w:val="single" w:sz="8" w:color="0000FF"/>
            </w:tcBorders>
            <w:gridSpan w:val="8"/>
          </w:tcPr>
          <w:p>
            <w:pPr>
              <w:spacing w:after="0"/>
              <w:rPr>
                <w:rFonts w:ascii="Calibri" w:cs="Calibri" w:eastAsia="Calibri" w:hAnsi="Calibri"/>
                <w:sz w:val="18"/>
                <w:szCs w:val="18"/>
                <w:color w:val="0000FF"/>
              </w:rPr>
            </w:pPr>
            <w:hyperlink r:id="rId91">
              <w:r>
                <w:rPr>
                  <w:rFonts w:ascii="Calibri" w:cs="Calibri" w:eastAsia="Calibri" w:hAnsi="Calibri"/>
                  <w:sz w:val="18"/>
                  <w:szCs w:val="18"/>
                  <w:color w:val="0000FF"/>
                </w:rPr>
                <w:t>Hawkins, Inc. Executve Severance Plan. (5)</w:t>
              </w:r>
            </w:hyperlink>
          </w:p>
        </w:tc>
        <w:tc>
          <w:tcPr>
            <w:tcW w:w="30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10.3*</w:t>
            </w:r>
          </w:p>
        </w:tc>
        <w:tc>
          <w:tcPr>
            <w:tcW w:w="3400" w:type="dxa"/>
            <w:vAlign w:val="bottom"/>
            <w:tcBorders>
              <w:bottom w:val="single" w:sz="8" w:color="0000FF"/>
            </w:tcBorders>
            <w:gridSpan w:val="9"/>
          </w:tcPr>
          <w:p>
            <w:pPr>
              <w:spacing w:after="0"/>
              <w:rPr>
                <w:rFonts w:ascii="Calibri" w:cs="Calibri" w:eastAsia="Calibri" w:hAnsi="Calibri"/>
                <w:sz w:val="18"/>
                <w:szCs w:val="18"/>
                <w:color w:val="0000FF"/>
                <w:w w:val="96"/>
              </w:rPr>
            </w:pPr>
            <w:hyperlink r:id="rId92">
              <w:r>
                <w:rPr>
                  <w:rFonts w:ascii="Calibri" w:cs="Calibri" w:eastAsia="Calibri" w:hAnsi="Calibri"/>
                  <w:sz w:val="18"/>
                  <w:szCs w:val="18"/>
                  <w:color w:val="0000FF"/>
                  <w:w w:val="96"/>
                </w:rPr>
                <w:t>Employee Stock Purchase Plan, as amended. (6)</w:t>
              </w:r>
            </w:hyperlink>
          </w:p>
        </w:tc>
        <w:tc>
          <w:tcPr>
            <w:tcW w:w="30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10.4</w:t>
            </w:r>
          </w:p>
        </w:tc>
        <w:tc>
          <w:tcPr>
            <w:tcW w:w="6400" w:type="dxa"/>
            <w:vAlign w:val="bottom"/>
            <w:gridSpan w:val="13"/>
          </w:tcPr>
          <w:p>
            <w:pPr>
              <w:spacing w:after="0"/>
              <w:rPr>
                <w:rFonts w:ascii="Calibri" w:cs="Calibri" w:eastAsia="Calibri" w:hAnsi="Calibri"/>
                <w:sz w:val="18"/>
                <w:szCs w:val="18"/>
                <w:color w:val="0000FF"/>
              </w:rPr>
            </w:pPr>
            <w:hyperlink r:id="rId93">
              <w:r>
                <w:rPr>
                  <w:rFonts w:ascii="Calibri" w:cs="Calibri" w:eastAsia="Calibri" w:hAnsi="Calibri"/>
                  <w:sz w:val="18"/>
                  <w:szCs w:val="18"/>
                  <w:color w:val="0000FF"/>
                </w:rPr>
                <w:t>Amendment No. 2 to the Hawkins, Inc. Employee Stock Purchase Plan, as amended. (7)</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vMerge w:val="restart"/>
          </w:tcPr>
          <w:p>
            <w:pPr>
              <w:jc w:val="right"/>
              <w:ind w:right="190"/>
              <w:spacing w:after="0"/>
              <w:rPr>
                <w:sz w:val="20"/>
                <w:szCs w:val="20"/>
                <w:color w:val="auto"/>
              </w:rPr>
            </w:pPr>
            <w:r>
              <w:rPr>
                <w:rFonts w:ascii="Calibri" w:cs="Calibri" w:eastAsia="Calibri" w:hAnsi="Calibri"/>
                <w:sz w:val="18"/>
                <w:szCs w:val="18"/>
                <w:color w:val="auto"/>
              </w:rPr>
              <w:t>10.5</w:t>
            </w:r>
          </w:p>
        </w:tc>
        <w:tc>
          <w:tcPr>
            <w:tcW w:w="6400" w:type="dxa"/>
            <w:vAlign w:val="bottom"/>
            <w:tcBorders>
              <w:bottom w:val="single" w:sz="8" w:color="0000FF"/>
            </w:tcBorders>
            <w:gridSpan w:val="13"/>
          </w:tcPr>
          <w:p>
            <w:pPr>
              <w:spacing w:after="0"/>
              <w:rPr>
                <w:rFonts w:ascii="Calibri" w:cs="Calibri" w:eastAsia="Calibri" w:hAnsi="Calibri"/>
                <w:sz w:val="18"/>
                <w:szCs w:val="18"/>
                <w:color w:val="0000FF"/>
                <w:w w:val="96"/>
              </w:rPr>
            </w:pPr>
            <w:hyperlink r:id="rId94">
              <w:r>
                <w:rPr>
                  <w:rFonts w:ascii="Calibri" w:cs="Calibri" w:eastAsia="Calibri" w:hAnsi="Calibri"/>
                  <w:sz w:val="18"/>
                  <w:szCs w:val="18"/>
                  <w:color w:val="0000FF"/>
                  <w:w w:val="96"/>
                </w:rPr>
                <w:t>Second Amended and Restated Credit Agreement, dated as of March 31, 2022, among the</w:t>
              </w:r>
            </w:hyperlink>
          </w:p>
        </w:tc>
        <w:tc>
          <w:tcPr>
            <w:tcW w:w="0" w:type="dxa"/>
            <w:vAlign w:val="bottom"/>
          </w:tcPr>
          <w:p>
            <w:pPr>
              <w:spacing w:after="0"/>
              <w:rPr>
                <w:sz w:val="1"/>
                <w:szCs w:val="1"/>
                <w:color w:val="auto"/>
              </w:rPr>
            </w:pPr>
          </w:p>
        </w:tc>
      </w:tr>
      <w:tr>
        <w:trPr>
          <w:trHeight w:val="105"/>
        </w:trPr>
        <w:tc>
          <w:tcPr>
            <w:tcW w:w="640" w:type="dxa"/>
            <w:vAlign w:val="bottom"/>
            <w:vMerge w:val="continue"/>
          </w:tcPr>
          <w:p>
            <w:pPr>
              <w:spacing w:after="0"/>
              <w:rPr>
                <w:sz w:val="9"/>
                <w:szCs w:val="9"/>
                <w:color w:val="auto"/>
              </w:rPr>
            </w:pPr>
          </w:p>
        </w:tc>
        <w:tc>
          <w:tcPr>
            <w:tcW w:w="6400" w:type="dxa"/>
            <w:vAlign w:val="bottom"/>
            <w:gridSpan w:val="13"/>
            <w:vMerge w:val="restart"/>
          </w:tcPr>
          <w:p>
            <w:pPr>
              <w:spacing w:after="0" w:line="169" w:lineRule="exact"/>
              <w:rPr>
                <w:rFonts w:ascii="Calibri" w:cs="Calibri" w:eastAsia="Calibri" w:hAnsi="Calibri"/>
                <w:sz w:val="18"/>
                <w:szCs w:val="18"/>
                <w:color w:val="0000FF"/>
              </w:rPr>
            </w:pPr>
            <w:hyperlink r:id="rId94">
              <w:r>
                <w:rPr>
                  <w:rFonts w:ascii="Calibri" w:cs="Calibri" w:eastAsia="Calibri" w:hAnsi="Calibri"/>
                  <w:sz w:val="18"/>
                  <w:szCs w:val="18"/>
                  <w:color w:val="0000FF"/>
                </w:rPr>
                <w:t>Company, U.S. Bank Natonal Associaton, and certain fnancial insttutons. (8)</w:t>
              </w:r>
            </w:hyperlink>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640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10.6*</w:t>
            </w:r>
          </w:p>
        </w:tc>
        <w:tc>
          <w:tcPr>
            <w:tcW w:w="3140" w:type="dxa"/>
            <w:vAlign w:val="bottom"/>
            <w:tcBorders>
              <w:top w:val="single" w:sz="8" w:color="0000FF"/>
              <w:bottom w:val="single" w:sz="8" w:color="0000FF"/>
            </w:tcBorders>
            <w:gridSpan w:val="7"/>
          </w:tcPr>
          <w:p>
            <w:pPr>
              <w:spacing w:after="0"/>
              <w:rPr>
                <w:rFonts w:ascii="Calibri" w:cs="Calibri" w:eastAsia="Calibri" w:hAnsi="Calibri"/>
                <w:sz w:val="18"/>
                <w:szCs w:val="18"/>
                <w:color w:val="0000FF"/>
                <w:w w:val="98"/>
              </w:rPr>
            </w:pPr>
            <w:hyperlink r:id="rId95">
              <w:r>
                <w:rPr>
                  <w:rFonts w:ascii="Calibri" w:cs="Calibri" w:eastAsia="Calibri" w:hAnsi="Calibri"/>
                  <w:sz w:val="18"/>
                  <w:szCs w:val="18"/>
                  <w:color w:val="0000FF"/>
                  <w:w w:val="98"/>
                </w:rPr>
                <w:t>Hawkins, Inc. 2019 Equity Incentve Plan. (</w:t>
              </w:r>
            </w:hyperlink>
            <w:r>
              <w:rPr>
                <w:rFonts w:ascii="Calibri" w:cs="Calibri" w:eastAsia="Calibri" w:hAnsi="Calibri"/>
                <w:sz w:val="18"/>
                <w:szCs w:val="18"/>
                <w:color w:val="0000FF"/>
                <w:w w:val="98"/>
              </w:rPr>
              <w:t>9)</w:t>
            </w:r>
          </w:p>
        </w:tc>
        <w:tc>
          <w:tcPr>
            <w:tcW w:w="2400" w:type="dxa"/>
            <w:vAlign w:val="bottom"/>
            <w:tcBorders>
              <w:top w:val="single" w:sz="8" w:color="0000FF"/>
            </w:tcBorders>
            <w:gridSpan w:val="3"/>
          </w:tcPr>
          <w:p>
            <w:pPr>
              <w:spacing w:after="0"/>
              <w:rPr>
                <w:sz w:val="22"/>
                <w:szCs w:val="22"/>
                <w:color w:val="auto"/>
              </w:rPr>
            </w:pPr>
          </w:p>
        </w:tc>
        <w:tc>
          <w:tcPr>
            <w:tcW w:w="8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vMerge w:val="restart"/>
          </w:tcPr>
          <w:p>
            <w:pPr>
              <w:jc w:val="right"/>
              <w:ind w:right="150"/>
              <w:spacing w:after="0"/>
              <w:rPr>
                <w:sz w:val="20"/>
                <w:szCs w:val="20"/>
                <w:color w:val="auto"/>
              </w:rPr>
            </w:pPr>
            <w:r>
              <w:rPr>
                <w:rFonts w:ascii="Calibri" w:cs="Calibri" w:eastAsia="Calibri" w:hAnsi="Calibri"/>
                <w:sz w:val="18"/>
                <w:szCs w:val="18"/>
                <w:color w:val="auto"/>
                <w:w w:val="92"/>
              </w:rPr>
              <w:t>10.7*</w:t>
            </w:r>
          </w:p>
        </w:tc>
        <w:tc>
          <w:tcPr>
            <w:tcW w:w="6360" w:type="dxa"/>
            <w:vAlign w:val="bottom"/>
            <w:tcBorders>
              <w:bottom w:val="single" w:sz="8" w:color="0000FF"/>
            </w:tcBorders>
            <w:gridSpan w:val="12"/>
          </w:tcPr>
          <w:p>
            <w:pPr>
              <w:spacing w:after="0"/>
              <w:rPr>
                <w:rFonts w:ascii="Calibri" w:cs="Calibri" w:eastAsia="Calibri" w:hAnsi="Calibri"/>
                <w:sz w:val="18"/>
                <w:szCs w:val="18"/>
                <w:color w:val="0000FF"/>
                <w:w w:val="97"/>
              </w:rPr>
            </w:pPr>
            <w:hyperlink r:id="rId96">
              <w:r>
                <w:rPr>
                  <w:rFonts w:ascii="Calibri" w:cs="Calibri" w:eastAsia="Calibri" w:hAnsi="Calibri"/>
                  <w:sz w:val="18"/>
                  <w:szCs w:val="18"/>
                  <w:color w:val="0000FF"/>
                  <w:w w:val="97"/>
                </w:rPr>
                <w:t>Form of Performance Stock Unit Award Notce and Restricted Stock Agreement under the</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640" w:type="dxa"/>
            <w:vAlign w:val="bottom"/>
            <w:vMerge w:val="continue"/>
          </w:tcPr>
          <w:p>
            <w:pPr>
              <w:spacing w:after="0"/>
              <w:rPr>
                <w:sz w:val="9"/>
                <w:szCs w:val="9"/>
                <w:color w:val="auto"/>
              </w:rPr>
            </w:pPr>
          </w:p>
        </w:tc>
        <w:tc>
          <w:tcPr>
            <w:tcW w:w="6400" w:type="dxa"/>
            <w:vAlign w:val="bottom"/>
            <w:gridSpan w:val="13"/>
            <w:vMerge w:val="restart"/>
          </w:tcPr>
          <w:p>
            <w:pPr>
              <w:spacing w:after="0" w:line="169" w:lineRule="exact"/>
              <w:rPr>
                <w:rFonts w:ascii="Calibri" w:cs="Calibri" w:eastAsia="Calibri" w:hAnsi="Calibri"/>
                <w:sz w:val="18"/>
                <w:szCs w:val="18"/>
                <w:color w:val="0000FF"/>
              </w:rPr>
            </w:pPr>
            <w:hyperlink r:id="rId96">
              <w:r>
                <w:rPr>
                  <w:rFonts w:ascii="Calibri" w:cs="Calibri" w:eastAsia="Calibri" w:hAnsi="Calibri"/>
                  <w:sz w:val="18"/>
                  <w:szCs w:val="18"/>
                  <w:color w:val="0000FF"/>
                </w:rPr>
                <w:t>Company’s 2019 Equity Incentve Plan. (10)</w:t>
              </w:r>
            </w:hyperlink>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640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right"/>
              <w:ind w:right="150"/>
              <w:spacing w:after="0"/>
              <w:rPr>
                <w:sz w:val="20"/>
                <w:szCs w:val="20"/>
                <w:color w:val="auto"/>
              </w:rPr>
            </w:pPr>
            <w:r>
              <w:rPr>
                <w:rFonts w:ascii="Calibri" w:cs="Calibri" w:eastAsia="Calibri" w:hAnsi="Calibri"/>
                <w:sz w:val="18"/>
                <w:szCs w:val="18"/>
                <w:color w:val="auto"/>
                <w:w w:val="92"/>
              </w:rPr>
              <w:t>10.8*</w:t>
            </w:r>
          </w:p>
        </w:tc>
        <w:tc>
          <w:tcPr>
            <w:tcW w:w="3060" w:type="dxa"/>
            <w:vAlign w:val="bottom"/>
            <w:tcBorders>
              <w:top w:val="single" w:sz="8" w:color="0000FF"/>
            </w:tcBorders>
            <w:gridSpan w:val="6"/>
          </w:tcPr>
          <w:p>
            <w:pPr>
              <w:spacing w:after="0"/>
              <w:rPr>
                <w:rFonts w:ascii="Calibri" w:cs="Calibri" w:eastAsia="Calibri" w:hAnsi="Calibri"/>
                <w:sz w:val="18"/>
                <w:szCs w:val="18"/>
                <w:color w:val="0000FF"/>
                <w:w w:val="99"/>
              </w:rPr>
            </w:pPr>
            <w:hyperlink r:id="rId97">
              <w:r>
                <w:rPr>
                  <w:rFonts w:ascii="Calibri" w:cs="Calibri" w:eastAsia="Calibri" w:hAnsi="Calibri"/>
                  <w:sz w:val="18"/>
                  <w:szCs w:val="18"/>
                  <w:color w:val="0000FF"/>
                  <w:w w:val="99"/>
                </w:rPr>
                <w:t>Nine Year LTI with Shirley Rozeboom. (1</w:t>
              </w:r>
            </w:hyperlink>
            <w:r>
              <w:rPr>
                <w:rFonts w:ascii="Calibri" w:cs="Calibri" w:eastAsia="Calibri" w:hAnsi="Calibri"/>
                <w:sz w:val="18"/>
                <w:szCs w:val="18"/>
                <w:color w:val="0000FF"/>
                <w:w w:val="99"/>
              </w:rPr>
              <w:t>1)</w:t>
            </w:r>
          </w:p>
        </w:tc>
        <w:tc>
          <w:tcPr>
            <w:tcW w:w="33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54" w:right="4580" w:firstLine="134"/>
        <w:spacing w:after="0" w:line="304" w:lineRule="auto"/>
        <w:tabs>
          <w:tab w:leader="none" w:pos="1552" w:val="left"/>
        </w:tabs>
        <w:numPr>
          <w:ilvl w:val="0"/>
          <w:numId w:val="11"/>
        </w:numPr>
        <w:rPr>
          <w:rFonts w:ascii="Calibri" w:cs="Calibri" w:eastAsia="Calibri" w:hAnsi="Calibri"/>
          <w:sz w:val="18"/>
          <w:szCs w:val="18"/>
          <w:color w:val="auto"/>
        </w:rPr>
      </w:pPr>
      <w:r>
        <w:rPr>
          <w:rFonts w:ascii="Calibri" w:cs="Calibri" w:eastAsia="Calibri" w:hAnsi="Calibri"/>
          <w:sz w:val="18"/>
          <w:szCs w:val="18"/>
          <w:u w:val="single" w:color="auto"/>
          <w:color w:val="0000FF"/>
        </w:rPr>
        <w:t xml:space="preserve">Subsidiaries of the registrant. </w:t>
      </w:r>
      <w:r>
        <w:rPr>
          <w:rFonts w:ascii="Calibri" w:cs="Calibri" w:eastAsia="Calibri" w:hAnsi="Calibri"/>
          <w:sz w:val="18"/>
          <w:szCs w:val="18"/>
          <w:color w:val="000000"/>
        </w:rPr>
        <w:t xml:space="preserve">23.1 </w:t>
      </w:r>
      <w:r>
        <w:rPr>
          <w:rFonts w:ascii="Calibri" w:cs="Calibri" w:eastAsia="Calibri" w:hAnsi="Calibri"/>
          <w:sz w:val="18"/>
          <w:szCs w:val="18"/>
          <w:u w:val="single" w:color="auto"/>
          <w:color w:val="0000FF"/>
        </w:rPr>
        <w:t>Consent of Grant Thornton LLP.</w:t>
      </w:r>
    </w:p>
    <w:p>
      <w:pPr>
        <w:spacing w:after="0" w:line="5" w:lineRule="exact"/>
        <w:rPr>
          <w:rFonts w:ascii="Calibri" w:cs="Calibri" w:eastAsia="Calibri" w:hAnsi="Calibri"/>
          <w:sz w:val="18"/>
          <w:szCs w:val="18"/>
          <w:color w:val="auto"/>
        </w:rPr>
      </w:pPr>
    </w:p>
    <w:p>
      <w:pPr>
        <w:ind w:left="954"/>
        <w:spacing w:after="0"/>
        <w:rPr>
          <w:rFonts w:ascii="Calibri" w:cs="Calibri" w:eastAsia="Calibri" w:hAnsi="Calibri"/>
          <w:sz w:val="18"/>
          <w:szCs w:val="18"/>
          <w:color w:val="auto"/>
        </w:rPr>
      </w:pPr>
      <w:r>
        <w:rPr>
          <w:rFonts w:ascii="Calibri" w:cs="Calibri" w:eastAsia="Calibri" w:hAnsi="Calibri"/>
          <w:sz w:val="18"/>
          <w:szCs w:val="18"/>
          <w:color w:val="auto"/>
        </w:rPr>
        <w:t xml:space="preserve">24.1   </w:t>
      </w:r>
      <w:r>
        <w:rPr>
          <w:rFonts w:ascii="Calibri" w:cs="Calibri" w:eastAsia="Calibri" w:hAnsi="Calibri"/>
          <w:sz w:val="18"/>
          <w:szCs w:val="18"/>
          <w:u w:val="single" w:color="auto"/>
          <w:color w:val="0000FF"/>
        </w:rPr>
        <w:t>Powers of Atorney.</w:t>
      </w:r>
    </w:p>
    <w:p>
      <w:pPr>
        <w:spacing w:after="0" w:line="33" w:lineRule="exact"/>
        <w:rPr>
          <w:sz w:val="20"/>
          <w:szCs w:val="20"/>
          <w:color w:val="auto"/>
        </w:rPr>
      </w:pPr>
    </w:p>
    <w:tbl>
      <w:tblPr>
        <w:tblLayout w:type="fixed"/>
        <w:tblInd w:w="954" w:type="dxa"/>
        <w:tblCellMar>
          <w:top w:w="0" w:type="dxa"/>
          <w:left w:w="0" w:type="dxa"/>
          <w:bottom w:w="0" w:type="dxa"/>
          <w:right w:w="0" w:type="dxa"/>
        </w:tblCellMar>
      </w:tblPr>
      <w:tr>
        <w:trPr>
          <w:trHeight w:val="220"/>
        </w:trPr>
        <w:tc>
          <w:tcPr>
            <w:tcW w:w="600" w:type="dxa"/>
            <w:vAlign w:val="bottom"/>
            <w:vMerge w:val="restart"/>
          </w:tcPr>
          <w:p>
            <w:pPr>
              <w:jc w:val="right"/>
              <w:ind w:right="190"/>
              <w:spacing w:after="0"/>
              <w:rPr>
                <w:sz w:val="20"/>
                <w:szCs w:val="20"/>
                <w:color w:val="auto"/>
              </w:rPr>
            </w:pPr>
            <w:r>
              <w:rPr>
                <w:rFonts w:ascii="Calibri" w:cs="Calibri" w:eastAsia="Calibri" w:hAnsi="Calibri"/>
                <w:sz w:val="18"/>
                <w:szCs w:val="18"/>
                <w:color w:val="auto"/>
                <w:w w:val="93"/>
              </w:rPr>
              <w:t>31.1</w:t>
            </w:r>
          </w:p>
        </w:tc>
        <w:tc>
          <w:tcPr>
            <w:tcW w:w="6660" w:type="dxa"/>
            <w:vAlign w:val="bottom"/>
            <w:tcBorders>
              <w:bottom w:val="single" w:sz="8" w:color="0000FF"/>
            </w:tcBorders>
            <w:gridSpan w:val="5"/>
          </w:tcPr>
          <w:p>
            <w:pPr>
              <w:spacing w:after="0"/>
              <w:rPr>
                <w:sz w:val="20"/>
                <w:szCs w:val="20"/>
                <w:color w:val="auto"/>
              </w:rPr>
            </w:pPr>
            <w:r>
              <w:rPr>
                <w:rFonts w:ascii="Calibri" w:cs="Calibri" w:eastAsia="Calibri" w:hAnsi="Calibri"/>
                <w:sz w:val="18"/>
                <w:szCs w:val="18"/>
                <w:color w:val="0000FF"/>
              </w:rPr>
              <w:t>Certfcaton by Chief Certfcaton by Chief Executve Ofcer pursuant to Rule 13a-14(a) of the</w:t>
            </w:r>
          </w:p>
        </w:tc>
        <w:tc>
          <w:tcPr>
            <w:tcW w:w="0" w:type="dxa"/>
            <w:vAlign w:val="bottom"/>
          </w:tcPr>
          <w:p>
            <w:pPr>
              <w:spacing w:after="0"/>
              <w:rPr>
                <w:sz w:val="1"/>
                <w:szCs w:val="1"/>
                <w:color w:val="auto"/>
              </w:rPr>
            </w:pPr>
          </w:p>
        </w:tc>
      </w:tr>
      <w:tr>
        <w:trPr>
          <w:trHeight w:val="105"/>
        </w:trPr>
        <w:tc>
          <w:tcPr>
            <w:tcW w:w="600" w:type="dxa"/>
            <w:vAlign w:val="bottom"/>
            <w:vMerge w:val="continue"/>
          </w:tcPr>
          <w:p>
            <w:pPr>
              <w:spacing w:after="0"/>
              <w:rPr>
                <w:sz w:val="9"/>
                <w:szCs w:val="9"/>
                <w:color w:val="auto"/>
              </w:rPr>
            </w:pPr>
          </w:p>
        </w:tc>
        <w:tc>
          <w:tcPr>
            <w:tcW w:w="6660" w:type="dxa"/>
            <w:vAlign w:val="bottom"/>
            <w:gridSpan w:val="5"/>
            <w:vMerge w:val="restart"/>
          </w:tcPr>
          <w:p>
            <w:pPr>
              <w:spacing w:after="0" w:line="169" w:lineRule="exact"/>
              <w:rPr>
                <w:sz w:val="20"/>
                <w:szCs w:val="20"/>
                <w:color w:val="auto"/>
              </w:rPr>
            </w:pPr>
            <w:r>
              <w:rPr>
                <w:rFonts w:ascii="Calibri" w:cs="Calibri" w:eastAsia="Calibri" w:hAnsi="Calibri"/>
                <w:sz w:val="18"/>
                <w:szCs w:val="18"/>
                <w:color w:val="0000FF"/>
              </w:rPr>
              <w:t>Exchange Act. Ofcer pursuant to Rule 13a-14(a) of the Exchange Act.</w:t>
            </w:r>
          </w:p>
        </w:tc>
        <w:tc>
          <w:tcPr>
            <w:tcW w:w="0" w:type="dxa"/>
            <w:vAlign w:val="bottom"/>
          </w:tcPr>
          <w:p>
            <w:pPr>
              <w:spacing w:after="0"/>
              <w:rPr>
                <w:sz w:val="1"/>
                <w:szCs w:val="1"/>
                <w:color w:val="auto"/>
              </w:rPr>
            </w:pPr>
          </w:p>
        </w:tc>
      </w:tr>
      <w:tr>
        <w:trPr>
          <w:trHeight w:val="64"/>
        </w:trPr>
        <w:tc>
          <w:tcPr>
            <w:tcW w:w="600" w:type="dxa"/>
            <w:vAlign w:val="bottom"/>
          </w:tcPr>
          <w:p>
            <w:pPr>
              <w:spacing w:after="0"/>
              <w:rPr>
                <w:sz w:val="5"/>
                <w:szCs w:val="5"/>
                <w:color w:val="auto"/>
              </w:rPr>
            </w:pPr>
          </w:p>
        </w:tc>
        <w:tc>
          <w:tcPr>
            <w:tcW w:w="6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jc w:val="right"/>
              <w:ind w:right="190"/>
              <w:spacing w:after="0"/>
              <w:rPr>
                <w:sz w:val="20"/>
                <w:szCs w:val="20"/>
                <w:color w:val="auto"/>
              </w:rPr>
            </w:pPr>
            <w:r>
              <w:rPr>
                <w:rFonts w:ascii="Calibri" w:cs="Calibri" w:eastAsia="Calibri" w:hAnsi="Calibri"/>
                <w:sz w:val="18"/>
                <w:szCs w:val="18"/>
                <w:color w:val="auto"/>
                <w:w w:val="93"/>
              </w:rPr>
              <w:t>31.2</w:t>
            </w:r>
          </w:p>
        </w:tc>
        <w:tc>
          <w:tcPr>
            <w:tcW w:w="6660" w:type="dxa"/>
            <w:vAlign w:val="bottom"/>
            <w:gridSpan w:val="5"/>
          </w:tcPr>
          <w:p>
            <w:pPr>
              <w:spacing w:after="0"/>
              <w:rPr>
                <w:sz w:val="20"/>
                <w:szCs w:val="20"/>
                <w:color w:val="auto"/>
              </w:rPr>
            </w:pPr>
            <w:r>
              <w:rPr>
                <w:rFonts w:ascii="Calibri" w:cs="Calibri" w:eastAsia="Calibri" w:hAnsi="Calibri"/>
                <w:sz w:val="18"/>
                <w:szCs w:val="18"/>
                <w:color w:val="0000FF"/>
              </w:rPr>
              <w:t>Certfcaton by Chief Financial Ofcer pursuant to Rule 13a-14(a) of the Exchange Act.</w:t>
            </w:r>
          </w:p>
        </w:tc>
        <w:tc>
          <w:tcPr>
            <w:tcW w:w="0" w:type="dxa"/>
            <w:vAlign w:val="bottom"/>
          </w:tcPr>
          <w:p>
            <w:pPr>
              <w:spacing w:after="0"/>
              <w:rPr>
                <w:sz w:val="1"/>
                <w:szCs w:val="1"/>
                <w:color w:val="auto"/>
              </w:rPr>
            </w:pPr>
          </w:p>
        </w:tc>
      </w:tr>
      <w:tr>
        <w:trPr>
          <w:trHeight w:val="264"/>
        </w:trPr>
        <w:tc>
          <w:tcPr>
            <w:tcW w:w="600" w:type="dxa"/>
            <w:vAlign w:val="bottom"/>
          </w:tcPr>
          <w:p>
            <w:pPr>
              <w:jc w:val="right"/>
              <w:ind w:right="190"/>
              <w:spacing w:after="0"/>
              <w:rPr>
                <w:sz w:val="20"/>
                <w:szCs w:val="20"/>
                <w:color w:val="auto"/>
              </w:rPr>
            </w:pPr>
            <w:r>
              <w:rPr>
                <w:rFonts w:ascii="Calibri" w:cs="Calibri" w:eastAsia="Calibri" w:hAnsi="Calibri"/>
                <w:sz w:val="18"/>
                <w:szCs w:val="18"/>
                <w:color w:val="auto"/>
                <w:w w:val="93"/>
              </w:rPr>
              <w:t>32.1</w:t>
            </w:r>
          </w:p>
        </w:tc>
        <w:tc>
          <w:tcPr>
            <w:tcW w:w="6100" w:type="dxa"/>
            <w:vAlign w:val="bottom"/>
            <w:tcBorders>
              <w:top w:val="single" w:sz="8" w:color="0000FF"/>
            </w:tcBorders>
            <w:gridSpan w:val="4"/>
          </w:tcPr>
          <w:p>
            <w:pPr>
              <w:spacing w:after="0"/>
              <w:rPr>
                <w:sz w:val="20"/>
                <w:szCs w:val="20"/>
                <w:color w:val="auto"/>
              </w:rPr>
            </w:pPr>
            <w:r>
              <w:rPr>
                <w:rFonts w:ascii="Calibri" w:cs="Calibri" w:eastAsia="Calibri" w:hAnsi="Calibri"/>
                <w:sz w:val="18"/>
                <w:szCs w:val="18"/>
                <w:color w:val="0000FF"/>
              </w:rPr>
              <w:t>Secton 1350 Certfcaton by Chief Executve Ofcer.</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Pr>
          <w:p>
            <w:pPr>
              <w:jc w:val="right"/>
              <w:ind w:right="190"/>
              <w:spacing w:after="0"/>
              <w:rPr>
                <w:sz w:val="20"/>
                <w:szCs w:val="20"/>
                <w:color w:val="auto"/>
              </w:rPr>
            </w:pPr>
            <w:r>
              <w:rPr>
                <w:rFonts w:ascii="Calibri" w:cs="Calibri" w:eastAsia="Calibri" w:hAnsi="Calibri"/>
                <w:sz w:val="18"/>
                <w:szCs w:val="18"/>
                <w:color w:val="auto"/>
                <w:w w:val="93"/>
              </w:rPr>
              <w:t>32.2</w:t>
            </w:r>
          </w:p>
        </w:tc>
        <w:tc>
          <w:tcPr>
            <w:tcW w:w="3660" w:type="dxa"/>
            <w:vAlign w:val="bottom"/>
            <w:tcBorders>
              <w:top w:val="single" w:sz="8" w:color="0000FF"/>
              <w:bottom w:val="single" w:sz="8" w:color="0000FF"/>
            </w:tcBorders>
          </w:tcPr>
          <w:p>
            <w:pPr>
              <w:spacing w:after="0"/>
              <w:rPr>
                <w:sz w:val="20"/>
                <w:szCs w:val="20"/>
                <w:color w:val="auto"/>
              </w:rPr>
            </w:pPr>
            <w:r>
              <w:rPr>
                <w:rFonts w:ascii="Calibri" w:cs="Calibri" w:eastAsia="Calibri" w:hAnsi="Calibri"/>
                <w:sz w:val="18"/>
                <w:szCs w:val="18"/>
                <w:color w:val="0000FF"/>
              </w:rPr>
              <w:t>Secton 1350 Certfcaton by Chief Financial Ofcer.</w:t>
            </w:r>
          </w:p>
        </w:tc>
        <w:tc>
          <w:tcPr>
            <w:tcW w:w="40" w:type="dxa"/>
            <w:vAlign w:val="bottom"/>
            <w:tcBorders>
              <w:top w:val="single" w:sz="8" w:color="0000FF"/>
            </w:tcBorders>
          </w:tcPr>
          <w:p>
            <w:pPr>
              <w:spacing w:after="0"/>
              <w:rPr>
                <w:sz w:val="22"/>
                <w:szCs w:val="22"/>
                <w:color w:val="auto"/>
              </w:rPr>
            </w:pPr>
          </w:p>
        </w:tc>
        <w:tc>
          <w:tcPr>
            <w:tcW w:w="29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554" w:hanging="466"/>
        <w:spacing w:after="0"/>
        <w:tabs>
          <w:tab w:leader="none" w:pos="1554" w:val="left"/>
        </w:tabs>
        <w:numPr>
          <w:ilvl w:val="0"/>
          <w:numId w:val="12"/>
        </w:numPr>
        <w:rPr>
          <w:rFonts w:ascii="Calibri" w:cs="Calibri" w:eastAsia="Calibri" w:hAnsi="Calibri"/>
          <w:sz w:val="18"/>
          <w:szCs w:val="18"/>
          <w:color w:val="auto"/>
        </w:rPr>
      </w:pPr>
      <w:r>
        <w:rPr>
          <w:rFonts w:ascii="Calibri" w:cs="Calibri" w:eastAsia="Calibri" w:hAnsi="Calibri"/>
          <w:sz w:val="18"/>
          <w:szCs w:val="18"/>
          <w:u w:val="single" w:color="auto"/>
          <w:color w:val="0000FF"/>
        </w:rPr>
        <w:t>Mandatory Clawback Policy</w:t>
      </w:r>
    </w:p>
    <w:p>
      <w:pPr>
        <w:spacing w:after="0" w:line="63" w:lineRule="exact"/>
        <w:rPr>
          <w:rFonts w:ascii="Calibri" w:cs="Calibri" w:eastAsia="Calibri" w:hAnsi="Calibri"/>
          <w:sz w:val="18"/>
          <w:szCs w:val="18"/>
          <w:color w:val="auto"/>
        </w:rPr>
      </w:pPr>
    </w:p>
    <w:p>
      <w:pPr>
        <w:ind w:left="1554"/>
        <w:spacing w:after="0"/>
        <w:rPr>
          <w:rFonts w:ascii="Calibri" w:cs="Calibri" w:eastAsia="Calibri" w:hAnsi="Calibri"/>
          <w:sz w:val="18"/>
          <w:szCs w:val="18"/>
          <w:color w:val="auto"/>
        </w:rPr>
      </w:pPr>
      <w:r>
        <w:rPr>
          <w:rFonts w:ascii="Calibri" w:cs="Calibri" w:eastAsia="Calibri" w:hAnsi="Calibri"/>
          <w:sz w:val="18"/>
          <w:szCs w:val="18"/>
          <w:color w:val="auto"/>
        </w:rPr>
        <w:t>Financial statements from the Annual Report on Form 10-K of Hawkins, Inc. for the period</w:t>
      </w:r>
    </w:p>
    <w:p>
      <w:pPr>
        <w:ind w:left="1554" w:right="140"/>
        <w:spacing w:after="0" w:line="208" w:lineRule="auto"/>
        <w:rPr>
          <w:sz w:val="20"/>
          <w:szCs w:val="20"/>
          <w:color w:val="auto"/>
        </w:rPr>
      </w:pPr>
      <w:r>
        <w:rPr>
          <w:rFonts w:ascii="Calibri" w:cs="Calibri" w:eastAsia="Calibri" w:hAnsi="Calibri"/>
          <w:sz w:val="17"/>
          <w:szCs w:val="17"/>
          <w:color w:val="auto"/>
        </w:rPr>
        <w:t>ended March 31, 2024, fled with the SEC on May 15, 2024, formated in Inline Extensible Business Reportng Language (iXBRL): (i) the Consolidated Balance Sheets at March 31, 2024 and April 2, 2023, (ii) the Consolidated Statements of Income for the fscal years ended March</w:t>
      </w:r>
    </w:p>
    <w:p>
      <w:pPr>
        <w:ind w:left="1554" w:hanging="555"/>
        <w:spacing w:after="0" w:line="221" w:lineRule="auto"/>
        <w:tabs>
          <w:tab w:leader="none" w:pos="1554" w:val="left"/>
        </w:tabs>
        <w:numPr>
          <w:ilvl w:val="0"/>
          <w:numId w:val="13"/>
        </w:numPr>
        <w:rPr>
          <w:rFonts w:ascii="Calibri" w:cs="Calibri" w:eastAsia="Calibri" w:hAnsi="Calibri"/>
          <w:sz w:val="32"/>
          <w:szCs w:val="32"/>
          <w:color w:val="auto"/>
          <w:vertAlign w:val="subscript"/>
        </w:rPr>
      </w:pPr>
      <w:r>
        <w:rPr>
          <w:rFonts w:ascii="Calibri" w:cs="Calibri" w:eastAsia="Calibri" w:hAnsi="Calibri"/>
          <w:sz w:val="16"/>
          <w:szCs w:val="16"/>
          <w:color w:val="auto"/>
        </w:rPr>
        <w:t>31, 2024, April 2, 2023, and April 3, 2022, (iii) the Consolidated Statements of Comprehensive Income for the fscal years ended March 31, 2024, April 2, 2023, and April 3, 2022, (iv) the Consolidated Statements of Shareholders’ Equity for the fscal years ended March 31, 2024, April 2, 2023, and April 3, 2022, (v) Consolidated Statements of Cash Flows for the fscal years ended March 31, 2024, April 2, 2023, and April 3, 2022, and (iv) Notes to Consolidated Financial Statements.</w:t>
      </w:r>
    </w:p>
    <w:p>
      <w:pPr>
        <w:spacing w:after="0" w:line="65" w:lineRule="exact"/>
        <w:rPr>
          <w:sz w:val="20"/>
          <w:szCs w:val="20"/>
          <w:color w:val="auto"/>
        </w:rPr>
      </w:pPr>
    </w:p>
    <w:p>
      <w:pPr>
        <w:ind w:left="994"/>
        <w:spacing w:after="0"/>
        <w:tabs>
          <w:tab w:leader="none" w:pos="1534" w:val="left"/>
        </w:tabs>
        <w:rPr>
          <w:sz w:val="20"/>
          <w:szCs w:val="20"/>
          <w:color w:val="auto"/>
        </w:rPr>
      </w:pPr>
      <w:r>
        <w:rPr>
          <w:rFonts w:ascii="Calibri" w:cs="Calibri" w:eastAsia="Calibri" w:hAnsi="Calibri"/>
          <w:sz w:val="18"/>
          <w:szCs w:val="18"/>
          <w:color w:val="auto"/>
        </w:rPr>
        <w:t>104</w:t>
      </w:r>
      <w:r>
        <w:rPr>
          <w:sz w:val="20"/>
          <w:szCs w:val="20"/>
          <w:color w:val="auto"/>
        </w:rPr>
        <w:tab/>
      </w:r>
      <w:r>
        <w:rPr>
          <w:rFonts w:ascii="Calibri" w:cs="Calibri" w:eastAsia="Calibri" w:hAnsi="Calibri"/>
          <w:sz w:val="18"/>
          <w:szCs w:val="18"/>
          <w:color w:val="auto"/>
        </w:rPr>
        <w:t>Cover Page Interactve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auto"/>
        </w:rPr>
        <w:t>Incorporated by Reference</w:t>
      </w:r>
    </w:p>
    <w:p>
      <w:pPr>
        <w:spacing w:after="0" w:line="170" w:lineRule="exact"/>
        <w:rPr>
          <w:sz w:val="20"/>
          <w:szCs w:val="20"/>
          <w:color w:val="auto"/>
        </w:rPr>
      </w:pPr>
    </w:p>
    <w:p>
      <w:pPr>
        <w:spacing w:after="0" w:line="330" w:lineRule="auto"/>
        <w:rPr>
          <w:sz w:val="20"/>
          <w:szCs w:val="20"/>
          <w:color w:val="auto"/>
        </w:rPr>
      </w:pPr>
      <w:r>
        <w:rPr>
          <w:rFonts w:ascii="Calibri" w:cs="Calibri" w:eastAsia="Calibri" w:hAnsi="Calibri"/>
          <w:sz w:val="17"/>
          <w:szCs w:val="17"/>
          <w:color w:val="auto"/>
        </w:rPr>
        <w:t>Incorporated by Reference Filed Electronically Filed Electronically Filed Electronically</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8"/>
          <w:szCs w:val="18"/>
          <w:color w:val="auto"/>
        </w:rPr>
        <w:t>Filed Electronically</w:t>
      </w:r>
    </w:p>
    <w:p>
      <w:pPr>
        <w:spacing w:after="0" w:line="150" w:lineRule="exact"/>
        <w:rPr>
          <w:sz w:val="20"/>
          <w:szCs w:val="20"/>
          <w:color w:val="auto"/>
        </w:rPr>
      </w:pPr>
    </w:p>
    <w:p>
      <w:pPr>
        <w:sectPr>
          <w:pgSz w:w="11900" w:h="16838" w:orient="portrait"/>
          <w:cols w:equalWidth="0" w:num="2">
            <w:col w:w="8354" w:space="200"/>
            <w:col w:w="1900"/>
          </w:cols>
          <w:pgMar w:left="346" w:top="922" w:right="1099" w:bottom="1440" w:gutter="0" w:footer="0" w:header="0"/>
          <w:type w:val="continuous"/>
        </w:sectPr>
      </w:pPr>
    </w:p>
    <w:p>
      <w:pPr>
        <w:ind w:left="654" w:hanging="654"/>
        <w:spacing w:after="0"/>
        <w:tabs>
          <w:tab w:leader="none" w:pos="654"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Management contract or compensaton plan or arrangement required to be fled as an exhibit to this Annual Report on Form 10-K.</w:t>
      </w:r>
    </w:p>
    <w:p>
      <w:pPr>
        <w:spacing w:after="0" w:line="200" w:lineRule="exact"/>
        <w:rPr>
          <w:rFonts w:ascii="Calibri" w:cs="Calibri" w:eastAsia="Calibri" w:hAnsi="Calibri"/>
          <w:sz w:val="17"/>
          <w:szCs w:val="17"/>
          <w:color w:val="auto"/>
        </w:rPr>
      </w:pPr>
    </w:p>
    <w:p>
      <w:pPr>
        <w:spacing w:after="0" w:line="200" w:lineRule="exact"/>
        <w:rPr>
          <w:rFonts w:ascii="Calibri" w:cs="Calibri" w:eastAsia="Calibri" w:hAnsi="Calibri"/>
          <w:sz w:val="17"/>
          <w:szCs w:val="17"/>
          <w:color w:val="auto"/>
        </w:rPr>
      </w:pPr>
    </w:p>
    <w:p>
      <w:pPr>
        <w:spacing w:after="0" w:line="200" w:lineRule="exact"/>
        <w:rPr>
          <w:rFonts w:ascii="Calibri" w:cs="Calibri" w:eastAsia="Calibri" w:hAnsi="Calibri"/>
          <w:sz w:val="17"/>
          <w:szCs w:val="17"/>
          <w:color w:val="auto"/>
        </w:rPr>
      </w:pPr>
    </w:p>
    <w:p>
      <w:pPr>
        <w:spacing w:after="0" w:line="200" w:lineRule="exact"/>
        <w:rPr>
          <w:rFonts w:ascii="Calibri" w:cs="Calibri" w:eastAsia="Calibri" w:hAnsi="Calibri"/>
          <w:sz w:val="17"/>
          <w:szCs w:val="17"/>
          <w:color w:val="auto"/>
        </w:rPr>
      </w:pPr>
    </w:p>
    <w:p>
      <w:pPr>
        <w:spacing w:after="0" w:line="297" w:lineRule="exact"/>
        <w:rPr>
          <w:rFonts w:ascii="Calibri" w:cs="Calibri" w:eastAsia="Calibri" w:hAnsi="Calibri"/>
          <w:sz w:val="17"/>
          <w:szCs w:val="17"/>
          <w:color w:val="auto"/>
        </w:rPr>
      </w:pPr>
    </w:p>
    <w:p>
      <w:pPr>
        <w:ind w:left="5514"/>
        <w:spacing w:after="0"/>
        <w:rPr>
          <w:rFonts w:ascii="Calibri" w:cs="Calibri" w:eastAsia="Calibri" w:hAnsi="Calibri"/>
          <w:sz w:val="17"/>
          <w:szCs w:val="17"/>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54"/>
          </w:cols>
          <w:pgMar w:left="346" w:top="922" w:right="1099" w:bottom="1440" w:gutter="0" w:footer="0" w:header="0"/>
          <w:type w:val="continuous"/>
        </w:sectPr>
      </w:pPr>
    </w:p>
    <w:bookmarkStart w:id="56" w:name="page57"/>
    <w:bookmarkEnd w:id="56"/>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3.2 to the Company’s Current Report on Form 8-K dated February 26, 2021 and fled March 2, 2021.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3.1 to the Company’s Current Report on Form 8-K dated October 28, 2009 and fled November 3, 2009.</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4.1 to the Company’s Annual Report on Form 10-K fled June 2,2021.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 to the Company’s Registraton Statement on Form S-8 fled June 6, 2011.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 to the Company’s Quarterly Report on Form 10-Q for the quarterly period ended July 3, 2011.</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99.1 to the Company’s Registraton Statement on Form S-8 fled November 2, 2018.</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10.4 to the Company’s Annual Report on Form 10-K fled May 17, 2023.</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 to the Company’s Registraton Statement on Form 8-K fled December 3, 2018.</w:t>
      </w:r>
    </w:p>
    <w:p>
      <w:pPr>
        <w:spacing w:after="0" w:line="163"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Incorporated by reference to Exhibit 10.3 to the Company’s Quarterly Report on Form 10-Q for the quarterly period ended September 29, 2019.</w:t>
      </w:r>
    </w:p>
    <w:p>
      <w:pPr>
        <w:spacing w:after="0" w:line="165" w:lineRule="exact"/>
        <w:rPr>
          <w:rFonts w:ascii="Calibri" w:cs="Calibri" w:eastAsia="Calibri" w:hAnsi="Calibri"/>
          <w:sz w:val="17"/>
          <w:szCs w:val="17"/>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10.10 to the Company’s Annual Report on Form 10-K fled May 20,2020.</w:t>
      </w:r>
    </w:p>
    <w:p>
      <w:pPr>
        <w:spacing w:after="0" w:line="158" w:lineRule="exact"/>
        <w:rPr>
          <w:rFonts w:ascii="Calibri" w:cs="Calibri" w:eastAsia="Calibri" w:hAnsi="Calibri"/>
          <w:sz w:val="18"/>
          <w:szCs w:val="18"/>
          <w:color w:val="auto"/>
        </w:rPr>
      </w:pPr>
    </w:p>
    <w:p>
      <w:pPr>
        <w:ind w:left="560" w:hanging="309"/>
        <w:spacing w:after="0"/>
        <w:tabs>
          <w:tab w:leader="none" w:pos="5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10.7 to the Company’s Annual Report on Form 10-K fled June 2,2021.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5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922" w:right="799" w:bottom="1440" w:gutter="0" w:footer="0" w:header="0"/>
        </w:sectPr>
      </w:pPr>
    </w:p>
    <w:bookmarkStart w:id="57" w:name="page58"/>
    <w:bookmarkEnd w:id="57"/>
    <w:p>
      <w:pPr>
        <w:jc w:val="center"/>
        <w:ind w:right="-159"/>
        <w:spacing w:after="0"/>
        <w:rPr>
          <w:sz w:val="20"/>
          <w:szCs w:val="20"/>
          <w:color w:val="auto"/>
        </w:rPr>
      </w:pPr>
      <w:r>
        <w:rPr>
          <w:rFonts w:ascii="Calibri" w:cs="Calibri" w:eastAsia="Calibri" w:hAnsi="Calibri"/>
          <w:sz w:val="18"/>
          <w:szCs w:val="18"/>
          <w:b w:val="1"/>
          <w:bCs w:val="1"/>
          <w:color w:val="auto"/>
        </w:rPr>
        <w:t>SIGNATURES</w:t>
      </w:r>
    </w:p>
    <w:p>
      <w:pPr>
        <w:spacing w:after="0" w:line="1" w:lineRule="exact"/>
        <w:rPr>
          <w:sz w:val="20"/>
          <w:szCs w:val="20"/>
          <w:color w:val="auto"/>
        </w:rPr>
      </w:pPr>
    </w:p>
    <w:p>
      <w:pPr>
        <w:ind w:right="280"/>
        <w:spacing w:after="0" w:line="227"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39"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Calibri" w:cs="Calibri" w:eastAsia="Calibri" w:hAnsi="Calibri"/>
                <w:sz w:val="18"/>
                <w:szCs w:val="18"/>
                <w:color w:val="auto"/>
              </w:rPr>
              <w:t>HAWKINS, INC.</w:t>
            </w:r>
          </w:p>
        </w:tc>
        <w:tc>
          <w:tcPr>
            <w:tcW w:w="3940" w:type="dxa"/>
            <w:vAlign w:val="bottom"/>
          </w:tcPr>
          <w:p>
            <w:pPr>
              <w:spacing w:after="0"/>
              <w:rPr>
                <w:sz w:val="19"/>
                <w:szCs w:val="19"/>
                <w:color w:val="auto"/>
              </w:rPr>
            </w:pPr>
          </w:p>
        </w:tc>
      </w:tr>
      <w:tr>
        <w:trPr>
          <w:trHeight w:val="499"/>
        </w:trPr>
        <w:tc>
          <w:tcPr>
            <w:tcW w:w="1140" w:type="dxa"/>
            <w:vAlign w:val="bottom"/>
          </w:tcPr>
          <w:p>
            <w:pPr>
              <w:ind w:left="500"/>
              <w:spacing w:after="0"/>
              <w:rPr>
                <w:sz w:val="20"/>
                <w:szCs w:val="20"/>
                <w:color w:val="auto"/>
              </w:rPr>
            </w:pPr>
            <w:r>
              <w:rPr>
                <w:rFonts w:ascii="Calibri" w:cs="Calibri" w:eastAsia="Calibri" w:hAnsi="Calibri"/>
                <w:sz w:val="18"/>
                <w:szCs w:val="18"/>
                <w:color w:val="auto"/>
              </w:rPr>
              <w:t>By</w:t>
            </w:r>
          </w:p>
        </w:tc>
        <w:tc>
          <w:tcPr>
            <w:tcW w:w="3940" w:type="dxa"/>
            <w:vAlign w:val="bottom"/>
          </w:tcPr>
          <w:p>
            <w:pPr>
              <w:ind w:left="20"/>
              <w:spacing w:after="0"/>
              <w:rPr>
                <w:sz w:val="20"/>
                <w:szCs w:val="20"/>
                <w:color w:val="auto"/>
              </w:rPr>
            </w:pPr>
            <w:r>
              <w:rPr>
                <w:rFonts w:ascii="Calibri" w:cs="Calibri" w:eastAsia="Calibri" w:hAnsi="Calibri"/>
                <w:sz w:val="18"/>
                <w:szCs w:val="18"/>
                <w:color w:val="auto"/>
              </w:rPr>
              <w:t>/s/ Patrick H. Hawkins</w:t>
            </w:r>
          </w:p>
        </w:tc>
      </w:tr>
      <w:tr>
        <w:trPr>
          <w:trHeight w:val="23"/>
        </w:trPr>
        <w:tc>
          <w:tcPr>
            <w:tcW w:w="114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160"/>
        </w:trPr>
        <w:tc>
          <w:tcPr>
            <w:tcW w:w="1140" w:type="dxa"/>
            <w:vAlign w:val="bottom"/>
          </w:tcPr>
          <w:p>
            <w:pPr>
              <w:spacing w:after="0"/>
              <w:rPr>
                <w:sz w:val="13"/>
                <w:szCs w:val="13"/>
                <w:color w:val="auto"/>
              </w:rPr>
            </w:pPr>
          </w:p>
        </w:tc>
        <w:tc>
          <w:tcPr>
            <w:tcW w:w="3940" w:type="dxa"/>
            <w:vAlign w:val="bottom"/>
          </w:tcPr>
          <w:p>
            <w:pPr>
              <w:ind w:left="20"/>
              <w:spacing w:after="0" w:line="160" w:lineRule="exact"/>
              <w:rPr>
                <w:sz w:val="20"/>
                <w:szCs w:val="20"/>
                <w:color w:val="auto"/>
              </w:rPr>
            </w:pPr>
            <w:r>
              <w:rPr>
                <w:rFonts w:ascii="Calibri" w:cs="Calibri" w:eastAsia="Calibri" w:hAnsi="Calibri"/>
                <w:sz w:val="17"/>
                <w:szCs w:val="17"/>
                <w:color w:val="auto"/>
              </w:rPr>
              <w:t>Patrick H. Hawkins</w:t>
            </w:r>
          </w:p>
        </w:tc>
      </w:tr>
      <w:tr>
        <w:trPr>
          <w:trHeight w:val="215"/>
        </w:trPr>
        <w:tc>
          <w:tcPr>
            <w:tcW w:w="1140" w:type="dxa"/>
            <w:vAlign w:val="bottom"/>
          </w:tcPr>
          <w:p>
            <w:pPr>
              <w:spacing w:after="0"/>
              <w:rPr>
                <w:sz w:val="18"/>
                <w:szCs w:val="18"/>
                <w:color w:val="auto"/>
              </w:rPr>
            </w:pPr>
          </w:p>
        </w:tc>
        <w:tc>
          <w:tcPr>
            <w:tcW w:w="394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 and President</w:t>
            </w:r>
          </w:p>
        </w:tc>
      </w:tr>
    </w:tbl>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Calibri" w:cs="Calibri" w:eastAsia="Calibri" w:hAnsi="Calibri"/>
                <w:sz w:val="18"/>
                <w:szCs w:val="18"/>
                <w:color w:val="auto"/>
              </w:rPr>
              <w:t>Dated:</w:t>
            </w:r>
          </w:p>
        </w:tc>
        <w:tc>
          <w:tcPr>
            <w:tcW w:w="1140" w:type="dxa"/>
            <w:vAlign w:val="bottom"/>
          </w:tcPr>
          <w:p>
            <w:pPr>
              <w:ind w:left="160"/>
              <w:spacing w:after="0"/>
              <w:rPr>
                <w:sz w:val="20"/>
                <w:szCs w:val="20"/>
                <w:color w:val="auto"/>
              </w:rPr>
            </w:pPr>
            <w:r>
              <w:rPr>
                <w:rFonts w:ascii="Calibri" w:cs="Calibri" w:eastAsia="Calibri" w:hAnsi="Calibri"/>
                <w:sz w:val="18"/>
                <w:szCs w:val="18"/>
                <w:color w:val="auto"/>
                <w:w w:val="96"/>
              </w:rPr>
              <w:t>May 15, 2024</w:t>
            </w:r>
          </w:p>
        </w:tc>
      </w:tr>
    </w:tbl>
    <w:p>
      <w:pPr>
        <w:spacing w:after="0" w:line="32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by the following persons on behalf of the registrant in the capacites and on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ind w:left="20"/>
              <w:spacing w:after="0"/>
              <w:rPr>
                <w:sz w:val="20"/>
                <w:szCs w:val="20"/>
                <w:color w:val="auto"/>
              </w:rPr>
            </w:pPr>
            <w:r>
              <w:rPr>
                <w:rFonts w:ascii="Calibri" w:cs="Calibri" w:eastAsia="Calibri" w:hAnsi="Calibri"/>
                <w:sz w:val="18"/>
                <w:szCs w:val="18"/>
                <w:color w:val="auto"/>
              </w:rPr>
              <w:t>Signature</w:t>
            </w:r>
          </w:p>
        </w:tc>
        <w:tc>
          <w:tcPr>
            <w:tcW w:w="26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Title</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Date</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320" w:type="dxa"/>
            <w:vAlign w:val="bottom"/>
          </w:tcPr>
          <w:p>
            <w:pPr>
              <w:ind w:left="20"/>
              <w:spacing w:after="0"/>
              <w:rPr>
                <w:sz w:val="20"/>
                <w:szCs w:val="20"/>
                <w:color w:val="auto"/>
              </w:rPr>
            </w:pPr>
            <w:r>
              <w:rPr>
                <w:rFonts w:ascii="Calibri" w:cs="Calibri" w:eastAsia="Calibri" w:hAnsi="Calibri"/>
                <w:sz w:val="18"/>
                <w:szCs w:val="18"/>
                <w:color w:val="auto"/>
              </w:rPr>
              <w:t>/s/ Patrick H. Hawkins</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Calibri" w:cs="Calibri" w:eastAsia="Calibri" w:hAnsi="Calibri"/>
                <w:sz w:val="18"/>
                <w:szCs w:val="18"/>
                <w:color w:val="auto"/>
              </w:rPr>
              <w:t>Chief Executve Ofcer, President and Director</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Patrick H. Hawkins</w:t>
            </w:r>
          </w:p>
        </w:tc>
        <w:tc>
          <w:tcPr>
            <w:tcW w:w="26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(principal executve ofcer)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320" w:type="dxa"/>
            <w:vAlign w:val="bottom"/>
          </w:tcPr>
          <w:p>
            <w:pPr>
              <w:ind w:left="20"/>
              <w:spacing w:after="0"/>
              <w:rPr>
                <w:sz w:val="20"/>
                <w:szCs w:val="20"/>
                <w:color w:val="auto"/>
              </w:rPr>
            </w:pPr>
            <w:r>
              <w:rPr>
                <w:rFonts w:ascii="Calibri" w:cs="Calibri" w:eastAsia="Calibri" w:hAnsi="Calibri"/>
                <w:sz w:val="18"/>
                <w:szCs w:val="18"/>
                <w:color w:val="auto"/>
              </w:rPr>
              <w:t>/s/ Jefrey P. Oldenkamp</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Calibri" w:cs="Calibri" w:eastAsia="Calibri" w:hAnsi="Calibri"/>
                <w:sz w:val="18"/>
                <w:szCs w:val="18"/>
                <w:color w:val="auto"/>
              </w:rPr>
              <w:t>Executve Vice President and Chief Financial Ofcer</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Jefrey P. Oldenkamp</w:t>
            </w:r>
          </w:p>
        </w:tc>
        <w:tc>
          <w:tcPr>
            <w:tcW w:w="26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(principal fnancial ofcer and principal accountng ofcer)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James A. Faulconbridge</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Mary J. Schumacher</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Jefrey E. Spethmann</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Daniel J. Stauber</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Yi "Faith" Tang</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James T. Thompson</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3320" w:type="dxa"/>
            <w:vAlign w:val="bottom"/>
          </w:tcPr>
          <w:p>
            <w:pPr>
              <w:ind w:left="2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1660" w:type="dxa"/>
            <w:vAlign w:val="bottom"/>
          </w:tcPr>
          <w:p>
            <w:pPr>
              <w:ind w:left="20"/>
              <w:spacing w:after="0"/>
              <w:rPr>
                <w:sz w:val="20"/>
                <w:szCs w:val="20"/>
                <w:color w:val="auto"/>
              </w:rPr>
            </w:pPr>
            <w:r>
              <w:rPr>
                <w:rFonts w:ascii="Calibri" w:cs="Calibri" w:eastAsia="Calibri" w:hAnsi="Calibri"/>
                <w:sz w:val="18"/>
                <w:szCs w:val="18"/>
                <w:color w:val="auto"/>
              </w:rPr>
              <w:t>May 15, 2024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8" w:lineRule="exact"/>
              <w:rPr>
                <w:sz w:val="20"/>
                <w:szCs w:val="20"/>
                <w:color w:val="auto"/>
              </w:rPr>
            </w:pPr>
            <w:r>
              <w:rPr>
                <w:rFonts w:ascii="Calibri" w:cs="Calibri" w:eastAsia="Calibri" w:hAnsi="Calibri"/>
                <w:sz w:val="18"/>
                <w:szCs w:val="18"/>
                <w:color w:val="auto"/>
              </w:rPr>
              <w:t>Jefrey L. Wright</w:t>
            </w:r>
          </w:p>
        </w:tc>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firstLine="8"/>
        <w:spacing w:after="0" w:line="213" w:lineRule="auto"/>
        <w:tabs>
          <w:tab w:leader="none" w:pos="127"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Patrick H. Hawkins, by signing his name hereto, does hereby sign this document on behalf of each of the above-named directors of the registrant pursuant to Powers of Atorney duly executed by such persons.</w:t>
      </w:r>
    </w:p>
    <w:p>
      <w:pPr>
        <w:spacing w:after="0" w:line="10" w:lineRule="exact"/>
        <w:rPr>
          <w:sz w:val="20"/>
          <w:szCs w:val="20"/>
          <w:color w:val="auto"/>
        </w:rPr>
      </w:pPr>
    </w:p>
    <w:p>
      <w:pPr>
        <w:ind w:left="4900"/>
        <w:spacing w:after="0"/>
        <w:rPr>
          <w:sz w:val="20"/>
          <w:szCs w:val="20"/>
          <w:color w:val="auto"/>
        </w:rPr>
      </w:pPr>
      <w:r>
        <w:rPr>
          <w:rFonts w:ascii="Calibri" w:cs="Calibri" w:eastAsia="Calibri" w:hAnsi="Calibri"/>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15240</wp:posOffset>
            </wp:positionV>
            <wp:extent cx="30772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jc w:val="center"/>
        <w:ind w:right="-339"/>
        <w:spacing w:after="0"/>
        <w:rPr>
          <w:sz w:val="20"/>
          <w:szCs w:val="20"/>
          <w:color w:val="auto"/>
        </w:rPr>
      </w:pPr>
      <w:r>
        <w:rPr>
          <w:rFonts w:ascii="Calibri" w:cs="Calibri" w:eastAsia="Calibri" w:hAnsi="Calibri"/>
          <w:sz w:val="18"/>
          <w:szCs w:val="18"/>
          <w:color w:val="auto"/>
        </w:rPr>
        <w:t>Atorney-in-fact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2" w:right="499" w:bottom="1440" w:gutter="0" w:footer="0" w:header="0"/>
        </w:sectPr>
      </w:pPr>
    </w:p>
    <w:bookmarkStart w:id="58" w:name="page59"/>
    <w:bookmarkEnd w:id="58"/>
    <w:p>
      <w:pPr>
        <w:jc w:val="center"/>
        <w:ind w:right="40"/>
        <w:spacing w:after="0"/>
        <w:rPr>
          <w:sz w:val="20"/>
          <w:szCs w:val="20"/>
          <w:color w:val="auto"/>
        </w:rPr>
      </w:pPr>
      <w:r>
        <w:rPr>
          <w:rFonts w:ascii="Calibri" w:cs="Calibri" w:eastAsia="Calibri" w:hAnsi="Calibri"/>
          <w:sz w:val="18"/>
          <w:szCs w:val="18"/>
          <w:b w:val="1"/>
          <w:bCs w:val="1"/>
          <w:color w:val="auto"/>
        </w:rPr>
        <w:t>SCHEDULE II</w:t>
      </w:r>
    </w:p>
    <w:p>
      <w:pPr>
        <w:spacing w:after="0" w:line="158"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HAWKINS, INC.</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VALUATION AND QUALIFYING ACCOUNTS</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FOR THE FISCAL YEARS ENDED March 31, 2024, April 2, 2023 AND April 3,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Additons</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vMerge w:val="restart"/>
          </w:tcPr>
          <w:p>
            <w:pPr>
              <w:jc w:val="center"/>
              <w:ind w:right="279"/>
              <w:spacing w:after="0"/>
              <w:rPr>
                <w:sz w:val="20"/>
                <w:szCs w:val="20"/>
                <w:color w:val="auto"/>
              </w:rPr>
            </w:pPr>
            <w:r>
              <w:rPr>
                <w:rFonts w:ascii="Calibri" w:cs="Calibri" w:eastAsia="Calibri" w:hAnsi="Calibri"/>
                <w:sz w:val="14"/>
                <w:szCs w:val="14"/>
                <w:b w:val="1"/>
                <w:bCs w:val="1"/>
                <w:color w:val="auto"/>
              </w:rPr>
              <w:t>Balance at</w:t>
            </w: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201"/>
              <w:spacing w:after="0" w:line="127" w:lineRule="exact"/>
              <w:rPr>
                <w:sz w:val="20"/>
                <w:szCs w:val="20"/>
                <w:color w:val="auto"/>
              </w:rPr>
            </w:pPr>
            <w:r>
              <w:rPr>
                <w:rFonts w:ascii="Calibri" w:cs="Calibri" w:eastAsia="Calibri" w:hAnsi="Calibri"/>
                <w:sz w:val="13"/>
                <w:szCs w:val="13"/>
                <w:b w:val="1"/>
                <w:bCs w:val="1"/>
                <w:color w:val="auto"/>
              </w:rPr>
              <w:t>Charged to</w:t>
            </w:r>
          </w:p>
        </w:tc>
        <w:tc>
          <w:tcPr>
            <w:tcW w:w="340" w:type="dxa"/>
            <w:vAlign w:val="bottom"/>
          </w:tcPr>
          <w:p>
            <w:pPr>
              <w:spacing w:after="0"/>
              <w:rPr>
                <w:sz w:val="11"/>
                <w:szCs w:val="11"/>
                <w:color w:val="auto"/>
              </w:rPr>
            </w:pPr>
          </w:p>
        </w:tc>
        <w:tc>
          <w:tcPr>
            <w:tcW w:w="1140" w:type="dxa"/>
            <w:vAlign w:val="bottom"/>
          </w:tcPr>
          <w:p>
            <w:pPr>
              <w:jc w:val="center"/>
              <w:ind w:right="181"/>
              <w:spacing w:after="0" w:line="127" w:lineRule="exact"/>
              <w:rPr>
                <w:sz w:val="20"/>
                <w:szCs w:val="20"/>
                <w:color w:val="auto"/>
              </w:rPr>
            </w:pPr>
            <w:r>
              <w:rPr>
                <w:rFonts w:ascii="Calibri" w:cs="Calibri" w:eastAsia="Calibri" w:hAnsi="Calibri"/>
                <w:sz w:val="13"/>
                <w:szCs w:val="13"/>
                <w:b w:val="1"/>
                <w:bCs w:val="1"/>
                <w:color w:val="auto"/>
              </w:rPr>
              <w:t>Charged to</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279"/>
              <w:spacing w:after="0" w:line="136" w:lineRule="exact"/>
              <w:rPr>
                <w:sz w:val="20"/>
                <w:szCs w:val="20"/>
                <w:color w:val="auto"/>
              </w:rPr>
            </w:pPr>
            <w:r>
              <w:rPr>
                <w:rFonts w:ascii="Calibri" w:cs="Calibri" w:eastAsia="Calibri" w:hAnsi="Calibri"/>
                <w:sz w:val="14"/>
                <w:szCs w:val="14"/>
                <w:b w:val="1"/>
                <w:bCs w:val="1"/>
                <w:color w:val="auto"/>
              </w:rPr>
              <w:t>Beginning</w:t>
            </w:r>
          </w:p>
        </w:tc>
        <w:tc>
          <w:tcPr>
            <w:tcW w:w="240" w:type="dxa"/>
            <w:vAlign w:val="bottom"/>
          </w:tcPr>
          <w:p>
            <w:pPr>
              <w:spacing w:after="0"/>
              <w:rPr>
                <w:sz w:val="11"/>
                <w:szCs w:val="11"/>
                <w:color w:val="auto"/>
              </w:rPr>
            </w:pPr>
          </w:p>
        </w:tc>
        <w:tc>
          <w:tcPr>
            <w:tcW w:w="1160" w:type="dxa"/>
            <w:vAlign w:val="bottom"/>
          </w:tcPr>
          <w:p>
            <w:pPr>
              <w:jc w:val="center"/>
              <w:ind w:right="181"/>
              <w:spacing w:after="0" w:line="136" w:lineRule="exact"/>
              <w:rPr>
                <w:sz w:val="20"/>
                <w:szCs w:val="20"/>
                <w:color w:val="auto"/>
              </w:rPr>
            </w:pPr>
            <w:r>
              <w:rPr>
                <w:rFonts w:ascii="Calibri" w:cs="Calibri" w:eastAsia="Calibri" w:hAnsi="Calibri"/>
                <w:sz w:val="14"/>
                <w:szCs w:val="14"/>
                <w:b w:val="1"/>
                <w:bCs w:val="1"/>
                <w:color w:val="auto"/>
              </w:rPr>
              <w:t>Costs and</w:t>
            </w:r>
          </w:p>
        </w:tc>
        <w:tc>
          <w:tcPr>
            <w:tcW w:w="340" w:type="dxa"/>
            <w:vAlign w:val="bottom"/>
          </w:tcPr>
          <w:p>
            <w:pPr>
              <w:spacing w:after="0"/>
              <w:rPr>
                <w:sz w:val="11"/>
                <w:szCs w:val="11"/>
                <w:color w:val="auto"/>
              </w:rPr>
            </w:pPr>
          </w:p>
        </w:tc>
        <w:tc>
          <w:tcPr>
            <w:tcW w:w="1140" w:type="dxa"/>
            <w:vAlign w:val="bottom"/>
          </w:tcPr>
          <w:p>
            <w:pPr>
              <w:jc w:val="center"/>
              <w:ind w:right="181"/>
              <w:spacing w:after="0" w:line="136" w:lineRule="exact"/>
              <w:rPr>
                <w:sz w:val="20"/>
                <w:szCs w:val="20"/>
                <w:color w:val="auto"/>
              </w:rPr>
            </w:pPr>
            <w:r>
              <w:rPr>
                <w:rFonts w:ascii="Calibri" w:cs="Calibri" w:eastAsia="Calibri" w:hAnsi="Calibri"/>
                <w:sz w:val="14"/>
                <w:szCs w:val="14"/>
                <w:b w:val="1"/>
                <w:bCs w:val="1"/>
                <w:color w:val="auto"/>
              </w:rPr>
              <w:t>Other</w:t>
            </w:r>
          </w:p>
        </w:tc>
        <w:tc>
          <w:tcPr>
            <w:tcW w:w="340" w:type="dxa"/>
            <w:vAlign w:val="bottom"/>
          </w:tcPr>
          <w:p>
            <w:pPr>
              <w:spacing w:after="0"/>
              <w:rPr>
                <w:sz w:val="11"/>
                <w:szCs w:val="11"/>
                <w:color w:val="auto"/>
              </w:rPr>
            </w:pPr>
          </w:p>
        </w:tc>
        <w:tc>
          <w:tcPr>
            <w:tcW w:w="1200" w:type="dxa"/>
            <w:vAlign w:val="bottom"/>
          </w:tcPr>
          <w:p>
            <w:pPr>
              <w:jc w:val="right"/>
              <w:ind w:right="317"/>
              <w:spacing w:after="0" w:line="136" w:lineRule="exact"/>
              <w:rPr>
                <w:sz w:val="20"/>
                <w:szCs w:val="20"/>
                <w:color w:val="auto"/>
              </w:rPr>
            </w:pPr>
            <w:r>
              <w:rPr>
                <w:rFonts w:ascii="Calibri" w:cs="Calibri" w:eastAsia="Calibri" w:hAnsi="Calibri"/>
                <w:sz w:val="14"/>
                <w:szCs w:val="14"/>
                <w:b w:val="1"/>
                <w:bCs w:val="1"/>
                <w:color w:val="auto"/>
              </w:rPr>
              <w:t>Deductons</w:t>
            </w:r>
          </w:p>
        </w:tc>
        <w:tc>
          <w:tcPr>
            <w:tcW w:w="280" w:type="dxa"/>
            <w:vAlign w:val="bottom"/>
          </w:tcPr>
          <w:p>
            <w:pPr>
              <w:spacing w:after="0"/>
              <w:rPr>
                <w:sz w:val="11"/>
                <w:szCs w:val="11"/>
                <w:color w:val="auto"/>
              </w:rPr>
            </w:pPr>
          </w:p>
        </w:tc>
        <w:tc>
          <w:tcPr>
            <w:tcW w:w="1180" w:type="dxa"/>
            <w:vAlign w:val="bottom"/>
          </w:tcPr>
          <w:p>
            <w:pPr>
              <w:jc w:val="right"/>
              <w:ind w:right="317"/>
              <w:spacing w:after="0" w:line="136" w:lineRule="exact"/>
              <w:rPr>
                <w:sz w:val="20"/>
                <w:szCs w:val="20"/>
                <w:color w:val="auto"/>
              </w:rPr>
            </w:pPr>
            <w:r>
              <w:rPr>
                <w:rFonts w:ascii="Calibri" w:cs="Calibri" w:eastAsia="Calibri" w:hAnsi="Calibri"/>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29" w:lineRule="exact"/>
              <w:rPr>
                <w:sz w:val="20"/>
                <w:szCs w:val="20"/>
                <w:color w:val="auto"/>
              </w:rPr>
            </w:pPr>
            <w:r>
              <w:rPr>
                <w:rFonts w:ascii="Calibri" w:cs="Calibri" w:eastAsia="Calibri" w:hAnsi="Calibri"/>
                <w:sz w:val="14"/>
                <w:szCs w:val="14"/>
                <w:b w:val="1"/>
                <w:bCs w:val="1"/>
                <w:color w:val="auto"/>
              </w:rPr>
              <w:t>Descripton</w:t>
            </w:r>
          </w:p>
        </w:tc>
        <w:tc>
          <w:tcPr>
            <w:tcW w:w="240" w:type="dxa"/>
            <w:vAlign w:val="bottom"/>
          </w:tcPr>
          <w:p>
            <w:pPr>
              <w:spacing w:after="0"/>
              <w:rPr>
                <w:sz w:val="12"/>
                <w:szCs w:val="12"/>
                <w:color w:val="auto"/>
              </w:rPr>
            </w:pPr>
          </w:p>
        </w:tc>
        <w:tc>
          <w:tcPr>
            <w:tcW w:w="1260" w:type="dxa"/>
            <w:vAlign w:val="bottom"/>
          </w:tcPr>
          <w:p>
            <w:pPr>
              <w:jc w:val="center"/>
              <w:ind w:right="279"/>
              <w:spacing w:after="0" w:line="129" w:lineRule="exact"/>
              <w:rPr>
                <w:sz w:val="20"/>
                <w:szCs w:val="20"/>
                <w:color w:val="auto"/>
              </w:rPr>
            </w:pPr>
            <w:r>
              <w:rPr>
                <w:rFonts w:ascii="Calibri" w:cs="Calibri" w:eastAsia="Calibri" w:hAnsi="Calibri"/>
                <w:sz w:val="14"/>
                <w:szCs w:val="14"/>
                <w:b w:val="1"/>
                <w:bCs w:val="1"/>
                <w:color w:val="auto"/>
              </w:rPr>
              <w:t>of Year</w:t>
            </w:r>
          </w:p>
        </w:tc>
        <w:tc>
          <w:tcPr>
            <w:tcW w:w="240" w:type="dxa"/>
            <w:vAlign w:val="bottom"/>
          </w:tcPr>
          <w:p>
            <w:pPr>
              <w:spacing w:after="0"/>
              <w:rPr>
                <w:sz w:val="12"/>
                <w:szCs w:val="12"/>
                <w:color w:val="auto"/>
              </w:rPr>
            </w:pPr>
          </w:p>
        </w:tc>
        <w:tc>
          <w:tcPr>
            <w:tcW w:w="1160" w:type="dxa"/>
            <w:vAlign w:val="bottom"/>
          </w:tcPr>
          <w:p>
            <w:pPr>
              <w:jc w:val="center"/>
              <w:ind w:right="181"/>
              <w:spacing w:after="0" w:line="129" w:lineRule="exact"/>
              <w:rPr>
                <w:sz w:val="20"/>
                <w:szCs w:val="20"/>
                <w:color w:val="auto"/>
              </w:rPr>
            </w:pPr>
            <w:r>
              <w:rPr>
                <w:rFonts w:ascii="Calibri" w:cs="Calibri" w:eastAsia="Calibri" w:hAnsi="Calibri"/>
                <w:sz w:val="14"/>
                <w:szCs w:val="14"/>
                <w:b w:val="1"/>
                <w:bCs w:val="1"/>
                <w:color w:val="auto"/>
              </w:rPr>
              <w:t>Expenses</w:t>
            </w:r>
          </w:p>
        </w:tc>
        <w:tc>
          <w:tcPr>
            <w:tcW w:w="340" w:type="dxa"/>
            <w:vAlign w:val="bottom"/>
          </w:tcPr>
          <w:p>
            <w:pPr>
              <w:spacing w:after="0"/>
              <w:rPr>
                <w:sz w:val="12"/>
                <w:szCs w:val="12"/>
                <w:color w:val="auto"/>
              </w:rPr>
            </w:pPr>
          </w:p>
        </w:tc>
        <w:tc>
          <w:tcPr>
            <w:tcW w:w="1140" w:type="dxa"/>
            <w:vAlign w:val="bottom"/>
          </w:tcPr>
          <w:p>
            <w:pPr>
              <w:jc w:val="center"/>
              <w:ind w:right="201"/>
              <w:spacing w:after="0" w:line="129" w:lineRule="exact"/>
              <w:rPr>
                <w:sz w:val="20"/>
                <w:szCs w:val="20"/>
                <w:color w:val="auto"/>
              </w:rPr>
            </w:pPr>
            <w:r>
              <w:rPr>
                <w:rFonts w:ascii="Calibri" w:cs="Calibri" w:eastAsia="Calibri" w:hAnsi="Calibri"/>
                <w:sz w:val="14"/>
                <w:szCs w:val="14"/>
                <w:b w:val="1"/>
                <w:bCs w:val="1"/>
                <w:color w:val="auto"/>
              </w:rPr>
              <w:t>Accounts</w:t>
            </w:r>
          </w:p>
        </w:tc>
        <w:tc>
          <w:tcPr>
            <w:tcW w:w="340" w:type="dxa"/>
            <w:vAlign w:val="bottom"/>
          </w:tcPr>
          <w:p>
            <w:pPr>
              <w:spacing w:after="0"/>
              <w:rPr>
                <w:sz w:val="12"/>
                <w:szCs w:val="12"/>
                <w:color w:val="auto"/>
              </w:rPr>
            </w:pPr>
          </w:p>
        </w:tc>
        <w:tc>
          <w:tcPr>
            <w:tcW w:w="1200" w:type="dxa"/>
            <w:vAlign w:val="bottom"/>
          </w:tcPr>
          <w:p>
            <w:pPr>
              <w:jc w:val="right"/>
              <w:ind w:right="357"/>
              <w:spacing w:after="0" w:line="129" w:lineRule="exact"/>
              <w:rPr>
                <w:sz w:val="20"/>
                <w:szCs w:val="20"/>
                <w:color w:val="auto"/>
              </w:rPr>
            </w:pPr>
            <w:r>
              <w:rPr>
                <w:rFonts w:ascii="Calibri" w:cs="Calibri" w:eastAsia="Calibri" w:hAnsi="Calibri"/>
                <w:sz w:val="14"/>
                <w:szCs w:val="14"/>
                <w:b w:val="1"/>
                <w:bCs w:val="1"/>
                <w:color w:val="auto"/>
              </w:rPr>
              <w:t>Write-Ofs</w:t>
            </w:r>
          </w:p>
        </w:tc>
        <w:tc>
          <w:tcPr>
            <w:tcW w:w="280" w:type="dxa"/>
            <w:vAlign w:val="bottom"/>
          </w:tcPr>
          <w:p>
            <w:pPr>
              <w:spacing w:after="0"/>
              <w:rPr>
                <w:sz w:val="12"/>
                <w:szCs w:val="12"/>
                <w:color w:val="auto"/>
              </w:rPr>
            </w:pPr>
          </w:p>
        </w:tc>
        <w:tc>
          <w:tcPr>
            <w:tcW w:w="1180" w:type="dxa"/>
            <w:vAlign w:val="bottom"/>
          </w:tcPr>
          <w:p>
            <w:pPr>
              <w:jc w:val="right"/>
              <w:ind w:right="277"/>
              <w:spacing w:after="0" w:line="129" w:lineRule="exact"/>
              <w:rPr>
                <w:sz w:val="20"/>
                <w:szCs w:val="20"/>
                <w:color w:val="auto"/>
              </w:rPr>
            </w:pPr>
            <w:r>
              <w:rPr>
                <w:rFonts w:ascii="Calibri" w:cs="Calibri" w:eastAsia="Calibri" w:hAnsi="Calibri"/>
                <w:sz w:val="14"/>
                <w:szCs w:val="14"/>
                <w:b w:val="1"/>
                <w:bCs w:val="1"/>
                <w:color w:val="auto"/>
              </w:rPr>
              <w:t>End of Year</w:t>
            </w:r>
          </w:p>
        </w:tc>
        <w:tc>
          <w:tcPr>
            <w:tcW w:w="0" w:type="dxa"/>
            <w:vAlign w:val="bottom"/>
          </w:tcPr>
          <w:p>
            <w:pPr>
              <w:spacing w:after="0"/>
              <w:rPr>
                <w:sz w:val="1"/>
                <w:szCs w:val="1"/>
                <w:color w:val="auto"/>
              </w:rPr>
            </w:pPr>
          </w:p>
        </w:tc>
      </w:tr>
      <w:tr>
        <w:trPr>
          <w:trHeight w:val="48"/>
        </w:trPr>
        <w:tc>
          <w:tcPr>
            <w:tcW w:w="68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161"/>
              <w:spacing w:after="0" w:line="164" w:lineRule="exact"/>
              <w:rPr>
                <w:sz w:val="20"/>
                <w:szCs w:val="20"/>
                <w:color w:val="auto"/>
              </w:rPr>
            </w:pPr>
            <w:r>
              <w:rPr>
                <w:rFonts w:ascii="Calibri" w:cs="Calibri" w:eastAsia="Calibri" w:hAnsi="Calibri"/>
                <w:sz w:val="14"/>
                <w:szCs w:val="14"/>
                <w:b w:val="1"/>
                <w:bCs w:val="1"/>
                <w:color w:val="auto"/>
              </w:rPr>
              <w:t>(In thousands)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780" w:type="dxa"/>
            <w:vAlign w:val="bottom"/>
            <w:gridSpan w:val="2"/>
          </w:tcPr>
          <w:p>
            <w:pPr>
              <w:spacing w:after="0"/>
              <w:rPr>
                <w:sz w:val="20"/>
                <w:szCs w:val="20"/>
                <w:color w:val="auto"/>
              </w:rPr>
            </w:pPr>
            <w:r>
              <w:rPr>
                <w:rFonts w:ascii="Calibri" w:cs="Calibri" w:eastAsia="Calibri" w:hAnsi="Calibri"/>
                <w:sz w:val="18"/>
                <w:szCs w:val="18"/>
                <w:color w:val="auto"/>
              </w:rPr>
              <w:t>Reserve deducted from asset to which it applies: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Calibri" w:cs="Calibri" w:eastAsia="Calibri" w:hAnsi="Calibri"/>
                <w:sz w:val="18"/>
                <w:szCs w:val="18"/>
                <w:color w:val="auto"/>
              </w:rPr>
              <w:t>Fiscal Year Ended March 31, 2024:</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280"/>
              <w:spacing w:after="0"/>
              <w:rPr>
                <w:sz w:val="20"/>
                <w:szCs w:val="20"/>
                <w:color w:val="auto"/>
              </w:rPr>
            </w:pPr>
            <w:r>
              <w:rPr>
                <w:rFonts w:ascii="Calibri" w:cs="Calibri" w:eastAsia="Calibri" w:hAnsi="Calibri"/>
                <w:sz w:val="18"/>
                <w:szCs w:val="18"/>
                <w:color w:val="auto"/>
              </w:rPr>
              <w:t>Allowance for credit losses</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260" w:type="dxa"/>
            <w:vAlign w:val="bottom"/>
          </w:tcPr>
          <w:p>
            <w:pPr>
              <w:jc w:val="right"/>
              <w:ind w:right="99"/>
              <w:spacing w:after="0"/>
              <w:rPr>
                <w:sz w:val="20"/>
                <w:szCs w:val="20"/>
                <w:color w:val="auto"/>
              </w:rPr>
            </w:pPr>
            <w:r>
              <w:rPr>
                <w:rFonts w:ascii="Calibri" w:cs="Calibri" w:eastAsia="Calibri" w:hAnsi="Calibri"/>
                <w:sz w:val="18"/>
                <w:szCs w:val="18"/>
                <w:color w:val="auto"/>
              </w:rPr>
              <w:t>190</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160" w:type="dxa"/>
            <w:vAlign w:val="bottom"/>
          </w:tcPr>
          <w:p>
            <w:pPr>
              <w:jc w:val="right"/>
              <w:ind w:right="21"/>
              <w:spacing w:after="0"/>
              <w:rPr>
                <w:sz w:val="20"/>
                <w:szCs w:val="20"/>
                <w:color w:val="auto"/>
              </w:rPr>
            </w:pPr>
            <w:r>
              <w:rPr>
                <w:rFonts w:ascii="Calibri" w:cs="Calibri" w:eastAsia="Calibri" w:hAnsi="Calibri"/>
                <w:sz w:val="18"/>
                <w:szCs w:val="18"/>
                <w:color w:val="auto"/>
              </w:rPr>
              <w:t>166</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140" w:type="dxa"/>
            <w:vAlign w:val="bottom"/>
          </w:tcPr>
          <w:p>
            <w:pPr>
              <w:ind w:left="900"/>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ind w:right="37"/>
              <w:spacing w:after="0"/>
              <w:rPr>
                <w:sz w:val="20"/>
                <w:szCs w:val="20"/>
                <w:color w:val="auto"/>
              </w:rPr>
            </w:pPr>
            <w:r>
              <w:rPr>
                <w:rFonts w:ascii="Calibri" w:cs="Calibri" w:eastAsia="Calibri" w:hAnsi="Calibri"/>
                <w:sz w:val="18"/>
                <w:szCs w:val="18"/>
                <w:color w:val="auto"/>
              </w:rPr>
              <w:t>—</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356</w:t>
            </w: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Calibri" w:cs="Calibri" w:eastAsia="Calibri" w:hAnsi="Calibri"/>
                <w:sz w:val="18"/>
                <w:szCs w:val="18"/>
                <w:color w:val="auto"/>
              </w:rPr>
              <w:t>Fiscal Year Ended April 2, 2023:</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280"/>
              <w:spacing w:after="0"/>
              <w:rPr>
                <w:sz w:val="20"/>
                <w:szCs w:val="20"/>
                <w:color w:val="auto"/>
              </w:rPr>
            </w:pPr>
            <w:r>
              <w:rPr>
                <w:rFonts w:ascii="Calibri" w:cs="Calibri" w:eastAsia="Calibri" w:hAnsi="Calibri"/>
                <w:sz w:val="18"/>
                <w:szCs w:val="18"/>
                <w:color w:val="auto"/>
              </w:rPr>
              <w:t>Allowance for credit losses</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260" w:type="dxa"/>
            <w:vAlign w:val="bottom"/>
          </w:tcPr>
          <w:p>
            <w:pPr>
              <w:jc w:val="right"/>
              <w:ind w:right="99"/>
              <w:spacing w:after="0"/>
              <w:rPr>
                <w:sz w:val="20"/>
                <w:szCs w:val="20"/>
                <w:color w:val="auto"/>
              </w:rPr>
            </w:pPr>
            <w:r>
              <w:rPr>
                <w:rFonts w:ascii="Calibri" w:cs="Calibri" w:eastAsia="Calibri" w:hAnsi="Calibri"/>
                <w:sz w:val="18"/>
                <w:szCs w:val="18"/>
                <w:color w:val="auto"/>
              </w:rPr>
              <w:t>367</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160" w:type="dxa"/>
            <w:vAlign w:val="bottom"/>
          </w:tcPr>
          <w:p>
            <w:pPr>
              <w:jc w:val="right"/>
              <w:ind w:right="1"/>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140" w:type="dxa"/>
            <w:vAlign w:val="bottom"/>
          </w:tcPr>
          <w:p>
            <w:pPr>
              <w:ind w:left="900"/>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(177)</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190</w:t>
            </w: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Calibri" w:cs="Calibri" w:eastAsia="Calibri" w:hAnsi="Calibri"/>
                <w:sz w:val="18"/>
                <w:szCs w:val="18"/>
                <w:color w:val="auto"/>
              </w:rPr>
              <w:t>Fiscal Year Ended April 3, 2022:</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80"/>
              <w:spacing w:after="0"/>
              <w:rPr>
                <w:sz w:val="20"/>
                <w:szCs w:val="20"/>
                <w:color w:val="auto"/>
              </w:rPr>
            </w:pPr>
            <w:r>
              <w:rPr>
                <w:rFonts w:ascii="Calibri" w:cs="Calibri" w:eastAsia="Calibri" w:hAnsi="Calibri"/>
                <w:sz w:val="18"/>
                <w:szCs w:val="18"/>
                <w:color w:val="auto"/>
              </w:rPr>
              <w:t>Allowance for credit losses</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260" w:type="dxa"/>
            <w:vAlign w:val="bottom"/>
          </w:tcPr>
          <w:p>
            <w:pPr>
              <w:jc w:val="right"/>
              <w:ind w:right="99"/>
              <w:spacing w:after="0"/>
              <w:rPr>
                <w:sz w:val="20"/>
                <w:szCs w:val="20"/>
                <w:color w:val="auto"/>
              </w:rPr>
            </w:pPr>
            <w:r>
              <w:rPr>
                <w:rFonts w:ascii="Calibri" w:cs="Calibri" w:eastAsia="Calibri" w:hAnsi="Calibri"/>
                <w:sz w:val="18"/>
                <w:szCs w:val="18"/>
                <w:color w:val="auto"/>
              </w:rPr>
              <w:t>497</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160" w:type="dxa"/>
            <w:vAlign w:val="bottom"/>
          </w:tcPr>
          <w:p>
            <w:pPr>
              <w:jc w:val="right"/>
              <w:ind w:right="1"/>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140" w:type="dxa"/>
            <w:vAlign w:val="bottom"/>
          </w:tcPr>
          <w:p>
            <w:pPr>
              <w:ind w:left="900"/>
              <w:spacing w:after="0"/>
              <w:rPr>
                <w:sz w:val="20"/>
                <w:szCs w:val="20"/>
                <w:color w:val="auto"/>
              </w:rPr>
            </w:pPr>
            <w:r>
              <w:rPr>
                <w:rFonts w:ascii="Calibri" w:cs="Calibri" w:eastAsia="Calibri" w:hAnsi="Calibri"/>
                <w:sz w:val="18"/>
                <w:szCs w:val="18"/>
                <w:color w:val="auto"/>
              </w:rPr>
              <w:t>—</w:t>
            </w:r>
          </w:p>
        </w:tc>
        <w:tc>
          <w:tcPr>
            <w:tcW w:w="34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(130)</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367</w:t>
            </w:r>
          </w:p>
        </w:tc>
        <w:tc>
          <w:tcPr>
            <w:tcW w:w="0" w:type="dxa"/>
            <w:vAlign w:val="bottom"/>
          </w:tcPr>
          <w:p>
            <w:pPr>
              <w:spacing w:after="0"/>
              <w:rPr>
                <w:sz w:val="1"/>
                <w:szCs w:val="1"/>
                <w:color w:val="auto"/>
              </w:rPr>
            </w:pPr>
          </w:p>
        </w:tc>
      </w:tr>
    </w:tbl>
    <w:p>
      <w:pPr>
        <w:sectPr>
          <w:pgSz w:w="11900" w:h="16838" w:orient="portrait"/>
          <w:cols w:equalWidth="0" w:num="1">
            <w:col w:w="11160"/>
          </w:cols>
          <w:pgMar w:left="380" w:top="922" w:right="35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b w:val="1"/>
          <w:bCs w:val="1"/>
          <w:color w:val="auto"/>
        </w:rPr>
        <w:t>Exhibit 21</w:t>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8040" w:type="dxa"/>
            <w:vAlign w:val="bottom"/>
          </w:tcPr>
          <w:p>
            <w:pPr>
              <w:ind w:left="3840"/>
              <w:spacing w:after="0" w:line="216" w:lineRule="exact"/>
              <w:rPr>
                <w:sz w:val="20"/>
                <w:szCs w:val="20"/>
                <w:color w:val="auto"/>
              </w:rPr>
            </w:pPr>
            <w:r>
              <w:rPr>
                <w:rFonts w:ascii="Calibri" w:cs="Calibri" w:eastAsia="Calibri" w:hAnsi="Calibri"/>
                <w:sz w:val="18"/>
                <w:szCs w:val="18"/>
                <w:b w:val="1"/>
                <w:bCs w:val="1"/>
                <w:color w:val="auto"/>
              </w:rPr>
              <w:t>Subsidiaries of Hawkins, Inc.</w:t>
            </w:r>
          </w:p>
        </w:tc>
        <w:tc>
          <w:tcPr>
            <w:tcW w:w="1500" w:type="dxa"/>
            <w:vAlign w:val="bottom"/>
          </w:tcPr>
          <w:p>
            <w:pPr>
              <w:spacing w:after="0"/>
              <w:rPr>
                <w:sz w:val="18"/>
                <w:szCs w:val="18"/>
                <w:color w:val="auto"/>
              </w:rPr>
            </w:pPr>
          </w:p>
        </w:tc>
      </w:tr>
      <w:tr>
        <w:trPr>
          <w:trHeight w:val="712"/>
        </w:trPr>
        <w:tc>
          <w:tcPr>
            <w:tcW w:w="74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w w:val="95"/>
              </w:rPr>
              <w:t>Subsidiary</w:t>
            </w:r>
          </w:p>
        </w:tc>
        <w:tc>
          <w:tcPr>
            <w:tcW w:w="804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w w:val="98"/>
              </w:rPr>
              <w:t>State of Organizaton</w:t>
            </w:r>
          </w:p>
        </w:tc>
      </w:tr>
      <w:tr>
        <w:trPr>
          <w:trHeight w:val="240"/>
        </w:trPr>
        <w:tc>
          <w:tcPr>
            <w:tcW w:w="8780" w:type="dxa"/>
            <w:vAlign w:val="bottom"/>
            <w:gridSpan w:val="2"/>
          </w:tcPr>
          <w:p>
            <w:pPr>
              <w:spacing w:after="0"/>
              <w:rPr>
                <w:sz w:val="20"/>
                <w:szCs w:val="20"/>
                <w:color w:val="auto"/>
              </w:rPr>
            </w:pPr>
            <w:r>
              <w:rPr>
                <w:rFonts w:ascii="Calibri" w:cs="Calibri" w:eastAsia="Calibri" w:hAnsi="Calibri"/>
                <w:sz w:val="18"/>
                <w:szCs w:val="18"/>
                <w:color w:val="auto"/>
              </w:rPr>
              <w:t>Stauber Holdings, Inc.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29"/>
        </w:trPr>
        <w:tc>
          <w:tcPr>
            <w:tcW w:w="8780" w:type="dxa"/>
            <w:vAlign w:val="bottom"/>
            <w:gridSpan w:val="2"/>
          </w:tcPr>
          <w:p>
            <w:pPr>
              <w:spacing w:after="0"/>
              <w:rPr>
                <w:sz w:val="20"/>
                <w:szCs w:val="20"/>
                <w:color w:val="auto"/>
              </w:rPr>
            </w:pPr>
            <w:r>
              <w:rPr>
                <w:rFonts w:ascii="Calibri" w:cs="Calibri" w:eastAsia="Calibri" w:hAnsi="Calibri"/>
                <w:sz w:val="18"/>
                <w:szCs w:val="18"/>
                <w:color w:val="auto"/>
              </w:rPr>
              <w:t>Stauber Performance Ingredients, Inc., a subsidiary of Stauber Holdings, Inc.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29"/>
        </w:trPr>
        <w:tc>
          <w:tcPr>
            <w:tcW w:w="8780" w:type="dxa"/>
            <w:vAlign w:val="bottom"/>
            <w:gridSpan w:val="2"/>
          </w:tcPr>
          <w:p>
            <w:pPr>
              <w:spacing w:after="0"/>
              <w:rPr>
                <w:sz w:val="20"/>
                <w:szCs w:val="20"/>
                <w:color w:val="auto"/>
              </w:rPr>
            </w:pPr>
            <w:r>
              <w:rPr>
                <w:rFonts w:ascii="Calibri" w:cs="Calibri" w:eastAsia="Calibri" w:hAnsi="Calibri"/>
                <w:sz w:val="18"/>
                <w:szCs w:val="18"/>
                <w:color w:val="auto"/>
              </w:rPr>
              <w:t>Miami Products &amp; Chemical Company</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30"/>
        </w:trPr>
        <w:tc>
          <w:tcPr>
            <w:tcW w:w="8780" w:type="dxa"/>
            <w:vAlign w:val="bottom"/>
            <w:gridSpan w:val="2"/>
          </w:tcPr>
          <w:p>
            <w:pPr>
              <w:spacing w:after="0"/>
              <w:rPr>
                <w:sz w:val="20"/>
                <w:szCs w:val="20"/>
                <w:color w:val="auto"/>
              </w:rPr>
            </w:pPr>
            <w:r>
              <w:rPr>
                <w:rFonts w:ascii="Calibri" w:cs="Calibri" w:eastAsia="Calibri" w:hAnsi="Calibri"/>
                <w:sz w:val="18"/>
                <w:szCs w:val="18"/>
                <w:color w:val="auto"/>
              </w:rPr>
              <w:t>Water Solutons Unlimited Inc.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29"/>
        </w:trPr>
        <w:tc>
          <w:tcPr>
            <w:tcW w:w="8780" w:type="dxa"/>
            <w:vAlign w:val="bottom"/>
            <w:gridSpan w:val="2"/>
          </w:tcPr>
          <w:p>
            <w:pPr>
              <w:spacing w:after="0"/>
              <w:rPr>
                <w:sz w:val="20"/>
                <w:szCs w:val="20"/>
                <w:color w:val="auto"/>
              </w:rPr>
            </w:pPr>
            <w:r>
              <w:rPr>
                <w:rFonts w:ascii="Calibri" w:cs="Calibri" w:eastAsia="Calibri" w:hAnsi="Calibri"/>
                <w:sz w:val="18"/>
                <w:szCs w:val="18"/>
                <w:color w:val="auto"/>
              </w:rPr>
              <w:t>Industrial Research Corporaton</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29"/>
        </w:trPr>
        <w:tc>
          <w:tcPr>
            <w:tcW w:w="8780" w:type="dxa"/>
            <w:vAlign w:val="bottom"/>
            <w:gridSpan w:val="2"/>
          </w:tcPr>
          <w:p>
            <w:pPr>
              <w:spacing w:after="0"/>
              <w:rPr>
                <w:sz w:val="20"/>
                <w:szCs w:val="20"/>
                <w:color w:val="auto"/>
              </w:rPr>
            </w:pPr>
            <w:r>
              <w:rPr>
                <w:rFonts w:ascii="Calibri" w:cs="Calibri" w:eastAsia="Calibri" w:hAnsi="Calibri"/>
                <w:sz w:val="18"/>
                <w:szCs w:val="18"/>
                <w:color w:val="auto"/>
              </w:rPr>
              <w:t>Superior Imports LLC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r>
        <w:trPr>
          <w:trHeight w:val="230"/>
        </w:trPr>
        <w:tc>
          <w:tcPr>
            <w:tcW w:w="8780" w:type="dxa"/>
            <w:vAlign w:val="bottom"/>
            <w:gridSpan w:val="2"/>
          </w:tcPr>
          <w:p>
            <w:pPr>
              <w:spacing w:after="0"/>
              <w:rPr>
                <w:sz w:val="20"/>
                <w:szCs w:val="20"/>
                <w:color w:val="auto"/>
              </w:rPr>
            </w:pPr>
            <w:r>
              <w:rPr>
                <w:rFonts w:ascii="Calibri" w:cs="Calibri" w:eastAsia="Calibri" w:hAnsi="Calibri"/>
                <w:sz w:val="18"/>
                <w:szCs w:val="18"/>
                <w:color w:val="auto"/>
              </w:rPr>
              <w:t>Preferred Ingredients LLC</w:t>
            </w:r>
          </w:p>
        </w:tc>
        <w:tc>
          <w:tcPr>
            <w:tcW w:w="1500" w:type="dxa"/>
            <w:vAlign w:val="bottom"/>
          </w:tcPr>
          <w:p>
            <w:pPr>
              <w:spacing w:after="0"/>
              <w:rPr>
                <w:sz w:val="20"/>
                <w:szCs w:val="20"/>
                <w:color w:val="auto"/>
              </w:rPr>
            </w:pPr>
            <w:r>
              <w:rPr>
                <w:rFonts w:ascii="Calibri" w:cs="Calibri" w:eastAsia="Calibri" w:hAnsi="Calibri"/>
                <w:sz w:val="18"/>
                <w:szCs w:val="18"/>
                <w:color w:val="auto"/>
              </w:rPr>
              <w:t>Minnesota</w:t>
            </w:r>
          </w:p>
        </w:tc>
      </w:tr>
    </w:tbl>
    <w:p>
      <w:pPr>
        <w:sectPr>
          <w:pgSz w:w="11900" w:h="16838" w:orient="portrait"/>
          <w:cols w:equalWidth="0" w:num="1">
            <w:col w:w="11220"/>
          </w:cols>
          <w:pgMar w:left="340" w:top="1408" w:right="339" w:bottom="1440" w:gutter="0" w:footer="0" w:header="0"/>
        </w:sectPr>
      </w:pPr>
    </w:p>
    <w:bookmarkStart w:id="60" w:name="page61"/>
    <w:bookmarkEnd w:id="60"/>
    <w:p>
      <w:pPr>
        <w:jc w:val="right"/>
        <w:spacing w:after="0"/>
        <w:rPr>
          <w:sz w:val="20"/>
          <w:szCs w:val="20"/>
          <w:color w:val="auto"/>
        </w:rPr>
      </w:pPr>
      <w:r>
        <w:rPr>
          <w:rFonts w:ascii="Calibri" w:cs="Calibri" w:eastAsia="Calibri" w:hAnsi="Calibri"/>
          <w:sz w:val="18"/>
          <w:szCs w:val="18"/>
          <w:b w:val="1"/>
          <w:bCs w:val="1"/>
          <w:color w:val="auto"/>
        </w:rPr>
        <w:t>Exhibit 23.1</w:t>
      </w:r>
    </w:p>
    <w:p>
      <w:pPr>
        <w:jc w:val="center"/>
        <w:spacing w:after="0" w:line="235" w:lineRule="auto"/>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00" w:lineRule="exact"/>
        <w:rPr>
          <w:sz w:val="20"/>
          <w:szCs w:val="20"/>
          <w:color w:val="auto"/>
        </w:rPr>
      </w:pPr>
    </w:p>
    <w:p>
      <w:pPr>
        <w:spacing w:after="0" w:line="288" w:lineRule="exact"/>
        <w:rPr>
          <w:sz w:val="20"/>
          <w:szCs w:val="20"/>
          <w:color w:val="auto"/>
        </w:rPr>
      </w:pPr>
    </w:p>
    <w:p>
      <w:pPr>
        <w:jc w:val="both"/>
        <w:ind w:right="160"/>
        <w:spacing w:after="0" w:line="239" w:lineRule="auto"/>
        <w:rPr>
          <w:sz w:val="20"/>
          <w:szCs w:val="20"/>
          <w:color w:val="auto"/>
        </w:rPr>
      </w:pPr>
      <w:r>
        <w:rPr>
          <w:rFonts w:ascii="Calibri" w:cs="Calibri" w:eastAsia="Calibri" w:hAnsi="Calibri"/>
          <w:sz w:val="17"/>
          <w:szCs w:val="17"/>
          <w:color w:val="auto"/>
        </w:rPr>
        <w:t>We have issued our reports dated May 15, 2024, with respect to the consolidated fnancial statements and internal control over fnancial reportng included in the Annual Report of Hawkins, Inc. on Form 10-K for the year ended March 31, 2024. We consent to the incorporaton by reference of said reports in the Registraton Statements of Hawkins, Inc. on Forms S-8 (File Nos. 333-87582, 333-123080, 333-172761, 333-174735, 333-228128, and 333-234432).</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/s/ Grant Thornton LLP</w:t>
      </w:r>
    </w:p>
    <w:p>
      <w:pPr>
        <w:spacing w:after="0" w:line="235" w:lineRule="auto"/>
        <w:rPr>
          <w:sz w:val="20"/>
          <w:szCs w:val="20"/>
          <w:color w:val="auto"/>
        </w:rPr>
      </w:pPr>
      <w:r>
        <w:rPr>
          <w:rFonts w:ascii="Calibri" w:cs="Calibri" w:eastAsia="Calibri" w:hAnsi="Calibri"/>
          <w:sz w:val="18"/>
          <w:szCs w:val="18"/>
          <w:color w:val="auto"/>
        </w:rPr>
        <w:t>Minneapolis, Minnesota</w:t>
      </w:r>
    </w:p>
    <w:p>
      <w:pPr>
        <w:spacing w:after="0" w:line="236" w:lineRule="auto"/>
        <w:rPr>
          <w:sz w:val="20"/>
          <w:szCs w:val="20"/>
          <w:color w:val="auto"/>
        </w:rPr>
      </w:pPr>
      <w:r>
        <w:rPr>
          <w:rFonts w:ascii="Calibri" w:cs="Calibri" w:eastAsia="Calibri" w:hAnsi="Calibri"/>
          <w:sz w:val="18"/>
          <w:szCs w:val="18"/>
          <w:color w:val="auto"/>
        </w:rPr>
        <w:t>May 15, 2024</w:t>
      </w:r>
    </w:p>
    <w:p>
      <w:pPr>
        <w:sectPr>
          <w:pgSz w:w="11900" w:h="16838" w:orient="portrait"/>
          <w:cols w:equalWidth="0" w:num="1">
            <w:col w:w="11240"/>
          </w:cols>
          <w:pgMar w:left="320" w:top="882" w:right="339" w:bottom="1440" w:gutter="0" w:footer="0" w:header="0"/>
        </w:sectPr>
      </w:pPr>
    </w:p>
    <w:bookmarkStart w:id="61" w:name="page62"/>
    <w:bookmarkEnd w:id="61"/>
    <w:p>
      <w:pPr>
        <w:jc w:val="center"/>
        <w:ind w:right="-7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James A. Faulconbridge</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2" w:name="page63"/>
    <w:bookmarkEnd w:id="62"/>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/s/ 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091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Mary J. Schumacher</w:t>
      </w:r>
    </w:p>
    <w:p>
      <w:pPr>
        <w:spacing w:after="0" w:line="10"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3" w:name="page64"/>
    <w:bookmarkEnd w:id="63"/>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/s/ Jefrey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091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Jefrey E. Spethmann</w:t>
      </w:r>
    </w:p>
    <w:p>
      <w:pPr>
        <w:spacing w:after="0" w:line="10"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4" w:name="page65"/>
    <w:bookmarkEnd w:id="64"/>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Daniel J. Stauber</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5" w:name="page66"/>
    <w:bookmarkEnd w:id="65"/>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Yi “Faith”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Yi “Faith” Tang</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6" w:name="page67"/>
    <w:bookmarkEnd w:id="66"/>
    <w:p>
      <w:pPr>
        <w:jc w:val="center"/>
        <w:ind w:right="-7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7"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James Thompson</w:t>
      </w:r>
    </w:p>
    <w:p>
      <w:pPr>
        <w:spacing w:after="0" w:line="2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7" w:name="page68"/>
    <w:bookmarkEnd w:id="67"/>
    <w:p>
      <w:pPr>
        <w:jc w:val="center"/>
        <w:ind w:right="-419"/>
        <w:spacing w:after="0"/>
        <w:rPr>
          <w:sz w:val="20"/>
          <w:szCs w:val="20"/>
          <w:color w:val="auto"/>
        </w:rPr>
      </w:pPr>
      <w:r>
        <w:rPr>
          <w:rFonts w:ascii="Calibri" w:cs="Calibri" w:eastAsia="Calibri" w:hAnsi="Calibri"/>
          <w:sz w:val="20"/>
          <w:szCs w:val="20"/>
          <w:b w:val="1"/>
          <w:bCs w:val="1"/>
          <w:color w:val="auto"/>
        </w:rPr>
        <w:t>HAWKINS, INC.</w:t>
      </w:r>
    </w:p>
    <w:p>
      <w:pPr>
        <w:spacing w:after="0" w:line="228" w:lineRule="exact"/>
        <w:rPr>
          <w:sz w:val="20"/>
          <w:szCs w:val="20"/>
          <w:color w:val="auto"/>
        </w:rPr>
      </w:pPr>
    </w:p>
    <w:p>
      <w:pPr>
        <w:jc w:val="center"/>
        <w:ind w:right="-419"/>
        <w:spacing w:after="0"/>
        <w:rPr>
          <w:sz w:val="20"/>
          <w:szCs w:val="20"/>
          <w:color w:val="auto"/>
        </w:rPr>
      </w:pPr>
      <w:r>
        <w:rPr>
          <w:rFonts w:ascii="Calibri" w:cs="Calibri" w:eastAsia="Calibri" w:hAnsi="Calibri"/>
          <w:sz w:val="20"/>
          <w:szCs w:val="20"/>
          <w:b w:val="1"/>
          <w:bCs w:val="1"/>
          <w:color w:val="auto"/>
        </w:rPr>
        <w:t>Power of Atorney</w:t>
      </w:r>
    </w:p>
    <w:p>
      <w:pPr>
        <w:spacing w:after="0" w:line="254" w:lineRule="exact"/>
        <w:rPr>
          <w:sz w:val="20"/>
          <w:szCs w:val="20"/>
          <w:color w:val="auto"/>
        </w:rPr>
      </w:pPr>
    </w:p>
    <w:p>
      <w:pPr>
        <w:ind w:firstLine="324"/>
        <w:spacing w:after="0" w:line="227" w:lineRule="auto"/>
        <w:rPr>
          <w:sz w:val="20"/>
          <w:szCs w:val="20"/>
          <w:color w:val="auto"/>
        </w:rPr>
      </w:pPr>
      <w:r>
        <w:rPr>
          <w:rFonts w:ascii="Calibri" w:cs="Calibri" w:eastAsia="Calibri" w:hAnsi="Calibri"/>
          <w:sz w:val="18"/>
          <w:szCs w:val="18"/>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March 31, 2024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IN WITNESS WHEREOF, the undersigned has executed this Power of Atorney as of the date set forth below.</w:t>
      </w:r>
    </w:p>
    <w:p>
      <w:pPr>
        <w:spacing w:after="0" w:line="266"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/s/ Jefrey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091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Jefrey L. Wright</w:t>
      </w:r>
    </w:p>
    <w:p>
      <w:pPr>
        <w:spacing w:after="0" w:line="10" w:lineRule="exact"/>
        <w:rPr>
          <w:sz w:val="20"/>
          <w:szCs w:val="20"/>
          <w:color w:val="auto"/>
        </w:rPr>
      </w:pPr>
    </w:p>
    <w:p>
      <w:pPr>
        <w:ind w:left="7580"/>
        <w:spacing w:after="0"/>
        <w:rPr>
          <w:sz w:val="20"/>
          <w:szCs w:val="20"/>
          <w:color w:val="auto"/>
        </w:rPr>
      </w:pPr>
      <w:r>
        <w:rPr>
          <w:rFonts w:ascii="Calibri" w:cs="Calibri" w:eastAsia="Calibri" w:hAnsi="Calibri"/>
          <w:sz w:val="18"/>
          <w:szCs w:val="18"/>
          <w:color w:val="auto"/>
        </w:rPr>
        <w:t>April 24, 2024</w:t>
      </w:r>
    </w:p>
    <w:p>
      <w:pPr>
        <w:sectPr>
          <w:pgSz w:w="11900" w:h="16838" w:orient="portrait"/>
          <w:cols w:equalWidth="0" w:num="1">
            <w:col w:w="11160"/>
          </w:cols>
          <w:pgMar w:left="320" w:top="1388" w:right="41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Patrick H. Hawkins, certfy that:</w:t>
      </w:r>
    </w:p>
    <w:p>
      <w:pPr>
        <w:spacing w:after="0" w:line="347" w:lineRule="exact"/>
        <w:rPr>
          <w:sz w:val="20"/>
          <w:szCs w:val="20"/>
          <w:color w:val="auto"/>
        </w:rPr>
      </w:pPr>
    </w:p>
    <w:p>
      <w:pPr>
        <w:ind w:left="640" w:hanging="308"/>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Hawkins, Inc.;</w:t>
      </w:r>
    </w:p>
    <w:p>
      <w:pPr>
        <w:spacing w:after="0" w:line="109" w:lineRule="exact"/>
        <w:rPr>
          <w:rFonts w:ascii="Calibri" w:cs="Calibri" w:eastAsia="Calibri" w:hAnsi="Calibri"/>
          <w:sz w:val="18"/>
          <w:szCs w:val="18"/>
          <w:color w:val="auto"/>
        </w:rPr>
      </w:pPr>
    </w:p>
    <w:p>
      <w:pPr>
        <w:jc w:val="both"/>
        <w:ind w:left="660" w:right="140" w:hanging="328"/>
        <w:spacing w:after="0" w:line="225"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Calibri" w:cs="Calibri" w:eastAsia="Calibri" w:hAnsi="Calibri"/>
          <w:sz w:val="18"/>
          <w:szCs w:val="18"/>
          <w:color w:val="auto"/>
        </w:rPr>
      </w:pPr>
    </w:p>
    <w:p>
      <w:pPr>
        <w:ind w:left="660" w:right="220" w:hanging="328"/>
        <w:spacing w:after="0" w:line="227"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97" w:lineRule="exact"/>
        <w:rPr>
          <w:rFonts w:ascii="Calibri" w:cs="Calibri" w:eastAsia="Calibri" w:hAnsi="Calibri"/>
          <w:sz w:val="18"/>
          <w:szCs w:val="18"/>
          <w:color w:val="auto"/>
        </w:rPr>
      </w:pPr>
    </w:p>
    <w:p>
      <w:pPr>
        <w:ind w:left="660" w:right="80" w:hanging="328"/>
        <w:spacing w:after="0" w:line="230"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0" w:lineRule="auto"/>
        <w:tabs>
          <w:tab w:leader="none" w:pos="1289"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0" w:lineRule="auto"/>
        <w:tabs>
          <w:tab w:leader="none" w:pos="1283"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97"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17"/>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0" w:lineRule="auto"/>
        <w:tabs>
          <w:tab w:leader="none" w:pos="1283"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27"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10" w:lineRule="exact"/>
        <w:rPr>
          <w:rFonts w:ascii="Calibri" w:cs="Calibri" w:eastAsia="Calibri" w:hAnsi="Calibri"/>
          <w:sz w:val="18"/>
          <w:szCs w:val="18"/>
          <w:color w:val="auto"/>
        </w:rPr>
      </w:pPr>
    </w:p>
    <w:p>
      <w:pPr>
        <w:ind w:left="1300" w:right="680" w:hanging="320"/>
        <w:spacing w:after="0" w:line="242" w:lineRule="auto"/>
        <w:tabs>
          <w:tab w:leader="none" w:pos="1289" w:val="left"/>
        </w:tabs>
        <w:numPr>
          <w:ilvl w:val="1"/>
          <w:numId w:val="17"/>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4"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May 15, 2024</w:t>
      </w:r>
    </w:p>
    <w:p>
      <w:pPr>
        <w:spacing w:after="0" w:line="226" w:lineRule="exact"/>
        <w:rPr>
          <w:sz w:val="20"/>
          <w:szCs w:val="20"/>
          <w:color w:val="auto"/>
        </w:rPr>
      </w:pPr>
    </w:p>
    <w:p>
      <w:pPr>
        <w:ind w:left="5840"/>
        <w:spacing w:after="0"/>
        <w:rPr>
          <w:sz w:val="20"/>
          <w:szCs w:val="20"/>
          <w:color w:val="auto"/>
        </w:rPr>
      </w:pPr>
      <w:r>
        <w:rPr>
          <w:rFonts w:ascii="Calibri" w:cs="Calibri" w:eastAsia="Calibri" w:hAnsi="Calibri"/>
          <w:sz w:val="18"/>
          <w:szCs w:val="18"/>
          <w:u w:val="single" w:color="auto"/>
          <w:color w:val="auto"/>
        </w:rPr>
        <w:t>/s/ 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Chief Executve Ofcer and President</w:t>
      </w:r>
    </w:p>
    <w:p>
      <w:pPr>
        <w:sectPr>
          <w:pgSz w:w="11900" w:h="16838" w:orient="portrait"/>
          <w:cols w:equalWidth="0" w:num="1">
            <w:col w:w="11240"/>
          </w:cols>
          <w:pgMar w:left="320" w:top="882" w:right="339" w:bottom="1440" w:gutter="0" w:footer="0" w:header="0"/>
        </w:sectPr>
      </w:pPr>
    </w:p>
    <w:bookmarkStart w:id="69" w:name="page70"/>
    <w:bookmarkEnd w:id="69"/>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Jefrey P. Oldenkamp, certfy that:</w:t>
      </w:r>
    </w:p>
    <w:p>
      <w:pPr>
        <w:spacing w:after="0" w:line="320" w:lineRule="exact"/>
        <w:rPr>
          <w:sz w:val="20"/>
          <w:szCs w:val="20"/>
          <w:color w:val="auto"/>
        </w:rPr>
      </w:pPr>
    </w:p>
    <w:p>
      <w:pPr>
        <w:ind w:left="640" w:hanging="308"/>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Hawkins, Inc.;</w:t>
      </w:r>
    </w:p>
    <w:p>
      <w:pPr>
        <w:spacing w:after="0" w:line="109" w:lineRule="exact"/>
        <w:rPr>
          <w:rFonts w:ascii="Calibri" w:cs="Calibri" w:eastAsia="Calibri" w:hAnsi="Calibri"/>
          <w:sz w:val="18"/>
          <w:szCs w:val="18"/>
          <w:color w:val="auto"/>
        </w:rPr>
      </w:pPr>
    </w:p>
    <w:p>
      <w:pPr>
        <w:jc w:val="both"/>
        <w:ind w:left="660" w:right="140" w:hanging="328"/>
        <w:spacing w:after="0" w:line="225"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Calibri" w:cs="Calibri" w:eastAsia="Calibri" w:hAnsi="Calibri"/>
          <w:sz w:val="18"/>
          <w:szCs w:val="18"/>
          <w:color w:val="auto"/>
        </w:rPr>
      </w:pPr>
    </w:p>
    <w:p>
      <w:pPr>
        <w:ind w:left="660" w:right="220" w:hanging="328"/>
        <w:spacing w:after="0" w:line="227"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97" w:lineRule="exact"/>
        <w:rPr>
          <w:rFonts w:ascii="Calibri" w:cs="Calibri" w:eastAsia="Calibri" w:hAnsi="Calibri"/>
          <w:sz w:val="18"/>
          <w:szCs w:val="18"/>
          <w:color w:val="auto"/>
        </w:rPr>
      </w:pPr>
    </w:p>
    <w:p>
      <w:pPr>
        <w:ind w:left="660" w:right="80" w:hanging="328"/>
        <w:spacing w:after="0" w:line="230"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0" w:lineRule="auto"/>
        <w:tabs>
          <w:tab w:leader="none" w:pos="1289"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0" w:lineRule="auto"/>
        <w:tabs>
          <w:tab w:leader="none" w:pos="1283"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97"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18"/>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0" w:lineRule="auto"/>
        <w:tabs>
          <w:tab w:leader="none" w:pos="1283"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27"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10" w:lineRule="exact"/>
        <w:rPr>
          <w:rFonts w:ascii="Calibri" w:cs="Calibri" w:eastAsia="Calibri" w:hAnsi="Calibri"/>
          <w:sz w:val="18"/>
          <w:szCs w:val="18"/>
          <w:color w:val="auto"/>
        </w:rPr>
      </w:pPr>
    </w:p>
    <w:p>
      <w:pPr>
        <w:ind w:left="1300" w:right="680" w:hanging="320"/>
        <w:spacing w:after="0" w:line="242" w:lineRule="auto"/>
        <w:tabs>
          <w:tab w:leader="none" w:pos="1289" w:val="left"/>
        </w:tabs>
        <w:numPr>
          <w:ilvl w:val="1"/>
          <w:numId w:val="18"/>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4"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388"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May 15, 2024</w:t>
      </w:r>
    </w:p>
    <w:p>
      <w:pPr>
        <w:spacing w:after="0" w:line="37" w:lineRule="exact"/>
        <w:rPr>
          <w:sz w:val="20"/>
          <w:szCs w:val="20"/>
          <w:color w:val="auto"/>
        </w:rPr>
      </w:pPr>
    </w:p>
    <w:p>
      <w:pPr>
        <w:ind w:left="6020"/>
        <w:spacing w:after="0"/>
        <w:rPr>
          <w:sz w:val="20"/>
          <w:szCs w:val="20"/>
          <w:color w:val="auto"/>
        </w:rPr>
      </w:pPr>
      <w:r>
        <w:rPr>
          <w:rFonts w:ascii="Calibri" w:cs="Calibri" w:eastAsia="Calibri" w:hAnsi="Calibri"/>
          <w:sz w:val="18"/>
          <w:szCs w:val="18"/>
          <w:u w:val="single" w:color="auto"/>
          <w:color w:val="auto"/>
        </w:rPr>
        <w:t>/s/ Jefrey P. Oldenkamp</w:t>
      </w:r>
    </w:p>
    <w:p>
      <w:pPr>
        <w:spacing w:after="0" w:line="10" w:lineRule="exact"/>
        <w:rPr>
          <w:sz w:val="20"/>
          <w:szCs w:val="20"/>
          <w:color w:val="auto"/>
        </w:rPr>
      </w:pPr>
    </w:p>
    <w:p>
      <w:pPr>
        <w:ind w:left="602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602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1240"/>
          </w:cols>
          <w:pgMar w:left="320" w:top="882" w:right="339" w:bottom="1440" w:gutter="0" w:footer="0" w:header="0"/>
        </w:sectPr>
      </w:pPr>
    </w:p>
    <w:bookmarkStart w:id="70" w:name="page71"/>
    <w:bookmarkEnd w:id="70"/>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56" w:lineRule="exact"/>
        <w:rPr>
          <w:sz w:val="20"/>
          <w:szCs w:val="20"/>
          <w:color w:val="auto"/>
        </w:rPr>
      </w:pPr>
    </w:p>
    <w:p>
      <w:pPr>
        <w:jc w:val="both"/>
        <w:ind w:right="320"/>
        <w:spacing w:after="0" w:line="230" w:lineRule="auto"/>
        <w:rPr>
          <w:sz w:val="20"/>
          <w:szCs w:val="20"/>
          <w:color w:val="auto"/>
        </w:rPr>
      </w:pPr>
      <w:r>
        <w:rPr>
          <w:rFonts w:ascii="Calibri" w:cs="Calibri" w:eastAsia="Calibri" w:hAnsi="Calibri"/>
          <w:sz w:val="18"/>
          <w:szCs w:val="18"/>
          <w:color w:val="auto"/>
        </w:rPr>
        <w:t>In connecton with the Annual Report of Hawkins, Inc. (the Company) on Form 10-K for the period ended March 31, 2024,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79"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(2) The informaton contained in the Report fairly presents, in all material respects, the fnancial conditon and results of operatons of the Company.</w:t>
      </w: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u w:val="single" w:color="auto"/>
          <w:color w:val="auto"/>
        </w:rPr>
        <w:t>/s/ Patrick H. Hawkins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Chief Executve Ofcer and President</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May 15, 2024</w:t>
      </w:r>
    </w:p>
    <w:p>
      <w:pPr>
        <w:sectPr>
          <w:pgSz w:w="11900" w:h="16838" w:orient="portrait"/>
          <w:cols w:equalWidth="0" w:num="1">
            <w:col w:w="11240"/>
          </w:cols>
          <w:pgMar w:left="320" w:top="882" w:right="339" w:bottom="1440" w:gutter="0" w:footer="0" w:header="0"/>
        </w:sectPr>
      </w:pPr>
    </w:p>
    <w:bookmarkStart w:id="71" w:name="page72"/>
    <w:bookmarkEnd w:id="71"/>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10" w:lineRule="exact"/>
        <w:rPr>
          <w:sz w:val="20"/>
          <w:szCs w:val="20"/>
          <w:color w:val="auto"/>
        </w:rPr>
      </w:pPr>
    </w:p>
    <w:p>
      <w:pPr>
        <w:ind w:right="20"/>
        <w:spacing w:after="0" w:line="230" w:lineRule="auto"/>
        <w:rPr>
          <w:sz w:val="20"/>
          <w:szCs w:val="20"/>
          <w:color w:val="auto"/>
        </w:rPr>
      </w:pPr>
      <w:r>
        <w:rPr>
          <w:rFonts w:ascii="Calibri" w:cs="Calibri" w:eastAsia="Calibri" w:hAnsi="Calibri"/>
          <w:sz w:val="18"/>
          <w:szCs w:val="18"/>
          <w:color w:val="auto"/>
        </w:rPr>
        <w:t>In connecton with the Annual Report of Hawkins, Inc. (the Company) on Form 10-K for the period ended March 31, 2024, as fled with the Securites and Exchange Commission on the date hereof (the Report), I, Jefrey P. Oldenkamp, Chief Financial Ofcer of the Company, certfy, pursuant to 18 U.S.C. § 1350, as adopted pursuant to § 906 of the Sarbanes-Oxley Act of 2002, that:</w:t>
      </w:r>
    </w:p>
    <w:p>
      <w:pPr>
        <w:spacing w:after="0" w:line="79"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(2) The informaton contained in the Report fairly presents, in all material respects, the fnancial conditon and results of operatons of the Company.</w:t>
      </w: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u w:val="single" w:color="auto"/>
          <w:color w:val="auto"/>
        </w:rPr>
        <w:t>/s/ Jefrey P. Oldenkamp</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Executve Vice President and Chief Financial Ofcer</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May 15, 2024</w:t>
      </w:r>
    </w:p>
    <w:p>
      <w:pPr>
        <w:sectPr>
          <w:pgSz w:w="11900" w:h="16838" w:orient="portrait"/>
          <w:cols w:equalWidth="0" w:num="1">
            <w:col w:w="11240"/>
          </w:cols>
          <w:pgMar w:left="320" w:top="882" w:right="339" w:bottom="1440" w:gutter="0" w:footer="0" w:header="0"/>
        </w:sectPr>
      </w:pPr>
    </w:p>
    <w:bookmarkStart w:id="72" w:name="page73"/>
    <w:bookmarkEnd w:id="72"/>
    <w:p>
      <w:pPr>
        <w:jc w:val="right"/>
        <w:spacing w:after="0"/>
        <w:rPr>
          <w:sz w:val="20"/>
          <w:szCs w:val="20"/>
          <w:color w:val="auto"/>
        </w:rPr>
      </w:pPr>
      <w:r>
        <w:rPr>
          <w:rFonts w:ascii="Calibri" w:cs="Calibri" w:eastAsia="Calibri" w:hAnsi="Calibri"/>
          <w:sz w:val="18"/>
          <w:szCs w:val="18"/>
          <w:b w:val="1"/>
          <w:bCs w:val="1"/>
          <w:color w:val="auto"/>
        </w:rPr>
        <w:t>Exhibit 97</w:t>
      </w:r>
    </w:p>
    <w:p>
      <w:pPr>
        <w:jc w:val="center"/>
        <w:ind w:right="312"/>
        <w:spacing w:after="0" w:line="221" w:lineRule="auto"/>
        <w:rPr>
          <w:sz w:val="20"/>
          <w:szCs w:val="20"/>
          <w:color w:val="auto"/>
        </w:rPr>
      </w:pPr>
      <w:r>
        <w:rPr>
          <w:rFonts w:ascii="Calibri" w:cs="Calibri" w:eastAsia="Calibri" w:hAnsi="Calibri"/>
          <w:sz w:val="18"/>
          <w:szCs w:val="18"/>
          <w:b w:val="1"/>
          <w:bCs w:val="1"/>
          <w:color w:val="auto"/>
        </w:rPr>
        <w:t>HAWKINS, INC.</w:t>
      </w:r>
    </w:p>
    <w:p>
      <w:pPr>
        <w:spacing w:after="0" w:line="145" w:lineRule="exact"/>
        <w:rPr>
          <w:sz w:val="20"/>
          <w:szCs w:val="20"/>
          <w:color w:val="auto"/>
        </w:rPr>
      </w:pPr>
    </w:p>
    <w:p>
      <w:pPr>
        <w:jc w:val="center"/>
        <w:ind w:right="312"/>
        <w:spacing w:after="0"/>
        <w:rPr>
          <w:sz w:val="20"/>
          <w:szCs w:val="20"/>
          <w:color w:val="auto"/>
        </w:rPr>
      </w:pPr>
      <w:r>
        <w:rPr>
          <w:rFonts w:ascii="Calibri" w:cs="Calibri" w:eastAsia="Calibri" w:hAnsi="Calibri"/>
          <w:sz w:val="18"/>
          <w:szCs w:val="18"/>
          <w:b w:val="1"/>
          <w:bCs w:val="1"/>
          <w:color w:val="auto"/>
        </w:rPr>
        <w:t>MANDATORY CLAWBACK POLICY</w:t>
      </w:r>
    </w:p>
    <w:p>
      <w:pPr>
        <w:jc w:val="center"/>
        <w:ind w:right="312"/>
        <w:spacing w:after="0" w:line="221" w:lineRule="auto"/>
        <w:rPr>
          <w:sz w:val="20"/>
          <w:szCs w:val="20"/>
          <w:color w:val="auto"/>
        </w:rPr>
      </w:pPr>
      <w:r>
        <w:rPr>
          <w:rFonts w:ascii="Calibri" w:cs="Calibri" w:eastAsia="Calibri" w:hAnsi="Calibri"/>
          <w:sz w:val="18"/>
          <w:szCs w:val="18"/>
          <w:b w:val="1"/>
          <w:bCs w:val="1"/>
          <w:color w:val="auto"/>
        </w:rPr>
        <w:t>Adopted November 1, 2023</w:t>
      </w:r>
    </w:p>
    <w:p>
      <w:pPr>
        <w:spacing w:after="0" w:line="145" w:lineRule="exact"/>
        <w:rPr>
          <w:sz w:val="20"/>
          <w:szCs w:val="20"/>
          <w:color w:val="auto"/>
        </w:rPr>
      </w:pPr>
    </w:p>
    <w:p>
      <w:pPr>
        <w:ind w:left="308" w:hanging="308"/>
        <w:spacing w:after="0"/>
        <w:tabs>
          <w:tab w:leader="none" w:pos="308" w:val="left"/>
        </w:tabs>
        <w:numPr>
          <w:ilvl w:val="0"/>
          <w:numId w:val="19"/>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Policy</w:t>
      </w:r>
    </w:p>
    <w:p>
      <w:pPr>
        <w:spacing w:after="0" w:line="42" w:lineRule="exact"/>
        <w:rPr>
          <w:sz w:val="20"/>
          <w:szCs w:val="20"/>
          <w:color w:val="auto"/>
        </w:rPr>
      </w:pPr>
    </w:p>
    <w:p>
      <w:pPr>
        <w:ind w:left="8" w:right="100" w:firstLine="648"/>
        <w:spacing w:after="0" w:line="221" w:lineRule="auto"/>
        <w:rPr>
          <w:sz w:val="20"/>
          <w:szCs w:val="20"/>
          <w:color w:val="auto"/>
        </w:rPr>
      </w:pPr>
      <w:r>
        <w:rPr>
          <w:rFonts w:ascii="Calibri" w:cs="Calibri" w:eastAsia="Calibri" w:hAnsi="Calibri"/>
          <w:sz w:val="18"/>
          <w:szCs w:val="18"/>
          <w:color w:val="auto"/>
        </w:rPr>
        <w:t>The Board of Directors (the “</w:t>
      </w:r>
      <w:r>
        <w:rPr>
          <w:rFonts w:ascii="Calibri" w:cs="Calibri" w:eastAsia="Calibri" w:hAnsi="Calibri"/>
          <w:sz w:val="18"/>
          <w:szCs w:val="18"/>
          <w:i w:val="1"/>
          <w:iCs w:val="1"/>
          <w:color w:val="auto"/>
        </w:rPr>
        <w:t>Board</w:t>
      </w:r>
      <w:r>
        <w:rPr>
          <w:rFonts w:ascii="Calibri" w:cs="Calibri" w:eastAsia="Calibri" w:hAnsi="Calibri"/>
          <w:sz w:val="18"/>
          <w:szCs w:val="18"/>
          <w:color w:val="auto"/>
        </w:rPr>
        <w:t>”) of Hawkins, Inc. (the “</w:t>
      </w:r>
      <w:r>
        <w:rPr>
          <w:rFonts w:ascii="Calibri" w:cs="Calibri" w:eastAsia="Calibri" w:hAnsi="Calibri"/>
          <w:sz w:val="18"/>
          <w:szCs w:val="18"/>
          <w:i w:val="1"/>
          <w:iCs w:val="1"/>
          <w:color w:val="auto"/>
        </w:rPr>
        <w:t>Company</w:t>
      </w:r>
      <w:r>
        <w:rPr>
          <w:rFonts w:ascii="Calibri" w:cs="Calibri" w:eastAsia="Calibri" w:hAnsi="Calibri"/>
          <w:sz w:val="18"/>
          <w:szCs w:val="18"/>
          <w:color w:val="auto"/>
        </w:rPr>
        <w:t>”) believes that it is in the best interests of the Company and its stockholders to maintain a culture that emphasizes integrity and accountability and that reinforces the Company’s pay-for-performance compensaton philosophy. The Board has therefore adopted this Mandatory Compensaton Recoupment Policy (this “</w:t>
      </w:r>
      <w:r>
        <w:rPr>
          <w:rFonts w:ascii="Calibri" w:cs="Calibri" w:eastAsia="Calibri" w:hAnsi="Calibri"/>
          <w:sz w:val="18"/>
          <w:szCs w:val="18"/>
          <w:i w:val="1"/>
          <w:iCs w:val="1"/>
          <w:color w:val="auto"/>
        </w:rPr>
        <w:t>Policy</w:t>
      </w:r>
      <w:r>
        <w:rPr>
          <w:rFonts w:ascii="Calibri" w:cs="Calibri" w:eastAsia="Calibri" w:hAnsi="Calibri"/>
          <w:sz w:val="18"/>
          <w:szCs w:val="18"/>
          <w:color w:val="auto"/>
        </w:rPr>
        <w:t>”) pursuant to Rule 10D-1 of the Securites and Exchange Act of 1934, as amended (the “</w:t>
      </w:r>
      <w:r>
        <w:rPr>
          <w:rFonts w:ascii="Calibri" w:cs="Calibri" w:eastAsia="Calibri" w:hAnsi="Calibri"/>
          <w:sz w:val="18"/>
          <w:szCs w:val="18"/>
          <w:i w:val="1"/>
          <w:iCs w:val="1"/>
          <w:color w:val="auto"/>
        </w:rPr>
        <w:t>Exchange Act</w:t>
      </w:r>
      <w:r>
        <w:rPr>
          <w:rFonts w:ascii="Calibri" w:cs="Calibri" w:eastAsia="Calibri" w:hAnsi="Calibri"/>
          <w:sz w:val="18"/>
          <w:szCs w:val="18"/>
          <w:color w:val="auto"/>
        </w:rPr>
        <w:t>”), the U.S. Securites and Exchange Commission (“</w:t>
      </w:r>
      <w:r>
        <w:rPr>
          <w:rFonts w:ascii="Calibri" w:cs="Calibri" w:eastAsia="Calibri" w:hAnsi="Calibri"/>
          <w:sz w:val="18"/>
          <w:szCs w:val="18"/>
          <w:i w:val="1"/>
          <w:iCs w:val="1"/>
          <w:color w:val="auto"/>
        </w:rPr>
        <w:t>SEC</w:t>
      </w:r>
      <w:r>
        <w:rPr>
          <w:rFonts w:ascii="Calibri" w:cs="Calibri" w:eastAsia="Calibri" w:hAnsi="Calibri"/>
          <w:sz w:val="18"/>
          <w:szCs w:val="18"/>
          <w:color w:val="auto"/>
        </w:rPr>
        <w:t>”) regulatons promulgated thereunder, and applicable listng rules of The Nasdaq Stock Market LLC (“</w:t>
      </w:r>
      <w:r>
        <w:rPr>
          <w:rFonts w:ascii="Calibri" w:cs="Calibri" w:eastAsia="Calibri" w:hAnsi="Calibri"/>
          <w:sz w:val="18"/>
          <w:szCs w:val="18"/>
          <w:i w:val="1"/>
          <w:iCs w:val="1"/>
          <w:color w:val="auto"/>
        </w:rPr>
        <w:t>Nasdaq</w:t>
      </w:r>
      <w:r>
        <w:rPr>
          <w:rFonts w:ascii="Calibri" w:cs="Calibri" w:eastAsia="Calibri" w:hAnsi="Calibri"/>
          <w:sz w:val="18"/>
          <w:szCs w:val="18"/>
          <w:color w:val="auto"/>
        </w:rPr>
        <w:t>”). Subject to and in accordance with the terms of this Policy, upon a Recoupment Event, each Covered Executve shall be obligated to return to the Company, reasonably promptly, the amount of Erroneously Awarded Compensaton that was received by such Covered Executve during the Lookback Period.</w:t>
      </w:r>
    </w:p>
    <w:p>
      <w:pPr>
        <w:spacing w:after="0" w:line="145" w:lineRule="exact"/>
        <w:rPr>
          <w:sz w:val="20"/>
          <w:szCs w:val="20"/>
          <w:color w:val="auto"/>
        </w:rPr>
      </w:pPr>
    </w:p>
    <w:p>
      <w:pPr>
        <w:ind w:left="308" w:hanging="308"/>
        <w:spacing w:after="0"/>
        <w:tabs>
          <w:tab w:leader="none" w:pos="308" w:val="left"/>
        </w:tabs>
        <w:numPr>
          <w:ilvl w:val="0"/>
          <w:numId w:val="20"/>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Administraton</w:t>
      </w:r>
    </w:p>
    <w:p>
      <w:pPr>
        <w:spacing w:after="0" w:line="42" w:lineRule="exact"/>
        <w:rPr>
          <w:sz w:val="20"/>
          <w:szCs w:val="20"/>
          <w:color w:val="auto"/>
        </w:rPr>
      </w:pPr>
    </w:p>
    <w:p>
      <w:pPr>
        <w:ind w:left="8" w:right="200" w:firstLine="648"/>
        <w:spacing w:after="0" w:line="227" w:lineRule="auto"/>
        <w:rPr>
          <w:sz w:val="20"/>
          <w:szCs w:val="20"/>
          <w:color w:val="auto"/>
        </w:rPr>
      </w:pPr>
      <w:r>
        <w:rPr>
          <w:rFonts w:ascii="Calibri" w:cs="Calibri" w:eastAsia="Calibri" w:hAnsi="Calibri"/>
          <w:sz w:val="18"/>
          <w:szCs w:val="18"/>
          <w:color w:val="auto"/>
        </w:rPr>
        <w:t>This Policy is administered by the Compensaton Commitee of the Board (the “</w:t>
      </w:r>
      <w:r>
        <w:rPr>
          <w:rFonts w:ascii="Calibri" w:cs="Calibri" w:eastAsia="Calibri" w:hAnsi="Calibri"/>
          <w:sz w:val="18"/>
          <w:szCs w:val="18"/>
          <w:i w:val="1"/>
          <w:iCs w:val="1"/>
          <w:color w:val="auto"/>
        </w:rPr>
        <w:t>Commitee</w:t>
      </w:r>
      <w:r>
        <w:rPr>
          <w:rFonts w:ascii="Calibri" w:cs="Calibri" w:eastAsia="Calibri" w:hAnsi="Calibri"/>
          <w:sz w:val="18"/>
          <w:szCs w:val="18"/>
          <w:color w:val="auto"/>
        </w:rPr>
        <w:t>”). Any determinatons made by the Commitee will be fnal and binding on all afected individuals.</w:t>
      </w:r>
    </w:p>
    <w:p>
      <w:pPr>
        <w:spacing w:after="0" w:line="147" w:lineRule="exact"/>
        <w:rPr>
          <w:sz w:val="20"/>
          <w:szCs w:val="20"/>
          <w:color w:val="auto"/>
        </w:rPr>
      </w:pPr>
    </w:p>
    <w:p>
      <w:pPr>
        <w:ind w:left="308" w:hanging="308"/>
        <w:spacing w:after="0"/>
        <w:tabs>
          <w:tab w:leader="none" w:pos="308" w:val="left"/>
        </w:tabs>
        <w:numPr>
          <w:ilvl w:val="0"/>
          <w:numId w:val="21"/>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Defnitons</w:t>
      </w:r>
    </w:p>
    <w:p>
      <w:pPr>
        <w:spacing w:after="0" w:line="41" w:lineRule="exact"/>
        <w:rPr>
          <w:rFonts w:ascii="Calibri" w:cs="Calibri" w:eastAsia="Calibri" w:hAnsi="Calibri"/>
          <w:sz w:val="18"/>
          <w:szCs w:val="18"/>
          <w:b w:val="1"/>
          <w:bCs w:val="1"/>
          <w:color w:val="auto"/>
        </w:rPr>
      </w:pPr>
    </w:p>
    <w:p>
      <w:pPr>
        <w:ind w:left="648" w:right="40" w:hanging="324"/>
        <w:spacing w:after="0" w:line="223" w:lineRule="auto"/>
        <w:tabs>
          <w:tab w:leader="none" w:pos="633"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Accountng Restatement</w:t>
      </w:r>
      <w:r>
        <w:rPr>
          <w:rFonts w:ascii="Calibri" w:cs="Calibri" w:eastAsia="Calibri" w:hAnsi="Calibri"/>
          <w:sz w:val="18"/>
          <w:szCs w:val="18"/>
          <w:color w:val="auto"/>
        </w:rPr>
        <w:t>” means an accountng restatement due to the material noncompliance of the Company with any fnancial reportng requirement under the securites laws, including any required accountng restatement to correct an error in previously issued fnancial statements that is (a) material to the previously issued fnancial statements (commonly referred to as a “Big R” restatement), or (b) would result in a material misstatement if the error were corrected in the current period or lef uncorrected in the current period (commonly referred to as a “litle r” restatement).</w:t>
      </w:r>
    </w:p>
    <w:p>
      <w:pPr>
        <w:spacing w:after="0" w:line="81" w:lineRule="exact"/>
        <w:rPr>
          <w:rFonts w:ascii="Calibri" w:cs="Calibri" w:eastAsia="Calibri" w:hAnsi="Calibri"/>
          <w:sz w:val="18"/>
          <w:szCs w:val="18"/>
          <w:color w:val="auto"/>
        </w:rPr>
      </w:pPr>
    </w:p>
    <w:p>
      <w:pPr>
        <w:ind w:left="628" w:hanging="304"/>
        <w:spacing w:after="0"/>
        <w:tabs>
          <w:tab w:leader="none" w:pos="628"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Covered Executve</w:t>
      </w:r>
      <w:r>
        <w:rPr>
          <w:rFonts w:ascii="Calibri" w:cs="Calibri" w:eastAsia="Calibri" w:hAnsi="Calibri"/>
          <w:sz w:val="18"/>
          <w:szCs w:val="18"/>
          <w:color w:val="auto"/>
        </w:rPr>
        <w:t>” means each of the Company’s current and former Secton 16 Ofcers.</w:t>
      </w:r>
    </w:p>
    <w:p>
      <w:pPr>
        <w:spacing w:after="0" w:line="95" w:lineRule="exact"/>
        <w:rPr>
          <w:rFonts w:ascii="Calibri" w:cs="Calibri" w:eastAsia="Calibri" w:hAnsi="Calibri"/>
          <w:sz w:val="18"/>
          <w:szCs w:val="18"/>
          <w:color w:val="auto"/>
        </w:rPr>
      </w:pPr>
    </w:p>
    <w:p>
      <w:pPr>
        <w:ind w:left="648" w:right="180" w:hanging="324"/>
        <w:spacing w:after="0" w:line="237" w:lineRule="auto"/>
        <w:tabs>
          <w:tab w:leader="none" w:pos="633" w:val="left"/>
        </w:tabs>
        <w:numPr>
          <w:ilvl w:val="1"/>
          <w:numId w:val="21"/>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i w:val="1"/>
          <w:iCs w:val="1"/>
          <w:color w:val="auto"/>
        </w:rPr>
        <w:t>Erroneously Awarded Compensaton</w:t>
      </w:r>
      <w:r>
        <w:rPr>
          <w:rFonts w:ascii="Calibri" w:cs="Calibri" w:eastAsia="Calibri" w:hAnsi="Calibri"/>
          <w:sz w:val="17"/>
          <w:szCs w:val="17"/>
          <w:color w:val="auto"/>
        </w:rPr>
        <w:t>” means, with respect to each Covered Executve in connecton with an Accountng Restatement, the excess of the amount of Incentve-Based Compensaton received by the Covered Executve during the Lookback Period over the amount of Incentve-Based Compensaton that otherwise would have been received had it been determined based on the restated amounts, computed without regard to any taxes paid. For Incentve-Based Compensaton based on stock price or total shareholder return, where the amount of Erroneously Awarded Compensaton is not subject to mathematcal recalculaton directly from the informaton in an Accountng Restatement:</w:t>
      </w:r>
    </w:p>
    <w:p>
      <w:pPr>
        <w:ind w:left="648" w:right="160"/>
        <w:spacing w:after="0" w:line="221" w:lineRule="auto"/>
        <w:rPr>
          <w:rFonts w:ascii="Calibri" w:cs="Calibri" w:eastAsia="Calibri" w:hAnsi="Calibri"/>
          <w:sz w:val="17"/>
          <w:szCs w:val="17"/>
          <w:color w:val="auto"/>
        </w:rPr>
      </w:pPr>
      <w:r>
        <w:rPr>
          <w:rFonts w:ascii="Calibri" w:cs="Calibri" w:eastAsia="Calibri" w:hAnsi="Calibri"/>
          <w:sz w:val="18"/>
          <w:szCs w:val="18"/>
          <w:color w:val="auto"/>
        </w:rPr>
        <w:t>(a) the amount must be based on a reasonable estmate of the efect of the Accountng Restatement on the stock price or total shareholder return upon which the Incentve-Based Compensaton was received; and (b) the Company must maintain documentaton of the determinaton of that reasonable estmate and provide such documentaton to Nasdaq.</w:t>
      </w:r>
    </w:p>
    <w:p>
      <w:pPr>
        <w:spacing w:after="0" w:line="96" w:lineRule="exact"/>
        <w:rPr>
          <w:rFonts w:ascii="Calibri" w:cs="Calibri" w:eastAsia="Calibri" w:hAnsi="Calibri"/>
          <w:sz w:val="17"/>
          <w:szCs w:val="17"/>
          <w:color w:val="auto"/>
        </w:rPr>
      </w:pPr>
    </w:p>
    <w:p>
      <w:pPr>
        <w:ind w:left="648" w:right="20" w:hanging="324"/>
        <w:spacing w:after="0" w:line="224" w:lineRule="auto"/>
        <w:tabs>
          <w:tab w:leader="none" w:pos="633"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Financial Reportng Measures</w:t>
      </w:r>
      <w:r>
        <w:rPr>
          <w:rFonts w:ascii="Calibri" w:cs="Calibri" w:eastAsia="Calibri" w:hAnsi="Calibri"/>
          <w:sz w:val="18"/>
          <w:szCs w:val="18"/>
          <w:color w:val="auto"/>
        </w:rPr>
        <w:t>” are any measures that are determined and presented in accordance with the accountng principles used in preparing the Company’s fnancial statements, and any measures derived wholly or in part from such measures. Stock price and total shareholder return are also Financial Reportng Measures. A Financial Reportng Measure need not be presented within the fnancial statements or included in a fling with the SEC.</w:t>
      </w:r>
    </w:p>
    <w:p>
      <w:pPr>
        <w:spacing w:after="0" w:line="84" w:lineRule="exact"/>
        <w:rPr>
          <w:rFonts w:ascii="Calibri" w:cs="Calibri" w:eastAsia="Calibri" w:hAnsi="Calibri"/>
          <w:sz w:val="18"/>
          <w:szCs w:val="18"/>
          <w:color w:val="auto"/>
        </w:rPr>
      </w:pPr>
    </w:p>
    <w:p>
      <w:pPr>
        <w:ind w:left="648" w:right="560" w:hanging="324"/>
        <w:spacing w:after="0" w:line="227" w:lineRule="auto"/>
        <w:tabs>
          <w:tab w:leader="none" w:pos="633"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Incentve-Based Compensaton</w:t>
      </w:r>
      <w:r>
        <w:rPr>
          <w:rFonts w:ascii="Calibri" w:cs="Calibri" w:eastAsia="Calibri" w:hAnsi="Calibri"/>
          <w:sz w:val="18"/>
          <w:szCs w:val="18"/>
          <w:color w:val="auto"/>
        </w:rPr>
        <w:t>” is any compensaton that is granted, earned, or vested based wholly or in part upon the atainment of a Financial Reportng Measure.</w:t>
      </w:r>
    </w:p>
    <w:p>
      <w:pPr>
        <w:spacing w:after="0" w:line="97" w:lineRule="exact"/>
        <w:rPr>
          <w:rFonts w:ascii="Calibri" w:cs="Calibri" w:eastAsia="Calibri" w:hAnsi="Calibri"/>
          <w:sz w:val="18"/>
          <w:szCs w:val="18"/>
          <w:color w:val="auto"/>
        </w:rPr>
      </w:pPr>
    </w:p>
    <w:p>
      <w:pPr>
        <w:ind w:left="648" w:right="120" w:hanging="324"/>
        <w:spacing w:after="0" w:line="225" w:lineRule="auto"/>
        <w:tabs>
          <w:tab w:leader="none" w:pos="633"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Lookback Period</w:t>
      </w:r>
      <w:r>
        <w:rPr>
          <w:rFonts w:ascii="Calibri" w:cs="Calibri" w:eastAsia="Calibri" w:hAnsi="Calibri"/>
          <w:sz w:val="18"/>
          <w:szCs w:val="18"/>
          <w:color w:val="auto"/>
        </w:rPr>
        <w:t>” means the three completed fscal years immediately preceding the Required Restatement Date and any transiton period (that results from a change in the Company’s fscal year) of less than nine months within or immediately following those three completed fscal years.</w:t>
      </w:r>
    </w:p>
    <w:p>
      <w:pPr>
        <w:spacing w:after="0" w:line="92" w:lineRule="exact"/>
        <w:rPr>
          <w:rFonts w:ascii="Calibri" w:cs="Calibri" w:eastAsia="Calibri" w:hAnsi="Calibri"/>
          <w:sz w:val="18"/>
          <w:szCs w:val="18"/>
          <w:color w:val="auto"/>
        </w:rPr>
      </w:pPr>
    </w:p>
    <w:p>
      <w:pPr>
        <w:ind w:left="628" w:hanging="304"/>
        <w:spacing w:after="0"/>
        <w:tabs>
          <w:tab w:leader="none" w:pos="628"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A “</w:t>
      </w:r>
      <w:r>
        <w:rPr>
          <w:rFonts w:ascii="Calibri" w:cs="Calibri" w:eastAsia="Calibri" w:hAnsi="Calibri"/>
          <w:sz w:val="18"/>
          <w:szCs w:val="18"/>
          <w:i w:val="1"/>
          <w:iCs w:val="1"/>
          <w:color w:val="auto"/>
        </w:rPr>
        <w:t>Recoupment Event</w:t>
      </w:r>
      <w:r>
        <w:rPr>
          <w:rFonts w:ascii="Calibri" w:cs="Calibri" w:eastAsia="Calibri" w:hAnsi="Calibri"/>
          <w:sz w:val="18"/>
          <w:szCs w:val="18"/>
          <w:color w:val="auto"/>
        </w:rPr>
        <w:t>” occurs when the Company is required to prepare an Accountng Restatement.</w:t>
      </w:r>
    </w:p>
    <w:p>
      <w:pPr>
        <w:spacing w:after="0" w:line="95" w:lineRule="exact"/>
        <w:rPr>
          <w:rFonts w:ascii="Calibri" w:cs="Calibri" w:eastAsia="Calibri" w:hAnsi="Calibri"/>
          <w:sz w:val="18"/>
          <w:szCs w:val="18"/>
          <w:color w:val="auto"/>
        </w:rPr>
      </w:pPr>
    </w:p>
    <w:p>
      <w:pPr>
        <w:ind w:left="648" w:right="60" w:hanging="324"/>
        <w:spacing w:after="0" w:line="227" w:lineRule="auto"/>
        <w:tabs>
          <w:tab w:leader="none" w:pos="633"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Required Restatement Date</w:t>
      </w:r>
      <w:r>
        <w:rPr>
          <w:rFonts w:ascii="Calibri" w:cs="Calibri" w:eastAsia="Calibri" w:hAnsi="Calibri"/>
          <w:sz w:val="18"/>
          <w:szCs w:val="18"/>
          <w:color w:val="auto"/>
        </w:rPr>
        <w:t>” means the earlier to occur of: (a) the date the Company’s Board, a commitee of the Board, or the ofcer(s) of the Company authorized to take such acton if Board</w:t>
      </w:r>
    </w:p>
    <w:p>
      <w:pPr>
        <w:sectPr>
          <w:pgSz w:w="11900" w:h="16838" w:orient="portrait"/>
          <w:cols w:equalWidth="0" w:num="1">
            <w:col w:w="10908"/>
          </w:cols>
          <w:pgMar w:left="652" w:top="1408" w:right="339" w:bottom="1440" w:gutter="0" w:footer="0" w:header="0"/>
        </w:sectPr>
      </w:pPr>
    </w:p>
    <w:bookmarkStart w:id="73" w:name="page74"/>
    <w:bookmarkEnd w:id="73"/>
    <w:p>
      <w:pPr>
        <w:ind w:left="648"/>
        <w:spacing w:after="0"/>
        <w:rPr>
          <w:sz w:val="20"/>
          <w:szCs w:val="20"/>
          <w:color w:val="auto"/>
        </w:rPr>
      </w:pPr>
      <w:r>
        <w:rPr>
          <w:rFonts w:ascii="Calibri" w:cs="Calibri" w:eastAsia="Calibri" w:hAnsi="Calibri"/>
          <w:sz w:val="17"/>
          <w:szCs w:val="17"/>
          <w:color w:val="auto"/>
        </w:rPr>
        <w:t>acton is not required, concludes, or reasonably should have concluded, that the Company is required to prepare an Accountng Restatement, or</w:t>
      </w:r>
    </w:p>
    <w:p>
      <w:pPr>
        <w:ind w:left="648"/>
        <w:spacing w:after="0" w:line="229" w:lineRule="auto"/>
        <w:rPr>
          <w:sz w:val="20"/>
          <w:szCs w:val="20"/>
          <w:color w:val="auto"/>
        </w:rPr>
      </w:pPr>
      <w:r>
        <w:rPr>
          <w:rFonts w:ascii="Calibri" w:cs="Calibri" w:eastAsia="Calibri" w:hAnsi="Calibri"/>
          <w:sz w:val="18"/>
          <w:szCs w:val="18"/>
          <w:color w:val="auto"/>
        </w:rPr>
        <w:t>(b) the date a court, regulator, or other legally authorized body directs the Company to prepare an Accountng Restatement.</w:t>
      </w:r>
    </w:p>
    <w:p>
      <w:pPr>
        <w:spacing w:after="0" w:line="91" w:lineRule="exact"/>
        <w:rPr>
          <w:sz w:val="20"/>
          <w:szCs w:val="20"/>
          <w:color w:val="auto"/>
        </w:rPr>
      </w:pPr>
    </w:p>
    <w:p>
      <w:pPr>
        <w:ind w:left="628" w:hanging="304"/>
        <w:spacing w:after="0"/>
        <w:tabs>
          <w:tab w:leader="none" w:pos="628" w:val="left"/>
        </w:tabs>
        <w:numPr>
          <w:ilvl w:val="1"/>
          <w:numId w:val="22"/>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Secton 16 Ofcer</w:t>
      </w:r>
      <w:r>
        <w:rPr>
          <w:rFonts w:ascii="Calibri" w:cs="Calibri" w:eastAsia="Calibri" w:hAnsi="Calibri"/>
          <w:sz w:val="18"/>
          <w:szCs w:val="18"/>
          <w:color w:val="auto"/>
        </w:rPr>
        <w:t>” is defned as an “ofcer” of the Company within the meaning of Rule 16a-1(f) of the Exchange Act.</w:t>
      </w:r>
    </w:p>
    <w:p>
      <w:pPr>
        <w:spacing w:after="0" w:line="95" w:lineRule="exact"/>
        <w:rPr>
          <w:rFonts w:ascii="Calibri" w:cs="Calibri" w:eastAsia="Calibri" w:hAnsi="Calibri"/>
          <w:sz w:val="18"/>
          <w:szCs w:val="18"/>
          <w:color w:val="auto"/>
        </w:rPr>
      </w:pPr>
    </w:p>
    <w:p>
      <w:pPr>
        <w:ind w:left="648" w:right="660" w:hanging="324"/>
        <w:spacing w:after="0" w:line="227" w:lineRule="auto"/>
        <w:tabs>
          <w:tab w:leader="none" w:pos="641" w:val="left"/>
        </w:tabs>
        <w:numPr>
          <w:ilvl w:val="1"/>
          <w:numId w:val="22"/>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Secton 409A</w:t>
      </w:r>
      <w:r>
        <w:rPr>
          <w:rFonts w:ascii="Calibri" w:cs="Calibri" w:eastAsia="Calibri" w:hAnsi="Calibri"/>
          <w:sz w:val="18"/>
          <w:szCs w:val="18"/>
          <w:color w:val="auto"/>
        </w:rPr>
        <w:t>” means Secton 409A of the Internal Revenue Code of 1986, as amended (the “</w:t>
      </w:r>
      <w:r>
        <w:rPr>
          <w:rFonts w:ascii="Calibri" w:cs="Calibri" w:eastAsia="Calibri" w:hAnsi="Calibri"/>
          <w:sz w:val="18"/>
          <w:szCs w:val="18"/>
          <w:i w:val="1"/>
          <w:iCs w:val="1"/>
          <w:color w:val="auto"/>
        </w:rPr>
        <w:t>Code</w:t>
      </w:r>
      <w:r>
        <w:rPr>
          <w:rFonts w:ascii="Calibri" w:cs="Calibri" w:eastAsia="Calibri" w:hAnsi="Calibri"/>
          <w:sz w:val="18"/>
          <w:szCs w:val="18"/>
          <w:color w:val="auto"/>
        </w:rPr>
        <w:t>”), and the regulatons and guidance promulgated thereunder.</w:t>
      </w:r>
    </w:p>
    <w:p>
      <w:pPr>
        <w:spacing w:after="0" w:line="146" w:lineRule="exact"/>
        <w:rPr>
          <w:rFonts w:ascii="Calibri" w:cs="Calibri" w:eastAsia="Calibri" w:hAnsi="Calibri"/>
          <w:sz w:val="18"/>
          <w:szCs w:val="18"/>
          <w:color w:val="auto"/>
        </w:rPr>
      </w:pPr>
    </w:p>
    <w:p>
      <w:pPr>
        <w:ind w:left="308" w:hanging="308"/>
        <w:spacing w:after="0"/>
        <w:tabs>
          <w:tab w:leader="none" w:pos="308" w:val="left"/>
        </w:tabs>
        <w:numPr>
          <w:ilvl w:val="0"/>
          <w:numId w:val="23"/>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Amount Subject to Recovery</w:t>
      </w:r>
    </w:p>
    <w:p>
      <w:pPr>
        <w:spacing w:after="0" w:line="42" w:lineRule="exact"/>
        <w:rPr>
          <w:sz w:val="20"/>
          <w:szCs w:val="20"/>
          <w:color w:val="auto"/>
        </w:rPr>
      </w:pPr>
    </w:p>
    <w:p>
      <w:pPr>
        <w:ind w:left="8" w:right="120" w:firstLine="648"/>
        <w:spacing w:after="0" w:line="220" w:lineRule="auto"/>
        <w:rPr>
          <w:sz w:val="20"/>
          <w:szCs w:val="20"/>
          <w:color w:val="auto"/>
        </w:rPr>
      </w:pPr>
      <w:r>
        <w:rPr>
          <w:rFonts w:ascii="Calibri" w:cs="Calibri" w:eastAsia="Calibri" w:hAnsi="Calibri"/>
          <w:sz w:val="18"/>
          <w:szCs w:val="18"/>
          <w:color w:val="auto"/>
        </w:rPr>
        <w:t>The Incentve-Based Compensaton that is subject to recovery under this Policy includes such compensaton that is received by a Covered Executve (i) on or afer October 2, 2023 (even if such Incentve-Based Compensaton was approved, awarded or granted prior to this date), (ii) afer the individual began service as a Covered Executve, (iii) if the individual served as a Secton 16 Ofcer at any tme during the performance period for such Incentve-Based Compensaton, and (iv) while the Company has a class of securites listed on a natonal securites exchange or natonal securites associaton.</w:t>
      </w:r>
    </w:p>
    <w:p>
      <w:pPr>
        <w:spacing w:after="0" w:line="4" w:lineRule="exact"/>
        <w:rPr>
          <w:sz w:val="20"/>
          <w:szCs w:val="20"/>
          <w:color w:val="auto"/>
        </w:rPr>
      </w:pPr>
    </w:p>
    <w:p>
      <w:pPr>
        <w:ind w:left="8" w:right="460" w:firstLine="648"/>
        <w:spacing w:after="0" w:line="221" w:lineRule="auto"/>
        <w:rPr>
          <w:sz w:val="20"/>
          <w:szCs w:val="20"/>
          <w:color w:val="auto"/>
        </w:rPr>
      </w:pPr>
      <w:r>
        <w:rPr>
          <w:rFonts w:ascii="Calibri" w:cs="Calibri" w:eastAsia="Calibri" w:hAnsi="Calibri"/>
          <w:sz w:val="18"/>
          <w:szCs w:val="18"/>
          <w:color w:val="auto"/>
        </w:rPr>
        <w:t>The amount of Incentve-Based Compensaton subject to recovery from a Covered Executve upon a Recoupment Event is the Erroneously Awarded Compensaton, which amount shall be determined by the Commitee.</w:t>
      </w:r>
    </w:p>
    <w:p>
      <w:pPr>
        <w:ind w:left="8" w:right="80" w:firstLine="648"/>
        <w:spacing w:after="0" w:line="221" w:lineRule="auto"/>
        <w:rPr>
          <w:sz w:val="20"/>
          <w:szCs w:val="20"/>
          <w:color w:val="auto"/>
        </w:rPr>
      </w:pPr>
      <w:r>
        <w:rPr>
          <w:rFonts w:ascii="Calibri" w:cs="Calibri" w:eastAsia="Calibri" w:hAnsi="Calibri"/>
          <w:sz w:val="18"/>
          <w:szCs w:val="18"/>
          <w:color w:val="auto"/>
        </w:rPr>
        <w:t>For purposes of this Policy, Incentve-Based Compensaton is deemed “received” in the Company’s fscal period during which the Financial Reportng Measure specifed in the Incentve-Based Compensaton award is atained, even if the payment or grant of the Incentve-Based Compensaton occurs afer the end of that period.</w:t>
      </w:r>
    </w:p>
    <w:p>
      <w:pPr>
        <w:spacing w:after="0" w:line="145" w:lineRule="exact"/>
        <w:rPr>
          <w:sz w:val="20"/>
          <w:szCs w:val="20"/>
          <w:color w:val="auto"/>
        </w:rPr>
      </w:pPr>
    </w:p>
    <w:p>
      <w:pPr>
        <w:ind w:left="308" w:hanging="308"/>
        <w:spacing w:after="0"/>
        <w:tabs>
          <w:tab w:leader="none" w:pos="308" w:val="left"/>
        </w:tabs>
        <w:numPr>
          <w:ilvl w:val="0"/>
          <w:numId w:val="24"/>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Recovery of Erroneously Awarded Compensaton</w:t>
      </w:r>
    </w:p>
    <w:p>
      <w:pPr>
        <w:spacing w:after="0" w:line="42" w:lineRule="exact"/>
        <w:rPr>
          <w:sz w:val="20"/>
          <w:szCs w:val="20"/>
          <w:color w:val="auto"/>
        </w:rPr>
      </w:pPr>
    </w:p>
    <w:p>
      <w:pPr>
        <w:ind w:left="8" w:right="140" w:firstLine="648"/>
        <w:spacing w:after="0" w:line="239" w:lineRule="auto"/>
        <w:rPr>
          <w:sz w:val="20"/>
          <w:szCs w:val="20"/>
          <w:color w:val="auto"/>
        </w:rPr>
      </w:pPr>
      <w:r>
        <w:rPr>
          <w:rFonts w:ascii="Calibri" w:cs="Calibri" w:eastAsia="Calibri" w:hAnsi="Calibri"/>
          <w:sz w:val="17"/>
          <w:szCs w:val="17"/>
          <w:color w:val="auto"/>
        </w:rPr>
        <w:t>Promptly following a Recoupment Event, the Commitee will determine the amount of Erroneously Awarded Compensaton for each Covered Executve, and the Company will provide each such Covered Executve with a writen notce of such amount and a demand for repayment or return. Upon receipt of such notce, each afected Covered Executve shall promptly repay or return such Erroneously Awarded Compensaton to the Company.</w:t>
      </w:r>
    </w:p>
    <w:p>
      <w:pPr>
        <w:ind w:left="8" w:right="680" w:firstLine="648"/>
        <w:spacing w:after="0" w:line="216" w:lineRule="auto"/>
        <w:rPr>
          <w:sz w:val="20"/>
          <w:szCs w:val="20"/>
          <w:color w:val="auto"/>
        </w:rPr>
      </w:pPr>
      <w:r>
        <w:rPr>
          <w:rFonts w:ascii="Calibri" w:cs="Calibri" w:eastAsia="Calibri" w:hAnsi="Calibri"/>
          <w:sz w:val="18"/>
          <w:szCs w:val="18"/>
          <w:color w:val="auto"/>
        </w:rPr>
        <w:t>If such repayment or return is not made within a reasonable tme, the Company shall recover Erroneously Awarded Compensaton in a reasonable and prompt manner using any lawful method determined by the Commitee; provided that recovery of any Erroneously Awarded Compensaton must be made in compliance with Secton 409A.</w:t>
      </w:r>
    </w:p>
    <w:p>
      <w:pPr>
        <w:spacing w:after="0" w:line="145" w:lineRule="exact"/>
        <w:rPr>
          <w:sz w:val="20"/>
          <w:szCs w:val="20"/>
          <w:color w:val="auto"/>
        </w:rPr>
      </w:pPr>
    </w:p>
    <w:p>
      <w:pPr>
        <w:ind w:left="308" w:hanging="308"/>
        <w:spacing w:after="0"/>
        <w:tabs>
          <w:tab w:leader="none" w:pos="308" w:val="left"/>
        </w:tabs>
        <w:numPr>
          <w:ilvl w:val="0"/>
          <w:numId w:val="25"/>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Limited Exceptons</w:t>
      </w:r>
    </w:p>
    <w:p>
      <w:pPr>
        <w:spacing w:after="0" w:line="42" w:lineRule="exact"/>
        <w:rPr>
          <w:sz w:val="20"/>
          <w:szCs w:val="20"/>
          <w:color w:val="auto"/>
        </w:rPr>
      </w:pPr>
    </w:p>
    <w:p>
      <w:pPr>
        <w:ind w:left="8" w:right="100" w:firstLine="648"/>
        <w:spacing w:after="0" w:line="227" w:lineRule="auto"/>
        <w:rPr>
          <w:sz w:val="20"/>
          <w:szCs w:val="20"/>
          <w:color w:val="auto"/>
        </w:rPr>
      </w:pPr>
      <w:r>
        <w:rPr>
          <w:rFonts w:ascii="Calibri" w:cs="Calibri" w:eastAsia="Calibri" w:hAnsi="Calibri"/>
          <w:sz w:val="18"/>
          <w:szCs w:val="18"/>
          <w:color w:val="auto"/>
        </w:rPr>
        <w:t>Erroneously Awarded Compensaton will be recovered in accordance with this Policy unless the Commitee determines that recovery would be impractcable and one of the following conditons is met:</w:t>
      </w:r>
    </w:p>
    <w:p>
      <w:pPr>
        <w:spacing w:after="0" w:line="97" w:lineRule="exact"/>
        <w:rPr>
          <w:sz w:val="20"/>
          <w:szCs w:val="20"/>
          <w:color w:val="auto"/>
        </w:rPr>
      </w:pPr>
    </w:p>
    <w:p>
      <w:pPr>
        <w:ind w:left="968" w:right="140" w:hanging="320"/>
        <w:spacing w:after="0" w:line="227" w:lineRule="auto"/>
        <w:tabs>
          <w:tab w:leader="none" w:pos="961"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direct expense paid to a third party to assist in enforcing this Policy would exceed the amount to be recovered, provided the Company has frst made a reasonable efort to recover the Erroneously Awarded Compensaton; or</w:t>
      </w:r>
    </w:p>
    <w:p>
      <w:pPr>
        <w:spacing w:after="0" w:line="97" w:lineRule="exact"/>
        <w:rPr>
          <w:rFonts w:ascii="Calibri" w:cs="Calibri" w:eastAsia="Calibri" w:hAnsi="Calibri"/>
          <w:sz w:val="18"/>
          <w:szCs w:val="18"/>
          <w:color w:val="auto"/>
        </w:rPr>
      </w:pPr>
    </w:p>
    <w:p>
      <w:pPr>
        <w:ind w:left="968" w:right="40" w:hanging="320"/>
        <w:spacing w:after="0" w:line="227" w:lineRule="auto"/>
        <w:tabs>
          <w:tab w:leader="none" w:pos="961"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recovery would likely cause a U.S. tax-qualifed retrement plan to fail to meet the requirements of Code Sectons 401(a)(13) and 411(a) and the regulatons thereunder.</w:t>
      </w:r>
    </w:p>
    <w:p>
      <w:pPr>
        <w:spacing w:after="0" w:line="97" w:lineRule="exact"/>
        <w:rPr>
          <w:sz w:val="20"/>
          <w:szCs w:val="20"/>
          <w:color w:val="auto"/>
        </w:rPr>
      </w:pPr>
    </w:p>
    <w:p>
      <w:pPr>
        <w:ind w:left="8" w:right="260" w:firstLine="648"/>
        <w:spacing w:after="0" w:line="227" w:lineRule="auto"/>
        <w:rPr>
          <w:sz w:val="20"/>
          <w:szCs w:val="20"/>
          <w:color w:val="auto"/>
        </w:rPr>
      </w:pPr>
      <w:r>
        <w:rPr>
          <w:rFonts w:ascii="Calibri" w:cs="Calibri" w:eastAsia="Calibri" w:hAnsi="Calibri"/>
          <w:sz w:val="18"/>
          <w:szCs w:val="18"/>
          <w:color w:val="auto"/>
        </w:rPr>
        <w:t>Reliance on any of the above exemptons will further comply with applicable listng standards, including without limitaton, documentng the reason for the impractcability and providing required documentaton to Nasdaq.</w:t>
      </w:r>
    </w:p>
    <w:p>
      <w:pPr>
        <w:spacing w:after="0" w:line="147" w:lineRule="exact"/>
        <w:rPr>
          <w:sz w:val="20"/>
          <w:szCs w:val="20"/>
          <w:color w:val="auto"/>
        </w:rPr>
      </w:pPr>
    </w:p>
    <w:p>
      <w:pPr>
        <w:ind w:left="308" w:hanging="308"/>
        <w:spacing w:after="0"/>
        <w:tabs>
          <w:tab w:leader="none" w:pos="308" w:val="left"/>
        </w:tabs>
        <w:numPr>
          <w:ilvl w:val="0"/>
          <w:numId w:val="27"/>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Disclosure Requirements</w:t>
      </w:r>
    </w:p>
    <w:p>
      <w:pPr>
        <w:spacing w:after="0" w:line="23" w:lineRule="exact"/>
        <w:rPr>
          <w:sz w:val="20"/>
          <w:szCs w:val="20"/>
          <w:color w:val="auto"/>
        </w:rPr>
      </w:pPr>
    </w:p>
    <w:p>
      <w:pPr>
        <w:ind w:left="648"/>
        <w:spacing w:after="0"/>
        <w:rPr>
          <w:sz w:val="20"/>
          <w:szCs w:val="20"/>
          <w:color w:val="auto"/>
        </w:rPr>
      </w:pPr>
      <w:r>
        <w:rPr>
          <w:rFonts w:ascii="Calibri" w:cs="Calibri" w:eastAsia="Calibri" w:hAnsi="Calibri"/>
          <w:sz w:val="18"/>
          <w:szCs w:val="18"/>
          <w:color w:val="auto"/>
        </w:rPr>
        <w:t>The Company will fle all disclosures with respect to this Policy required by applicable SEC flings and rules or Nasdaq listng rules.</w:t>
      </w:r>
    </w:p>
    <w:p>
      <w:pPr>
        <w:spacing w:after="0" w:line="145" w:lineRule="exact"/>
        <w:rPr>
          <w:sz w:val="20"/>
          <w:szCs w:val="20"/>
          <w:color w:val="auto"/>
        </w:rPr>
      </w:pPr>
    </w:p>
    <w:p>
      <w:pPr>
        <w:ind w:left="328" w:hanging="328"/>
        <w:spacing w:after="0"/>
        <w:tabs>
          <w:tab w:leader="none" w:pos="328" w:val="left"/>
        </w:tabs>
        <w:numPr>
          <w:ilvl w:val="0"/>
          <w:numId w:val="28"/>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No Insurance or Indemnifcaton</w:t>
      </w:r>
    </w:p>
    <w:p>
      <w:pPr>
        <w:spacing w:after="0" w:line="42" w:lineRule="exact"/>
        <w:rPr>
          <w:sz w:val="20"/>
          <w:szCs w:val="20"/>
          <w:color w:val="auto"/>
        </w:rPr>
      </w:pPr>
    </w:p>
    <w:p>
      <w:pPr>
        <w:jc w:val="both"/>
        <w:ind w:left="8" w:right="120" w:firstLine="648"/>
        <w:spacing w:after="0" w:line="225" w:lineRule="auto"/>
        <w:rPr>
          <w:sz w:val="20"/>
          <w:szCs w:val="20"/>
          <w:color w:val="auto"/>
        </w:rPr>
      </w:pPr>
      <w:r>
        <w:rPr>
          <w:rFonts w:ascii="Calibri" w:cs="Calibri" w:eastAsia="Calibri" w:hAnsi="Calibri"/>
          <w:sz w:val="18"/>
          <w:szCs w:val="18"/>
          <w:color w:val="auto"/>
        </w:rPr>
        <w:t>Neither the Company nor any of its afliates or subsidiaries may indemnify any Covered Executve against the loss of any Erroneously Awarded Compensaton (or related expenses incurred by the Covered Executve) pursuant to a recovery of Erroneously Awarded Compensaton under this Policy, nor will the</w:t>
      </w:r>
    </w:p>
    <w:p>
      <w:pPr>
        <w:sectPr>
          <w:pgSz w:w="11900" w:h="16838" w:orient="portrait"/>
          <w:cols w:equalWidth="0" w:num="1">
            <w:col w:w="10888"/>
          </w:cols>
          <w:pgMar w:left="652" w:top="1400" w:right="359" w:bottom="1440" w:gutter="0" w:footer="0" w:header="0"/>
        </w:sectPr>
      </w:pPr>
    </w:p>
    <w:bookmarkStart w:id="74" w:name="page75"/>
    <w:bookmarkEnd w:id="74"/>
    <w:p>
      <w:pPr>
        <w:ind w:left="8" w:right="180"/>
        <w:spacing w:after="0" w:line="227" w:lineRule="auto"/>
        <w:rPr>
          <w:sz w:val="20"/>
          <w:szCs w:val="20"/>
          <w:color w:val="auto"/>
        </w:rPr>
      </w:pPr>
      <w:r>
        <w:rPr>
          <w:rFonts w:ascii="Calibri" w:cs="Calibri" w:eastAsia="Calibri" w:hAnsi="Calibri"/>
          <w:sz w:val="18"/>
          <w:szCs w:val="18"/>
          <w:color w:val="auto"/>
        </w:rPr>
        <w:t>Company nor any of its afliates or subsidiaries pay or reimburse a Covered Executve for any insurance premiums on any insurance policy obtained by the Covered Executve to protect against the forfeiture or recovery of any compensaton pursuant to this Policy.</w:t>
      </w:r>
    </w:p>
    <w:p>
      <w:pPr>
        <w:spacing w:after="0" w:line="147" w:lineRule="exact"/>
        <w:rPr>
          <w:sz w:val="20"/>
          <w:szCs w:val="20"/>
          <w:color w:val="auto"/>
        </w:rPr>
      </w:pPr>
    </w:p>
    <w:p>
      <w:pPr>
        <w:ind w:left="308" w:hanging="308"/>
        <w:spacing w:after="0"/>
        <w:tabs>
          <w:tab w:leader="none" w:pos="308" w:val="left"/>
        </w:tabs>
        <w:numPr>
          <w:ilvl w:val="0"/>
          <w:numId w:val="29"/>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Interpretaton</w:t>
      </w:r>
    </w:p>
    <w:p>
      <w:pPr>
        <w:spacing w:after="0" w:line="42" w:lineRule="exact"/>
        <w:rPr>
          <w:sz w:val="20"/>
          <w:szCs w:val="20"/>
          <w:color w:val="auto"/>
        </w:rPr>
      </w:pPr>
    </w:p>
    <w:p>
      <w:pPr>
        <w:ind w:left="8" w:firstLine="648"/>
        <w:spacing w:after="0" w:line="220" w:lineRule="auto"/>
        <w:rPr>
          <w:sz w:val="20"/>
          <w:szCs w:val="20"/>
          <w:color w:val="auto"/>
        </w:rPr>
      </w:pPr>
      <w:r>
        <w:rPr>
          <w:rFonts w:ascii="Calibri" w:cs="Calibri" w:eastAsia="Calibri" w:hAnsi="Calibri"/>
          <w:sz w:val="18"/>
          <w:szCs w:val="18"/>
          <w:color w:val="auto"/>
        </w:rPr>
        <w:t>The Commitee is authorized to interpret and construe this Policy and to make all determinatons necessary, appropriate, or advisable for the administraton of this Policy. This Policy shall be applied and interpreted in a manner that is consistent with the requirements of Rule 10D-1 and any applicable regulatons, rules or standards adopted by SEC or the rules of any natonal securites exchange or natonal securites associaton on which the Company’s securites are listed. In the event that this Policy does not meet the requirements of Rule 10D-1, the SEC regulatons promulgated thereunder, or the rules of any natonal securites exchange or natonal securites associaton on which the Company’s securites are listed, this Policy shall be deemed to be amended to meet such requirements.</w:t>
      </w:r>
    </w:p>
    <w:p>
      <w:pPr>
        <w:spacing w:after="0" w:line="150" w:lineRule="exact"/>
        <w:rPr>
          <w:sz w:val="20"/>
          <w:szCs w:val="20"/>
          <w:color w:val="auto"/>
        </w:rPr>
      </w:pPr>
    </w:p>
    <w:p>
      <w:pPr>
        <w:ind w:left="328" w:hanging="328"/>
        <w:spacing w:after="0"/>
        <w:tabs>
          <w:tab w:leader="none" w:pos="328" w:val="left"/>
        </w:tabs>
        <w:numPr>
          <w:ilvl w:val="0"/>
          <w:numId w:val="30"/>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Amendment; Terminaton</w:t>
      </w:r>
    </w:p>
    <w:p>
      <w:pPr>
        <w:spacing w:after="0" w:line="42" w:lineRule="exact"/>
        <w:rPr>
          <w:sz w:val="20"/>
          <w:szCs w:val="20"/>
          <w:color w:val="auto"/>
        </w:rPr>
      </w:pPr>
    </w:p>
    <w:p>
      <w:pPr>
        <w:ind w:left="8" w:right="100" w:firstLine="648"/>
        <w:spacing w:after="0" w:line="237" w:lineRule="auto"/>
        <w:rPr>
          <w:sz w:val="20"/>
          <w:szCs w:val="20"/>
          <w:color w:val="auto"/>
        </w:rPr>
      </w:pPr>
      <w:r>
        <w:rPr>
          <w:rFonts w:ascii="Calibri" w:cs="Calibri" w:eastAsia="Calibri" w:hAnsi="Calibri"/>
          <w:sz w:val="17"/>
          <w:szCs w:val="17"/>
          <w:color w:val="auto"/>
        </w:rPr>
        <w:t>The Board or the Commitee may amend this Policy in its discreton and shall amend this Policy as it deems necessary to comply with the regulatons adopted by the SEC under Rule 10D-1 and the rules of any natonal securites exchange or natonal securites associaton on which the Company’s securites are listed. The Board or the Commitee may terminate this Policy at any tme. Notwithstanding anything herein to the contrary, no amendment or terminaton of this Policy shall be efectve if that amendment or terminaton would cause the Company to violate any federal securites laws, SEC rules or the rules of any natonal securites exchange or natonal securites associaton on which the Company’s securites are listed.</w:t>
      </w:r>
    </w:p>
    <w:p>
      <w:pPr>
        <w:spacing w:after="0" w:line="145" w:lineRule="exact"/>
        <w:rPr>
          <w:sz w:val="20"/>
          <w:szCs w:val="20"/>
          <w:color w:val="auto"/>
        </w:rPr>
      </w:pPr>
    </w:p>
    <w:p>
      <w:pPr>
        <w:ind w:left="328" w:hanging="328"/>
        <w:spacing w:after="0"/>
        <w:tabs>
          <w:tab w:leader="none" w:pos="328" w:val="left"/>
        </w:tabs>
        <w:numPr>
          <w:ilvl w:val="0"/>
          <w:numId w:val="31"/>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Other Recoupment Rights</w:t>
      </w:r>
    </w:p>
    <w:p>
      <w:pPr>
        <w:spacing w:after="0" w:line="42" w:lineRule="exact"/>
        <w:rPr>
          <w:sz w:val="20"/>
          <w:szCs w:val="20"/>
          <w:color w:val="auto"/>
        </w:rPr>
      </w:pPr>
    </w:p>
    <w:p>
      <w:pPr>
        <w:ind w:left="8" w:right="80" w:firstLine="648"/>
        <w:spacing w:after="0" w:line="234" w:lineRule="auto"/>
        <w:rPr>
          <w:sz w:val="20"/>
          <w:szCs w:val="20"/>
          <w:color w:val="auto"/>
        </w:rPr>
      </w:pPr>
      <w:r>
        <w:rPr>
          <w:rFonts w:ascii="Calibri" w:cs="Calibri" w:eastAsia="Calibri" w:hAnsi="Calibri"/>
          <w:sz w:val="17"/>
          <w:szCs w:val="17"/>
          <w:color w:val="auto"/>
        </w:rPr>
        <w:t>Any right of recoupment under this Policy is in additon to, and not in lieu of, any other remedies or rights of recoupment that may be available to the Company pursuant to the terms of any similar provision in any employment agreement or other compensaton plan or agreement and any other legal remedies available to the Company. This Policy is in additon to any other clawback or compensaton recovery, recoupment or forfeiture policy in efect or that may be adopted by the Company from tme to tme, or any laws, rules or listng standards applicable to the Company, including without limitaton, the Company’s right to recoup compensaton subject to Secton 304 of the Sarbanes-Oxley Act of 2002 and the Company’s Supplemental Compensaton Recoupment Policy. To the extent that applicaton of this Policy would provide for recovery of Erroneously Awarded Compensaton that the Company recovers pursuant to another policy or provision, the amount that is recovered will be credited to the required recovery under this Policy.</w:t>
      </w:r>
    </w:p>
    <w:p>
      <w:pPr>
        <w:spacing w:after="0" w:line="145" w:lineRule="exact"/>
        <w:rPr>
          <w:sz w:val="20"/>
          <w:szCs w:val="20"/>
          <w:color w:val="auto"/>
        </w:rPr>
      </w:pPr>
    </w:p>
    <w:p>
      <w:pPr>
        <w:ind w:left="308" w:hanging="308"/>
        <w:spacing w:after="0"/>
        <w:tabs>
          <w:tab w:leader="none" w:pos="308" w:val="left"/>
        </w:tabs>
        <w:numPr>
          <w:ilvl w:val="0"/>
          <w:numId w:val="32"/>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Successors</w:t>
      </w:r>
    </w:p>
    <w:p>
      <w:pPr>
        <w:spacing w:after="0" w:line="42" w:lineRule="exact"/>
        <w:rPr>
          <w:sz w:val="20"/>
          <w:szCs w:val="20"/>
          <w:color w:val="auto"/>
        </w:rPr>
      </w:pPr>
    </w:p>
    <w:p>
      <w:pPr>
        <w:ind w:left="8" w:right="20" w:firstLine="648"/>
        <w:spacing w:after="0" w:line="227" w:lineRule="auto"/>
        <w:rPr>
          <w:sz w:val="20"/>
          <w:szCs w:val="20"/>
          <w:color w:val="auto"/>
        </w:rPr>
      </w:pPr>
      <w:r>
        <w:rPr>
          <w:rFonts w:ascii="Calibri" w:cs="Calibri" w:eastAsia="Calibri" w:hAnsi="Calibri"/>
          <w:sz w:val="18"/>
          <w:szCs w:val="18"/>
          <w:color w:val="auto"/>
        </w:rPr>
        <w:t>This Policy shall be binding and enforceable against all Covered Executves and their benefciaries, heirs, executors, administrators or other legal representatves.</w:t>
      </w:r>
    </w:p>
    <w:p>
      <w:pPr>
        <w:sectPr>
          <w:pgSz w:w="11900" w:h="16838" w:orient="portrait"/>
          <w:cols w:equalWidth="0" w:num="1">
            <w:col w:w="10868"/>
          </w:cols>
          <w:pgMar w:left="652" w:top="1400" w:right="379" w:bottom="1440" w:gutter="0" w:footer="0" w:header="0"/>
        </w:sectPr>
      </w:pPr>
    </w:p>
    <w:bookmarkStart w:id="75" w:name="page76"/>
    <w:bookmarkEnd w:id="75"/>
    <w:p>
      <w:pPr>
        <w:jc w:val="center"/>
        <w:ind w:right="-759"/>
        <w:spacing w:after="0"/>
        <w:rPr>
          <w:sz w:val="20"/>
          <w:szCs w:val="20"/>
          <w:color w:val="auto"/>
        </w:rPr>
      </w:pPr>
      <w:r>
        <w:rPr>
          <w:rFonts w:ascii="Calibri" w:cs="Calibri" w:eastAsia="Calibri" w:hAnsi="Calibri"/>
          <w:sz w:val="18"/>
          <w:szCs w:val="18"/>
          <w:b w:val="1"/>
          <w:bCs w:val="1"/>
          <w:color w:val="auto"/>
        </w:rPr>
        <w:t>Acknowledgement to</w:t>
      </w:r>
    </w:p>
    <w:p>
      <w:pPr>
        <w:jc w:val="center"/>
        <w:ind w:right="-759"/>
        <w:spacing w:after="0" w:line="221" w:lineRule="auto"/>
        <w:rPr>
          <w:sz w:val="20"/>
          <w:szCs w:val="20"/>
          <w:color w:val="auto"/>
        </w:rPr>
      </w:pPr>
      <w:r>
        <w:rPr>
          <w:rFonts w:ascii="Calibri" w:cs="Calibri" w:eastAsia="Calibri" w:hAnsi="Calibri"/>
          <w:sz w:val="18"/>
          <w:szCs w:val="18"/>
          <w:b w:val="1"/>
          <w:bCs w:val="1"/>
          <w:color w:val="auto"/>
        </w:rPr>
        <w:t>HAWKINS, INC.</w:t>
      </w:r>
    </w:p>
    <w:p>
      <w:pPr>
        <w:jc w:val="center"/>
        <w:ind w:right="-759"/>
        <w:spacing w:after="0" w:line="221" w:lineRule="auto"/>
        <w:rPr>
          <w:sz w:val="20"/>
          <w:szCs w:val="20"/>
          <w:color w:val="auto"/>
        </w:rPr>
      </w:pPr>
      <w:r>
        <w:rPr>
          <w:rFonts w:ascii="Calibri" w:cs="Calibri" w:eastAsia="Calibri" w:hAnsi="Calibri"/>
          <w:sz w:val="18"/>
          <w:szCs w:val="18"/>
          <w:color w:val="auto"/>
        </w:rPr>
        <w:t>Mandatory Compensaton Recoupment Policy</w:t>
      </w:r>
    </w:p>
    <w:p>
      <w:pPr>
        <w:spacing w:after="0" w:line="231" w:lineRule="exact"/>
        <w:rPr>
          <w:sz w:val="20"/>
          <w:szCs w:val="20"/>
          <w:color w:val="auto"/>
        </w:rPr>
      </w:pPr>
    </w:p>
    <w:p>
      <w:pPr>
        <w:ind w:left="660"/>
        <w:spacing w:after="0"/>
        <w:rPr>
          <w:sz w:val="20"/>
          <w:szCs w:val="20"/>
          <w:color w:val="auto"/>
        </w:rPr>
      </w:pPr>
      <w:r>
        <w:rPr>
          <w:rFonts w:ascii="Calibri" w:cs="Calibri" w:eastAsia="Calibri" w:hAnsi="Calibri"/>
          <w:sz w:val="17"/>
          <w:szCs w:val="17"/>
          <w:color w:val="auto"/>
        </w:rPr>
        <w:t>By signing below, the undersigned acknowledges and confrms that the undersigned has received and reviewed a copy of the Hawkins, Inc.</w:t>
      </w:r>
    </w:p>
    <w:p>
      <w:pPr>
        <w:spacing w:after="0" w:line="229" w:lineRule="auto"/>
        <w:rPr>
          <w:sz w:val="20"/>
          <w:szCs w:val="20"/>
          <w:color w:val="auto"/>
        </w:rPr>
      </w:pPr>
      <w:r>
        <w:rPr>
          <w:rFonts w:ascii="Calibri" w:cs="Calibri" w:eastAsia="Calibri" w:hAnsi="Calibri"/>
          <w:sz w:val="18"/>
          <w:szCs w:val="18"/>
          <w:color w:val="auto"/>
        </w:rPr>
        <w:t>Mandatory Compensaton Recoupment Policy.</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________________________________</w:t>
      </w:r>
    </w:p>
    <w:p>
      <w:pPr>
        <w:spacing w:after="0" w:line="221" w:lineRule="auto"/>
        <w:rPr>
          <w:sz w:val="20"/>
          <w:szCs w:val="20"/>
          <w:color w:val="auto"/>
        </w:rPr>
      </w:pPr>
      <w:r>
        <w:rPr>
          <w:rFonts w:ascii="Calibri" w:cs="Calibri" w:eastAsia="Calibri" w:hAnsi="Calibri"/>
          <w:sz w:val="18"/>
          <w:szCs w:val="18"/>
          <w:color w:val="auto"/>
        </w:rPr>
        <w:t>Signature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________________________________</w:t>
      </w:r>
    </w:p>
    <w:p>
      <w:pPr>
        <w:spacing w:after="0" w:line="221" w:lineRule="auto"/>
        <w:rPr>
          <w:sz w:val="20"/>
          <w:szCs w:val="20"/>
          <w:color w:val="auto"/>
        </w:rPr>
      </w:pPr>
      <w:r>
        <w:rPr>
          <w:rFonts w:ascii="Calibri" w:cs="Calibri" w:eastAsia="Calibri" w:hAnsi="Calibri"/>
          <w:sz w:val="18"/>
          <w:szCs w:val="18"/>
          <w:color w:val="auto"/>
        </w:rPr>
        <w:t>Printed Name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_________________________________</w:t>
      </w:r>
    </w:p>
    <w:p>
      <w:pPr>
        <w:spacing w:after="0" w:line="221" w:lineRule="auto"/>
        <w:rPr>
          <w:sz w:val="20"/>
          <w:szCs w:val="20"/>
          <w:color w:val="auto"/>
        </w:rPr>
      </w:pPr>
      <w:r>
        <w:rPr>
          <w:rFonts w:ascii="Calibri" w:cs="Calibri" w:eastAsia="Calibri" w:hAnsi="Calibri"/>
          <w:sz w:val="18"/>
          <w:szCs w:val="18"/>
          <w:color w:val="auto"/>
        </w:rPr>
        <w:t>Date</w:t>
      </w:r>
    </w:p>
    <w:sectPr>
      <w:pgSz w:w="11900" w:h="16838" w:orient="portrait"/>
      <w:cols w:equalWidth="0" w:num="1">
        <w:col w:w="10500"/>
      </w:cols>
      <w:pgMar w:left="320" w:top="1395"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21"/>
    </w:lvl>
  </w:abstractNum>
  <w:abstractNum w:abstractNumId="11">
    <w:nsid w:val="721DA317"/>
    <w:multiLevelType w:val="hybridMultilevel"/>
    <w:lvl w:ilvl="0">
      <w:lvlJc w:val="left"/>
      <w:lvlText w:val="%1"/>
      <w:numFmt w:val="decimal"/>
      <w:start w:val="97"/>
    </w:lvl>
  </w:abstractNum>
  <w:abstractNum w:abstractNumId="12">
    <w:nsid w:val="2443A858"/>
    <w:multiLevelType w:val="hybridMultilevel"/>
    <w:lvl w:ilvl="0">
      <w:lvlJc w:val="left"/>
      <w:lvlText w:val="%1"/>
      <w:numFmt w:val="decimal"/>
      <w:start w:val="10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lvl w:ilvl="1">
      <w:lvlJc w:val="left"/>
      <w:lvlText w:val="%2)"/>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abstractNum>
  <w:abstractNum w:abstractNumId="18">
    <w:nsid w:val="4353D0CD"/>
    <w:multiLevelType w:val="hybridMultilevel"/>
    <w:lvl w:ilvl="0">
      <w:lvlJc w:val="left"/>
      <w:lvlText w:val="%1."/>
      <w:numFmt w:val="upperLetter"/>
      <w:start w:val="1"/>
    </w:lvl>
  </w:abstractNum>
  <w:abstractNum w:abstractNumId="19">
    <w:nsid w:val="B03E0C6"/>
    <w:multiLevelType w:val="hybridMultilevel"/>
    <w:lvl w:ilvl="0">
      <w:lvlJc w:val="left"/>
      <w:lvlText w:val="%1."/>
      <w:numFmt w:val="upperLetter"/>
      <w:start w:val="2"/>
    </w:lvl>
  </w:abstractNum>
  <w:abstractNum w:abstractNumId="20">
    <w:nsid w:val="189A769B"/>
    <w:multiLevelType w:val="hybridMultilevel"/>
    <w:lvl w:ilvl="0">
      <w:lvlJc w:val="left"/>
      <w:lvlText w:val="%1."/>
      <w:numFmt w:val="upperLetter"/>
      <w:start w:val="3"/>
    </w:lvl>
    <w:lvl w:ilvl="1">
      <w:lvlJc w:val="left"/>
      <w:lvlText w:val="%2."/>
      <w:numFmt w:val="decimal"/>
      <w:start w:val="1"/>
    </w:lvl>
  </w:abstractNum>
  <w:abstractNum w:abstractNumId="21">
    <w:nsid w:val="54E49EB4"/>
    <w:multiLevelType w:val="hybridMultilevel"/>
    <w:lvl w:ilvl="0">
      <w:lvlJc w:val="left"/>
      <w:lvlText w:val="%1"/>
      <w:numFmt w:val="upperLetter"/>
      <w:start w:val="1"/>
    </w:lvl>
    <w:lvl w:ilvl="1">
      <w:lvlJc w:val="left"/>
      <w:lvlText w:val="%2."/>
      <w:numFmt w:val="decimal"/>
      <w:start w:val="9"/>
    </w:lvl>
  </w:abstractNum>
  <w:abstractNum w:abstractNumId="22">
    <w:nsid w:val="71F32454"/>
    <w:multiLevelType w:val="hybridMultilevel"/>
    <w:lvl w:ilvl="0">
      <w:lvlJc w:val="left"/>
      <w:lvlText w:val="%1."/>
      <w:numFmt w:val="upperLetter"/>
      <w:start w:val="4"/>
    </w:lvl>
    <w:lvl w:ilvl="1">
      <w:lvlJc w:val="left"/>
      <w:lvlText w:val="%2"/>
      <w:numFmt w:val="decimal"/>
      <w:start w:val="1"/>
    </w:lvl>
  </w:abstractNum>
  <w:abstractNum w:abstractNumId="23">
    <w:nsid w:val="2CA88611"/>
    <w:multiLevelType w:val="hybridMultilevel"/>
    <w:lvl w:ilvl="0">
      <w:lvlJc w:val="left"/>
      <w:lvlText w:val="%1."/>
      <w:numFmt w:val="upperLetter"/>
      <w:start w:val="5"/>
    </w:lvl>
  </w:abstractNum>
  <w:abstractNum w:abstractNumId="24">
    <w:nsid w:val="836C40E"/>
    <w:multiLevelType w:val="hybridMultilevel"/>
    <w:lvl w:ilvl="0">
      <w:lvlJc w:val="left"/>
      <w:lvlText w:val="%1."/>
      <w:numFmt w:val="upperLetter"/>
      <w:start w:val="6"/>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upperLetter"/>
      <w:start w:val="7"/>
    </w:lvl>
  </w:abstractNum>
  <w:abstractNum w:abstractNumId="27">
    <w:nsid w:val="8138641"/>
    <w:multiLevelType w:val="hybridMultilevel"/>
    <w:lvl w:ilvl="0">
      <w:lvlJc w:val="left"/>
      <w:lvlText w:val="%1."/>
      <w:numFmt w:val="upperLetter"/>
      <w:start w:val="8"/>
    </w:lvl>
  </w:abstractNum>
  <w:abstractNum w:abstractNumId="28">
    <w:nsid w:val="1E7FF521"/>
    <w:multiLevelType w:val="hybridMultilevel"/>
    <w:lvl w:ilvl="0">
      <w:lvlJc w:val="left"/>
      <w:lvlText w:val="%1."/>
      <w:numFmt w:val="upperLetter"/>
      <w:start w:val="9"/>
    </w:lvl>
  </w:abstractNum>
  <w:abstractNum w:abstractNumId="29">
    <w:nsid w:val="7C3DBD3D"/>
    <w:multiLevelType w:val="hybridMultilevel"/>
    <w:lvl w:ilvl="0">
      <w:lvlJc w:val="left"/>
      <w:lvlText w:val="%1."/>
      <w:numFmt w:val="upperLetter"/>
      <w:start w:val="10"/>
    </w:lvl>
  </w:abstractNum>
  <w:abstractNum w:abstractNumId="30">
    <w:nsid w:val="737B8DDC"/>
    <w:multiLevelType w:val="hybridMultilevel"/>
    <w:lvl w:ilvl="0">
      <w:lvlJc w:val="left"/>
      <w:lvlText w:val="%1."/>
      <w:numFmt w:val="upperLetter"/>
      <w:start w:val="11"/>
    </w:lvl>
  </w:abstractNum>
  <w:abstractNum w:abstractNumId="31">
    <w:nsid w:val="6CEAF087"/>
    <w:multiLevelType w:val="hybridMultilevel"/>
    <w:lvl w:ilvl="0">
      <w:lvlJc w:val="left"/>
      <w:lvlText w:val="%1."/>
      <w:numFmt w:val="upp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32" Type="http://schemas.openxmlformats.org/officeDocument/2006/relationships/hyperlink" Target="https://www.sec.gov/ix?doc=/Archives/edgar/data/46250/000004625023000015/hwkn-20230402.htm" TargetMode="External"/><Relationship Id="rId87" Type="http://schemas.openxmlformats.org/officeDocument/2006/relationships/hyperlink" Target="https://www.sec.gov/Archives/edgar/data/46250/000004625021000012/exhibit32.htm" TargetMode="External"/><Relationship Id="rId88" Type="http://schemas.openxmlformats.org/officeDocument/2006/relationships/hyperlink" Target="https://www.sec.gov/Archives/edgar/data/46250/000089710109002205/hawkins095018_ex3-1.htm" TargetMode="External"/><Relationship Id="rId89" Type="http://schemas.openxmlformats.org/officeDocument/2006/relationships/hyperlink" Target="https://www.sec.gov/Archives/edgar/data/46250/000004625021000019/hwkn10k2021exhibit41.htm" TargetMode="External"/><Relationship Id="rId90" Type="http://schemas.openxmlformats.org/officeDocument/2006/relationships/hyperlink" Target="https://www.sec.gov/Archives/edgar/data/46250/000095012311056962/c65009exv10w1.htm" TargetMode="External"/><Relationship Id="rId91" Type="http://schemas.openxmlformats.org/officeDocument/2006/relationships/hyperlink" Target="https://www.sec.gov/Archives/edgar/data/46250/000095012311073038/c64584exv10w1.htm" TargetMode="External"/><Relationship Id="rId92" Type="http://schemas.openxmlformats.org/officeDocument/2006/relationships/hyperlink" Target="https://www.sec.gov/Archives/edgar/data/46250/000119312518316437/d643918dex991.htm" TargetMode="External"/><Relationship Id="rId93" Type="http://schemas.openxmlformats.org/officeDocument/2006/relationships/hyperlink" Target="https://www.sec.gov/Archives/edgar/data/46250/000004625023000015/hwkn10k2023exhibit104.htm" TargetMode="External"/><Relationship Id="rId94" Type="http://schemas.openxmlformats.org/officeDocument/2006/relationships/hyperlink" Target="https://www.sec.gov/Archives/edgar/data/46250/000004625022000010/exhibit101.htm" TargetMode="External"/><Relationship Id="rId95" Type="http://schemas.openxmlformats.org/officeDocument/2006/relationships/hyperlink" Target="https://www.sec.gov/Archives/edgar/data/46250/000004625019000039/hawkins10qq2092919ex103.htm" TargetMode="External"/><Relationship Id="rId96" Type="http://schemas.openxmlformats.org/officeDocument/2006/relationships/hyperlink" Target="https://www.sec.gov/Archives/edgar/data/46250/000004625020000027/hwkn10k2020exhibit1010.htm" TargetMode="External"/><Relationship Id="rId97" Type="http://schemas.openxmlformats.org/officeDocument/2006/relationships/hyperlink" Target="https://www.sec.gov/Archives/edgar/data/46250/000004625021000019/hwkn10k2021exhibit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2024-05-15T16:04:05Z</dcterms:created>
  <dcterms:modified xsi:type="dcterms:W3CDTF">2024-05-15T16:04:05Z</dcterms:modified>
</cp:coreProperties>
</file>