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9"/>
        <w:spacing w:after="0"/>
        <w:rPr>
          <w:sz w:val="20"/>
          <w:szCs w:val="20"/>
          <w:color w:val="auto"/>
        </w:rPr>
      </w:pPr>
      <w:r>
        <w:rPr>
          <w:rFonts w:ascii="Courier New" w:cs="Courier New" w:eastAsia="Courier New" w:hAnsi="Courier New"/>
          <w:sz w:val="16"/>
          <w:szCs w:val="16"/>
          <w:color w:val="auto"/>
        </w:rPr>
        <w:t>UNITED STATES</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ectPr>
          <w:pgSz w:w="11900" w:h="16838" w:orient="portrait"/>
          <w:cols w:equalWidth="0" w:num="1">
            <w:col w:w="10219"/>
          </w:cols>
          <w:pgMar w:left="240" w:top="812" w:right="1440" w:bottom="1440" w:gutter="0" w:footer="0" w:header="0"/>
        </w:sectPr>
      </w:pP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right="2919"/>
        <w:spacing w:after="0" w:line="255"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4" w:lineRule="exact"/>
        <w:rPr>
          <w:sz w:val="24"/>
          <w:szCs w:val="24"/>
          <w:color w:val="auto"/>
        </w:rPr>
      </w:pPr>
    </w:p>
    <w:p>
      <w:pPr>
        <w:sectPr>
          <w:pgSz w:w="11900" w:h="16838" w:orient="portrait"/>
          <w:cols w:equalWidth="0" w:num="2">
            <w:col w:w="300" w:space="480"/>
            <w:col w:w="9439"/>
          </w:cols>
          <w:pgMar w:left="240" w:top="812" w:right="1440" w:bottom="1440" w:gutter="0" w:footer="0" w:header="0"/>
          <w:type w:val="continuous"/>
        </w:sectPr>
      </w:pPr>
    </w:p>
    <w:p>
      <w:pPr>
        <w:jc w:val="center"/>
        <w:ind w:right="2519"/>
        <w:spacing w:after="0"/>
        <w:rPr>
          <w:sz w:val="20"/>
          <w:szCs w:val="20"/>
          <w:color w:val="auto"/>
        </w:rPr>
      </w:pPr>
      <w:r>
        <w:rPr>
          <w:rFonts w:ascii="Courier New" w:cs="Courier New" w:eastAsia="Courier New" w:hAnsi="Courier New"/>
          <w:sz w:val="16"/>
          <w:szCs w:val="16"/>
          <w:color w:val="auto"/>
        </w:rPr>
        <w:t>For the quarterly period ended DECEMBER 31, 2000</w:t>
      </w:r>
    </w:p>
    <w:p>
      <w:pPr>
        <w:spacing w:after="0" w:line="198" w:lineRule="exact"/>
        <w:rPr>
          <w:sz w:val="24"/>
          <w:szCs w:val="24"/>
          <w:color w:val="auto"/>
        </w:rPr>
      </w:pPr>
    </w:p>
    <w:p>
      <w:pPr>
        <w:ind w:left="3840"/>
        <w:spacing w:after="0"/>
        <w:rPr>
          <w:sz w:val="20"/>
          <w:szCs w:val="20"/>
          <w:color w:val="auto"/>
        </w:rPr>
      </w:pPr>
      <w:r>
        <w:rPr>
          <w:rFonts w:ascii="Courier New" w:cs="Courier New" w:eastAsia="Courier New" w:hAnsi="Courier New"/>
          <w:sz w:val="16"/>
          <w:szCs w:val="16"/>
          <w:color w:val="auto"/>
        </w:rPr>
        <w:t>OR</w:t>
      </w:r>
    </w:p>
    <w:p>
      <w:pPr>
        <w:spacing w:after="0" w:line="198" w:lineRule="exact"/>
        <w:rPr>
          <w:sz w:val="24"/>
          <w:szCs w:val="24"/>
          <w:color w:val="auto"/>
        </w:rPr>
      </w:pPr>
    </w:p>
    <w:p>
      <w:pPr>
        <w:ind w:left="780" w:right="2819" w:hanging="779"/>
        <w:spacing w:after="0" w:line="255" w:lineRule="auto"/>
        <w:tabs>
          <w:tab w:leader="none" w:pos="18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______________________to ______________________</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Commission file number 0-7647</w:t>
      </w:r>
    </w:p>
    <w:p>
      <w:pPr>
        <w:spacing w:after="0" w:line="19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HAWKINS CHEMICAL, INC.</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12" w:right="1440" w:bottom="1440" w:gutter="0" w:footer="0" w:header="0"/>
          <w:type w:val="continuous"/>
        </w:sectPr>
      </w:pPr>
    </w:p>
    <w:p>
      <w:pPr>
        <w:spacing w:after="0" w:line="19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MINNESOTA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41-0771293</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7" w:lineRule="exact"/>
        <w:rPr>
          <w:sz w:val="24"/>
          <w:szCs w:val="24"/>
          <w:color w:val="auto"/>
        </w:rPr>
      </w:pPr>
    </w:p>
    <w:p>
      <w:pPr>
        <w:sectPr>
          <w:pgSz w:w="11900" w:h="16838" w:orient="portrait"/>
          <w:cols w:equalWidth="0" w:num="2">
            <w:col w:w="3640" w:space="600"/>
            <w:col w:w="5979"/>
          </w:cols>
          <w:pgMar w:left="240" w:top="812"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3100 EAST HENNEPIN AVENUE, MINNEAPOLIS, MINNESOTA 55413</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(612) 331-6910</w:t>
      </w:r>
    </w:p>
    <w:p>
      <w:pPr>
        <w:spacing w:after="0" w:line="8"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8" w:lineRule="exact"/>
        <w:rPr>
          <w:sz w:val="24"/>
          <w:szCs w:val="24"/>
          <w:color w:val="auto"/>
        </w:rPr>
      </w:pPr>
    </w:p>
    <w:p>
      <w:pPr>
        <w:ind w:right="2339"/>
        <w:spacing w:after="0" w:line="252"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812" w:right="1440" w:bottom="1440" w:gutter="0" w:footer="0" w:header="0"/>
          <w:type w:val="continuous"/>
        </w:sectPr>
      </w:pPr>
    </w:p>
    <w:p>
      <w:pPr>
        <w:spacing w:after="0" w:line="186"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8" w:lineRule="exact"/>
        <w:rPr>
          <w:sz w:val="24"/>
          <w:szCs w:val="24"/>
          <w:color w:val="auto"/>
        </w:rPr>
      </w:pPr>
    </w:p>
    <w:p>
      <w:pPr>
        <w:sectPr>
          <w:pgSz w:w="11900" w:h="16838" w:orient="portrait"/>
          <w:cols w:equalWidth="0" w:num="3">
            <w:col w:w="2760" w:space="300"/>
            <w:col w:w="260" w:space="720"/>
            <w:col w:w="6179"/>
          </w:cols>
          <w:pgMar w:left="240" w:top="812"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2">
            <w:col w:w="3620" w:space="720"/>
            <w:col w:w="5879"/>
          </w:cols>
          <w:pgMar w:left="240" w:top="812" w:right="1440" w:bottom="1440" w:gutter="0" w:footer="0" w:header="0"/>
          <w:type w:val="continuous"/>
        </w:sectPr>
      </w:pPr>
    </w:p>
    <w:p>
      <w:pPr>
        <w:ind w:right="2719"/>
        <w:spacing w:after="0" w:line="255"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ectPr>
          <w:pgSz w:w="11900" w:h="16838" w:orient="portrait"/>
          <w:cols w:equalWidth="0" w:num="1">
            <w:col w:w="10219"/>
          </w:cols>
          <w:pgMar w:left="240" w:top="812" w:right="1440" w:bottom="1440" w:gutter="0" w:footer="0" w:header="0"/>
          <w:type w:val="continuous"/>
        </w:sectPr>
      </w:pPr>
    </w:p>
    <w:p>
      <w:pPr>
        <w:spacing w:after="0" w:line="18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OUTSTANDING AT FEBRUARY 9, 2001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10,367,239</w:t>
      </w:r>
    </w:p>
    <w:p>
      <w:pPr>
        <w:sectPr>
          <w:pgSz w:w="11900" w:h="16838" w:orient="portrait"/>
          <w:cols w:equalWidth="0" w:num="2">
            <w:col w:w="4040" w:space="600"/>
            <w:col w:w="5579"/>
          </w:cols>
          <w:pgMar w:left="240" w:top="81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6520" w:type="dxa"/>
            <w:vAlign w:val="bottom"/>
          </w:tcPr>
          <w:p>
            <w:pPr>
              <w:ind w:left="1980"/>
              <w:spacing w:after="0"/>
              <w:rPr>
                <w:sz w:val="20"/>
                <w:szCs w:val="20"/>
                <w:color w:val="auto"/>
              </w:rPr>
            </w:pPr>
            <w:r>
              <w:rPr>
                <w:rFonts w:ascii="Courier New" w:cs="Courier New" w:eastAsia="Courier New" w:hAnsi="Courier New"/>
                <w:sz w:val="16"/>
                <w:szCs w:val="16"/>
                <w:color w:val="auto"/>
              </w:rPr>
              <w:t>HAWKINS CHEMICAL, INC.</w:t>
            </w:r>
          </w:p>
        </w:tc>
        <w:tc>
          <w:tcPr>
            <w:tcW w:w="1280" w:type="dxa"/>
            <w:vAlign w:val="bottom"/>
          </w:tcPr>
          <w:p>
            <w:pPr>
              <w:spacing w:after="0"/>
              <w:rPr>
                <w:sz w:val="16"/>
                <w:szCs w:val="16"/>
                <w:color w:val="auto"/>
              </w:rPr>
            </w:pPr>
          </w:p>
        </w:tc>
      </w:tr>
      <w:tr>
        <w:trPr>
          <w:trHeight w:val="379"/>
        </w:trPr>
        <w:tc>
          <w:tcPr>
            <w:tcW w:w="880" w:type="dxa"/>
            <w:vAlign w:val="bottom"/>
          </w:tcPr>
          <w:p>
            <w:pPr>
              <w:spacing w:after="0"/>
              <w:rPr>
                <w:sz w:val="24"/>
                <w:szCs w:val="24"/>
                <w:color w:val="auto"/>
              </w:rPr>
            </w:pPr>
          </w:p>
        </w:tc>
        <w:tc>
          <w:tcPr>
            <w:tcW w:w="6520" w:type="dxa"/>
            <w:vAlign w:val="bottom"/>
          </w:tcPr>
          <w:p>
            <w:pPr>
              <w:ind w:left="2180"/>
              <w:spacing w:after="0"/>
              <w:rPr>
                <w:sz w:val="20"/>
                <w:szCs w:val="20"/>
                <w:color w:val="auto"/>
              </w:rPr>
            </w:pPr>
            <w:r>
              <w:rPr>
                <w:rFonts w:ascii="Courier New" w:cs="Courier New" w:eastAsia="Courier New" w:hAnsi="Courier New"/>
                <w:sz w:val="16"/>
                <w:szCs w:val="16"/>
                <w:color w:val="auto"/>
              </w:rPr>
              <w:t>INDEX TO FORM 10-Q</w:t>
            </w:r>
          </w:p>
        </w:tc>
        <w:tc>
          <w:tcPr>
            <w:tcW w:w="1280" w:type="dxa"/>
            <w:vAlign w:val="bottom"/>
          </w:tcPr>
          <w:p>
            <w:pPr>
              <w:spacing w:after="0"/>
              <w:rPr>
                <w:sz w:val="24"/>
                <w:szCs w:val="24"/>
                <w:color w:val="auto"/>
              </w:rPr>
            </w:pPr>
          </w:p>
        </w:tc>
      </w:tr>
      <w:tr>
        <w:trPr>
          <w:trHeight w:val="758"/>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6"/>
                <w:szCs w:val="16"/>
                <w:color w:val="auto"/>
              </w:rPr>
              <w:t>Page No.</w:t>
            </w: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FINANCIAL INFORMATION</w:t>
            </w:r>
          </w:p>
        </w:tc>
        <w:tc>
          <w:tcPr>
            <w:tcW w:w="1280" w:type="dxa"/>
            <w:vAlign w:val="bottom"/>
          </w:tcPr>
          <w:p>
            <w:pPr>
              <w:spacing w:after="0"/>
              <w:rPr>
                <w:sz w:val="24"/>
                <w:szCs w:val="24"/>
                <w:color w:val="auto"/>
              </w:rPr>
            </w:pP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Financial Statements:</w:t>
            </w:r>
          </w:p>
        </w:tc>
        <w:tc>
          <w:tcPr>
            <w:tcW w:w="1280" w:type="dxa"/>
            <w:vAlign w:val="bottom"/>
          </w:tcPr>
          <w:p>
            <w:pPr>
              <w:spacing w:after="0"/>
              <w:rPr>
                <w:sz w:val="24"/>
                <w:szCs w:val="24"/>
                <w:color w:val="auto"/>
              </w:rPr>
            </w:pPr>
          </w:p>
        </w:tc>
      </w:tr>
      <w:tr>
        <w:trPr>
          <w:trHeight w:val="379"/>
        </w:trPr>
        <w:tc>
          <w:tcPr>
            <w:tcW w:w="88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Condensed Balance Sheets - December 31, 2000 and</w:t>
            </w:r>
          </w:p>
        </w:tc>
        <w:tc>
          <w:tcPr>
            <w:tcW w:w="128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520" w:type="dxa"/>
            <w:vAlign w:val="bottom"/>
          </w:tcPr>
          <w:p>
            <w:pPr>
              <w:ind w:left="500"/>
              <w:spacing w:after="0"/>
              <w:rPr>
                <w:sz w:val="20"/>
                <w:szCs w:val="20"/>
                <w:color w:val="auto"/>
              </w:rPr>
            </w:pPr>
            <w:r>
              <w:rPr>
                <w:rFonts w:ascii="Courier New" w:cs="Courier New" w:eastAsia="Courier New" w:hAnsi="Courier New"/>
                <w:sz w:val="16"/>
                <w:szCs w:val="16"/>
                <w:color w:val="auto"/>
              </w:rPr>
              <w:t>October 1, 2000</w:t>
            </w:r>
          </w:p>
        </w:tc>
        <w:tc>
          <w:tcPr>
            <w:tcW w:w="1280" w:type="dxa"/>
            <w:vAlign w:val="bottom"/>
          </w:tcPr>
          <w:p>
            <w:pPr>
              <w:ind w:left="780"/>
              <w:spacing w:after="0"/>
              <w:rPr>
                <w:sz w:val="20"/>
                <w:szCs w:val="20"/>
                <w:color w:val="auto"/>
              </w:rPr>
            </w:pPr>
            <w:r>
              <w:rPr>
                <w:rFonts w:ascii="Courier New" w:cs="Courier New" w:eastAsia="Courier New" w:hAnsi="Courier New"/>
                <w:sz w:val="16"/>
                <w:szCs w:val="16"/>
                <w:color w:val="auto"/>
              </w:rPr>
              <w:t>3</w:t>
            </w:r>
          </w:p>
        </w:tc>
      </w:tr>
      <w:tr>
        <w:trPr>
          <w:trHeight w:val="379"/>
        </w:trPr>
        <w:tc>
          <w:tcPr>
            <w:tcW w:w="88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Condensed Statements of Income - Three Months Ended</w:t>
            </w:r>
          </w:p>
        </w:tc>
        <w:tc>
          <w:tcPr>
            <w:tcW w:w="128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520" w:type="dxa"/>
            <w:vAlign w:val="bottom"/>
          </w:tcPr>
          <w:p>
            <w:pPr>
              <w:ind w:left="500"/>
              <w:spacing w:after="0"/>
              <w:rPr>
                <w:sz w:val="20"/>
                <w:szCs w:val="20"/>
                <w:color w:val="auto"/>
              </w:rPr>
            </w:pPr>
            <w:r>
              <w:rPr>
                <w:rFonts w:ascii="Courier New" w:cs="Courier New" w:eastAsia="Courier New" w:hAnsi="Courier New"/>
                <w:sz w:val="16"/>
                <w:szCs w:val="16"/>
                <w:color w:val="auto"/>
              </w:rPr>
              <w:t>Ended December 31, 2000 and 1999</w:t>
            </w:r>
          </w:p>
        </w:tc>
        <w:tc>
          <w:tcPr>
            <w:tcW w:w="1280" w:type="dxa"/>
            <w:vAlign w:val="bottom"/>
          </w:tcPr>
          <w:p>
            <w:pPr>
              <w:ind w:left="780"/>
              <w:spacing w:after="0"/>
              <w:rPr>
                <w:sz w:val="20"/>
                <w:szCs w:val="20"/>
                <w:color w:val="auto"/>
              </w:rPr>
            </w:pPr>
            <w:r>
              <w:rPr>
                <w:rFonts w:ascii="Courier New" w:cs="Courier New" w:eastAsia="Courier New" w:hAnsi="Courier New"/>
                <w:sz w:val="16"/>
                <w:szCs w:val="16"/>
                <w:color w:val="auto"/>
              </w:rPr>
              <w:t>4</w:t>
            </w:r>
          </w:p>
        </w:tc>
      </w:tr>
      <w:tr>
        <w:trPr>
          <w:trHeight w:val="379"/>
        </w:trPr>
        <w:tc>
          <w:tcPr>
            <w:tcW w:w="88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Condensed Statements of Cash Flows - Three Months Ended</w:t>
            </w:r>
          </w:p>
        </w:tc>
        <w:tc>
          <w:tcPr>
            <w:tcW w:w="128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520" w:type="dxa"/>
            <w:vAlign w:val="bottom"/>
          </w:tcPr>
          <w:p>
            <w:pPr>
              <w:ind w:left="500"/>
              <w:spacing w:after="0"/>
              <w:rPr>
                <w:sz w:val="20"/>
                <w:szCs w:val="20"/>
                <w:color w:val="auto"/>
              </w:rPr>
            </w:pPr>
            <w:r>
              <w:rPr>
                <w:rFonts w:ascii="Courier New" w:cs="Courier New" w:eastAsia="Courier New" w:hAnsi="Courier New"/>
                <w:sz w:val="16"/>
                <w:szCs w:val="16"/>
                <w:color w:val="auto"/>
              </w:rPr>
              <w:t>December 31, 2000 and 1999</w:t>
            </w:r>
          </w:p>
        </w:tc>
        <w:tc>
          <w:tcPr>
            <w:tcW w:w="1280" w:type="dxa"/>
            <w:vAlign w:val="bottom"/>
          </w:tcPr>
          <w:p>
            <w:pPr>
              <w:ind w:left="780"/>
              <w:spacing w:after="0"/>
              <w:rPr>
                <w:sz w:val="20"/>
                <w:szCs w:val="20"/>
                <w:color w:val="auto"/>
              </w:rPr>
            </w:pPr>
            <w:r>
              <w:rPr>
                <w:rFonts w:ascii="Courier New" w:cs="Courier New" w:eastAsia="Courier New" w:hAnsi="Courier New"/>
                <w:sz w:val="16"/>
                <w:szCs w:val="16"/>
                <w:color w:val="auto"/>
              </w:rPr>
              <w:t>5</w:t>
            </w:r>
          </w:p>
        </w:tc>
      </w:tr>
      <w:tr>
        <w:trPr>
          <w:trHeight w:val="379"/>
        </w:trPr>
        <w:tc>
          <w:tcPr>
            <w:tcW w:w="880" w:type="dxa"/>
            <w:vAlign w:val="bottom"/>
          </w:tcPr>
          <w:p>
            <w:pPr>
              <w:spacing w:after="0"/>
              <w:rPr>
                <w:sz w:val="24"/>
                <w:szCs w:val="24"/>
                <w:color w:val="auto"/>
              </w:rPr>
            </w:pP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Notes to Condensed Financial Statements</w:t>
            </w:r>
          </w:p>
        </w:tc>
        <w:tc>
          <w:tcPr>
            <w:tcW w:w="1280" w:type="dxa"/>
            <w:vAlign w:val="bottom"/>
          </w:tcPr>
          <w:p>
            <w:pPr>
              <w:ind w:left="680"/>
              <w:spacing w:after="0"/>
              <w:rPr>
                <w:sz w:val="20"/>
                <w:szCs w:val="20"/>
                <w:color w:val="auto"/>
              </w:rPr>
            </w:pPr>
            <w:r>
              <w:rPr>
                <w:rFonts w:ascii="Courier New" w:cs="Courier New" w:eastAsia="Courier New" w:hAnsi="Courier New"/>
                <w:sz w:val="16"/>
                <w:szCs w:val="16"/>
                <w:color w:val="auto"/>
              </w:rPr>
              <w:t>6-7</w:t>
            </w: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128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6520" w:type="dxa"/>
            <w:vAlign w:val="bottom"/>
          </w:tcPr>
          <w:p>
            <w:pPr>
              <w:ind w:left="500"/>
              <w:spacing w:after="0"/>
              <w:rPr>
                <w:sz w:val="20"/>
                <w:szCs w:val="20"/>
                <w:color w:val="auto"/>
              </w:rPr>
            </w:pPr>
            <w:r>
              <w:rPr>
                <w:rFonts w:ascii="Courier New" w:cs="Courier New" w:eastAsia="Courier New" w:hAnsi="Courier New"/>
                <w:sz w:val="16"/>
                <w:szCs w:val="16"/>
                <w:color w:val="auto"/>
              </w:rPr>
              <w:t>and Results of Operations</w:t>
            </w:r>
          </w:p>
        </w:tc>
        <w:tc>
          <w:tcPr>
            <w:tcW w:w="1280" w:type="dxa"/>
            <w:vAlign w:val="bottom"/>
          </w:tcPr>
          <w:p>
            <w:pPr>
              <w:ind w:left="680"/>
              <w:spacing w:after="0"/>
              <w:rPr>
                <w:sz w:val="20"/>
                <w:szCs w:val="20"/>
                <w:color w:val="auto"/>
              </w:rPr>
            </w:pPr>
            <w:r>
              <w:rPr>
                <w:rFonts w:ascii="Courier New" w:cs="Courier New" w:eastAsia="Courier New" w:hAnsi="Courier New"/>
                <w:sz w:val="16"/>
                <w:szCs w:val="16"/>
                <w:color w:val="auto"/>
              </w:rPr>
              <w:t>8-10</w:t>
            </w: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OTHER INFORMATION</w:t>
            </w:r>
          </w:p>
        </w:tc>
        <w:tc>
          <w:tcPr>
            <w:tcW w:w="1280" w:type="dxa"/>
            <w:vAlign w:val="bottom"/>
          </w:tcPr>
          <w:p>
            <w:pPr>
              <w:spacing w:after="0"/>
              <w:rPr>
                <w:sz w:val="24"/>
                <w:szCs w:val="24"/>
                <w:color w:val="auto"/>
              </w:rPr>
            </w:pP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Legal Proceedings</w:t>
            </w:r>
          </w:p>
        </w:tc>
        <w:tc>
          <w:tcPr>
            <w:tcW w:w="1280" w:type="dxa"/>
            <w:vAlign w:val="bottom"/>
          </w:tcPr>
          <w:p>
            <w:pPr>
              <w:ind w:left="780"/>
              <w:spacing w:after="0"/>
              <w:rPr>
                <w:sz w:val="20"/>
                <w:szCs w:val="20"/>
                <w:color w:val="auto"/>
              </w:rPr>
            </w:pPr>
            <w:r>
              <w:rPr>
                <w:rFonts w:ascii="Courier New" w:cs="Courier New" w:eastAsia="Courier New" w:hAnsi="Courier New"/>
                <w:sz w:val="16"/>
                <w:szCs w:val="16"/>
                <w:color w:val="auto"/>
              </w:rPr>
              <w:t>11</w:t>
            </w:r>
          </w:p>
        </w:tc>
      </w:tr>
      <w:tr>
        <w:trPr>
          <w:trHeight w:val="379"/>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6520" w:type="dxa"/>
            <w:vAlign w:val="bottom"/>
          </w:tcPr>
          <w:p>
            <w:pPr>
              <w:ind w:left="200"/>
              <w:spacing w:after="0"/>
              <w:rPr>
                <w:sz w:val="20"/>
                <w:szCs w:val="20"/>
                <w:color w:val="auto"/>
              </w:rPr>
            </w:pPr>
            <w:r>
              <w:rPr>
                <w:rFonts w:ascii="Courier New" w:cs="Courier New" w:eastAsia="Courier New" w:hAnsi="Courier New"/>
                <w:sz w:val="16"/>
                <w:szCs w:val="16"/>
                <w:color w:val="auto"/>
              </w:rPr>
              <w:t>Exhibits and Reports on Form 8-K</w:t>
            </w:r>
          </w:p>
        </w:tc>
        <w:tc>
          <w:tcPr>
            <w:tcW w:w="1280" w:type="dxa"/>
            <w:vAlign w:val="bottom"/>
          </w:tcPr>
          <w:p>
            <w:pPr>
              <w:ind w:left="780"/>
              <w:spacing w:after="0"/>
              <w:rPr>
                <w:sz w:val="20"/>
                <w:szCs w:val="20"/>
                <w:color w:val="auto"/>
              </w:rPr>
            </w:pPr>
            <w:r>
              <w:rPr>
                <w:rFonts w:ascii="Courier New" w:cs="Courier New" w:eastAsia="Courier New" w:hAnsi="Courier New"/>
                <w:sz w:val="16"/>
                <w:szCs w:val="16"/>
                <w:color w:val="auto"/>
              </w:rPr>
              <w:t>11</w:t>
            </w:r>
          </w:p>
        </w:tc>
      </w:tr>
    </w:tbl>
    <w:p>
      <w:pPr>
        <w:spacing w:after="0" w:line="200" w:lineRule="exact"/>
        <w:rPr>
          <w:sz w:val="20"/>
          <w:szCs w:val="20"/>
          <w:color w:val="auto"/>
        </w:rPr>
      </w:pPr>
    </w:p>
    <w:p>
      <w:pPr>
        <w:spacing w:after="0" w:line="373"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685" w:right="1440"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6"/>
          <w:szCs w:val="16"/>
          <w:color w:val="auto"/>
        </w:rPr>
        <w:t>PART I. FINANCIAL INFORMATION</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FINANCIAL STATEMENTS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HAWKINS CHEMICAL,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DECEMBER 31,</w:t>
            </w:r>
          </w:p>
        </w:tc>
        <w:tc>
          <w:tcPr>
            <w:tcW w:w="840" w:type="dxa"/>
            <w:vAlign w:val="bottom"/>
          </w:tcPr>
          <w:p>
            <w:pPr>
              <w:spacing w:after="0"/>
              <w:rPr>
                <w:sz w:val="16"/>
                <w:szCs w:val="16"/>
                <w:color w:val="auto"/>
              </w:rPr>
            </w:pPr>
          </w:p>
        </w:tc>
        <w:tc>
          <w:tcPr>
            <w:tcW w:w="1560" w:type="dxa"/>
            <w:vAlign w:val="bottom"/>
          </w:tcPr>
          <w:p>
            <w:pPr>
              <w:jc w:val="right"/>
              <w:ind w:right="498"/>
              <w:spacing w:after="0"/>
              <w:rPr>
                <w:sz w:val="20"/>
                <w:szCs w:val="20"/>
                <w:color w:val="auto"/>
              </w:rPr>
            </w:pPr>
            <w:r>
              <w:rPr>
                <w:rFonts w:ascii="Courier New" w:cs="Courier New" w:eastAsia="Courier New" w:hAnsi="Courier New"/>
                <w:sz w:val="16"/>
                <w:szCs w:val="16"/>
                <w:color w:val="auto"/>
                <w:w w:val="99"/>
              </w:rPr>
              <w:t>OCTOBER 1,</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spacing w:after="0"/>
              <w:rPr>
                <w:sz w:val="16"/>
                <w:szCs w:val="16"/>
                <w:color w:val="auto"/>
              </w:rPr>
            </w:pPr>
          </w:p>
        </w:tc>
        <w:tc>
          <w:tcPr>
            <w:tcW w:w="156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2000</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(UNAUDITED)</w:t>
            </w: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(DERIVED FROM AUDITED</w:t>
            </w:r>
          </w:p>
        </w:tc>
      </w:tr>
      <w:tr>
        <w:trPr>
          <w:trHeight w:val="190"/>
        </w:trPr>
        <w:tc>
          <w:tcPr>
            <w:tcW w:w="6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FINANCIAL STATEMENTS)</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2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2,185,757</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Investments available-for-sale</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$ 12,178,229</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12,033,866</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Trade receivables-net</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11,602,058</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11,610,606</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Notes receivable</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160,877</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157,701</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Inventories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8,803,298</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8,929,957</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Prepaid expenses and other</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2,130,517</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2,658,875</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Total current assets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34,874,979</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37,576,762</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PROPERTY, PLANT AND EQUIPMENT-net</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25,180,380</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23,687,337</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NOTES RECEIVABLE-NONCURRENT</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2,533,447</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2,611,577</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5,973,797</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6,018,844</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$ 68,562,603</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$ 69,894,520</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5,638,491</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5,006,580</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Current portion of long-term debt</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109,180</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102,037</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Dividends payable</w:t>
            </w:r>
          </w:p>
        </w:tc>
        <w:tc>
          <w:tcPr>
            <w:tcW w:w="2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1,566,036</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Other current liabilities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3,438,829</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4,788,365</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Total current liabilities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9,186,500</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11,463,018</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116,823</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226,003</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942,330</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937,330</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553,997</w:t>
            </w:r>
          </w:p>
        </w:tc>
        <w:tc>
          <w:tcPr>
            <w:tcW w:w="840" w:type="dxa"/>
            <w:vAlign w:val="bottom"/>
          </w:tcPr>
          <w:p>
            <w:pPr>
              <w:spacing w:after="0"/>
              <w:rPr>
                <w:sz w:val="24"/>
                <w:szCs w:val="24"/>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596,943</w:t>
            </w: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9"/>
        </w:trPr>
        <w:tc>
          <w:tcPr>
            <w:tcW w:w="69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Common stock, par value $.05 per share; issued and</w:t>
            </w:r>
          </w:p>
        </w:tc>
        <w:tc>
          <w:tcPr>
            <w:tcW w:w="2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0"/>
        </w:trPr>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outstanding, 10,387,439 and 10,417,739 shares respectively</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519,372</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520,887</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Additional paid-in capital</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38,378,364</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38,490,313</w:t>
            </w:r>
          </w:p>
        </w:tc>
      </w:tr>
      <w:tr>
        <w:trPr>
          <w:trHeight w:val="190"/>
        </w:trPr>
        <w:tc>
          <w:tcPr>
            <w:tcW w:w="6900" w:type="dxa"/>
            <w:vAlign w:val="bottom"/>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18,865,217</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17,660,026</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tcPr>
          <w:p>
            <w:pPr>
              <w:ind w:left="500"/>
              <w:spacing w:after="0"/>
              <w:rPr>
                <w:sz w:val="20"/>
                <w:szCs w:val="20"/>
                <w:color w:val="auto"/>
              </w:rPr>
            </w:pPr>
            <w:r>
              <w:rPr>
                <w:rFonts w:ascii="Courier New" w:cs="Courier New" w:eastAsia="Courier New" w:hAnsi="Courier New"/>
                <w:sz w:val="16"/>
                <w:szCs w:val="16"/>
                <w:color w:val="auto"/>
              </w:rPr>
              <w:t>Total shareholders' equity</w:t>
            </w: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57,762,953</w:t>
            </w:r>
          </w:p>
        </w:tc>
        <w:tc>
          <w:tcPr>
            <w:tcW w:w="840" w:type="dxa"/>
            <w:vAlign w:val="bottom"/>
          </w:tcPr>
          <w:p>
            <w:pPr>
              <w:spacing w:after="0"/>
              <w:rPr>
                <w:sz w:val="16"/>
                <w:szCs w:val="16"/>
                <w:color w:val="auto"/>
              </w:rPr>
            </w:pPr>
          </w:p>
        </w:tc>
        <w:tc>
          <w:tcPr>
            <w:tcW w:w="156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56,671,226</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$ 68,562,603</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$ 69,894,520</w:t>
            </w:r>
          </w:p>
        </w:tc>
      </w:tr>
      <w:tr>
        <w:trPr>
          <w:trHeight w:val="190"/>
        </w:trPr>
        <w:tc>
          <w:tcPr>
            <w:tcW w:w="6900" w:type="dxa"/>
            <w:vAlign w:val="bottom"/>
          </w:tcPr>
          <w:p>
            <w:pPr>
              <w:spacing w:after="0"/>
              <w:rPr>
                <w:sz w:val="16"/>
                <w:szCs w:val="16"/>
                <w:color w:val="auto"/>
              </w:rPr>
            </w:pPr>
          </w:p>
        </w:tc>
        <w:tc>
          <w:tcPr>
            <w:tcW w:w="22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2400" w:type="dxa"/>
            <w:vAlign w:val="bottom"/>
            <w:gridSpan w:val="2"/>
          </w:tcPr>
          <w:p>
            <w:pPr>
              <w:jc w:val="right"/>
              <w:ind w:right="39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8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1520"/>
          </w:cols>
          <w:pgMar w:left="240" w:top="685"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HAWKINS CHEMICAL,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INCOME</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60" w:type="dxa"/>
            <w:vAlign w:val="bottom"/>
            <w:gridSpan w:val="3"/>
          </w:tcPr>
          <w:p>
            <w:pPr>
              <w:jc w:val="right"/>
              <w:ind w:right="69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6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DECEMBER 31</w:t>
            </w:r>
          </w:p>
        </w:tc>
        <w:tc>
          <w:tcPr>
            <w:tcW w:w="1080" w:type="dxa"/>
            <w:vAlign w:val="bottom"/>
          </w:tcPr>
          <w:p>
            <w:pPr>
              <w:spacing w:after="0"/>
              <w:rPr>
                <w:sz w:val="16"/>
                <w:szCs w:val="16"/>
                <w:color w:val="auto"/>
              </w:rPr>
            </w:pPr>
          </w:p>
        </w:tc>
      </w:tr>
      <w:tr>
        <w:trPr>
          <w:trHeight w:val="190"/>
        </w:trPr>
        <w:tc>
          <w:tcPr>
            <w:tcW w:w="6160" w:type="dxa"/>
            <w:vAlign w:val="bottom"/>
          </w:tcPr>
          <w:p>
            <w:pPr>
              <w:spacing w:after="0"/>
              <w:rPr>
                <w:sz w:val="16"/>
                <w:szCs w:val="16"/>
                <w:color w:val="auto"/>
              </w:rPr>
            </w:pPr>
          </w:p>
        </w:tc>
        <w:tc>
          <w:tcPr>
            <w:tcW w:w="4980" w:type="dxa"/>
            <w:vAlign w:val="bottom"/>
            <w:gridSpan w:val="4"/>
          </w:tcPr>
          <w:p>
            <w:pPr>
              <w:ind w:left="1720"/>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2000</w:t>
            </w:r>
          </w:p>
        </w:tc>
        <w:tc>
          <w:tcPr>
            <w:tcW w:w="54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1999</w:t>
            </w:r>
          </w:p>
        </w:tc>
      </w:tr>
      <w:tr>
        <w:trPr>
          <w:trHeight w:val="190"/>
        </w:trPr>
        <w:tc>
          <w:tcPr>
            <w:tcW w:w="6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7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(UNAUDITED)</w:t>
            </w:r>
          </w:p>
        </w:tc>
        <w:tc>
          <w:tcPr>
            <w:tcW w:w="1080" w:type="dxa"/>
            <w:vAlign w:val="bottom"/>
          </w:tcPr>
          <w:p>
            <w:pPr>
              <w:spacing w:after="0"/>
              <w:rPr>
                <w:sz w:val="16"/>
                <w:szCs w:val="16"/>
                <w:color w:val="auto"/>
              </w:rPr>
            </w:pP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120" w:type="dxa"/>
            <w:vAlign w:val="bottom"/>
          </w:tcPr>
          <w:p>
            <w:pPr>
              <w:ind w:left="17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24,024,827</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21,626,369</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18,949,791</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16,654,017</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5,075,036</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4,972,352</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3,121,868</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2,560,859</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1,953,168</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2,411,493</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INCOME (DEDUCTIONS):</w:t>
            </w: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Interest income</w:t>
            </w:r>
          </w:p>
        </w:tc>
        <w:tc>
          <w:tcPr>
            <w:tcW w:w="2120" w:type="dxa"/>
            <w:vAlign w:val="bottom"/>
          </w:tcPr>
          <w:p>
            <w:pPr>
              <w:spacing w:after="0"/>
              <w:rPr>
                <w:sz w:val="16"/>
                <w:szCs w:val="16"/>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255,968</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287,356</w:t>
            </w:r>
          </w:p>
        </w:tc>
      </w:tr>
      <w:tr>
        <w:trPr>
          <w:trHeight w:val="190"/>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Interest expense</w:t>
            </w:r>
          </w:p>
        </w:tc>
        <w:tc>
          <w:tcPr>
            <w:tcW w:w="2120" w:type="dxa"/>
            <w:vAlign w:val="bottom"/>
          </w:tcPr>
          <w:p>
            <w:pPr>
              <w:spacing w:after="0"/>
              <w:rPr>
                <w:sz w:val="16"/>
                <w:szCs w:val="16"/>
                <w:color w:val="auto"/>
              </w:rPr>
            </w:pPr>
          </w:p>
        </w:tc>
        <w:tc>
          <w:tcPr>
            <w:tcW w:w="12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(5,724)</w:t>
            </w:r>
          </w:p>
        </w:tc>
        <w:tc>
          <w:tcPr>
            <w:tcW w:w="5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(7,561)</w:t>
            </w:r>
          </w:p>
        </w:tc>
      </w:tr>
      <w:tr>
        <w:trPr>
          <w:trHeight w:val="190"/>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Miscellaneous</w:t>
            </w:r>
          </w:p>
        </w:tc>
        <w:tc>
          <w:tcPr>
            <w:tcW w:w="2120" w:type="dxa"/>
            <w:vAlign w:val="bottom"/>
          </w:tcPr>
          <w:p>
            <w:pPr>
              <w:spacing w:after="0"/>
              <w:rPr>
                <w:sz w:val="16"/>
                <w:szCs w:val="16"/>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966</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14,499</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TOTAL OTHER INCOME (DEDUCTIONS)</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251,210</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294,294</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INCOME BEFORE INCOME TAXES</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2,204,378</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2,705,787</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120" w:type="dxa"/>
            <w:vAlign w:val="bottom"/>
          </w:tcPr>
          <w:p>
            <w:pPr>
              <w:spacing w:after="0"/>
              <w:rPr>
                <w:sz w:val="24"/>
                <w:szCs w:val="24"/>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864,000</w:t>
            </w:r>
          </w:p>
        </w:tc>
        <w:tc>
          <w:tcPr>
            <w:tcW w:w="540" w:type="dxa"/>
            <w:vAlign w:val="bottom"/>
          </w:tcPr>
          <w:p>
            <w:pPr>
              <w:spacing w:after="0"/>
              <w:rPr>
                <w:sz w:val="24"/>
                <w:szCs w:val="24"/>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1,066,100</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120" w:type="dxa"/>
            <w:vAlign w:val="bottom"/>
          </w:tcPr>
          <w:p>
            <w:pPr>
              <w:ind w:left="17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1,340,378</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1,639,687</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616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2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6160" w:type="dxa"/>
            <w:vAlign w:val="bottom"/>
          </w:tcPr>
          <w:p>
            <w:pPr>
              <w:ind w:left="300"/>
              <w:spacing w:after="0"/>
              <w:rPr>
                <w:sz w:val="20"/>
                <w:szCs w:val="20"/>
                <w:color w:val="auto"/>
              </w:rPr>
            </w:pPr>
            <w:r>
              <w:rPr>
                <w:rFonts w:ascii="Courier New" w:cs="Courier New" w:eastAsia="Courier New" w:hAnsi="Courier New"/>
                <w:sz w:val="16"/>
                <w:szCs w:val="16"/>
                <w:color w:val="auto"/>
              </w:rPr>
              <w:t>SHARES OUTSTANDING</w:t>
            </w:r>
          </w:p>
        </w:tc>
        <w:tc>
          <w:tcPr>
            <w:tcW w:w="2120" w:type="dxa"/>
            <w:vAlign w:val="bottom"/>
          </w:tcPr>
          <w:p>
            <w:pPr>
              <w:spacing w:after="0"/>
              <w:rPr>
                <w:sz w:val="16"/>
                <w:szCs w:val="16"/>
                <w:color w:val="auto"/>
              </w:rPr>
            </w:pP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w w:val="99"/>
              </w:rPr>
              <w:t>10,408,095</w:t>
            </w:r>
          </w:p>
        </w:tc>
        <w:tc>
          <w:tcPr>
            <w:tcW w:w="540" w:type="dxa"/>
            <w:vAlign w:val="bottom"/>
          </w:tcPr>
          <w:p>
            <w:pPr>
              <w:spacing w:after="0"/>
              <w:rPr>
                <w:sz w:val="16"/>
                <w:szCs w:val="16"/>
                <w:color w:val="auto"/>
              </w:rPr>
            </w:pP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9"/>
              </w:rPr>
              <w:t>10,868,087</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379"/>
        </w:trPr>
        <w:tc>
          <w:tcPr>
            <w:tcW w:w="6160" w:type="dxa"/>
            <w:vAlign w:val="bottom"/>
          </w:tcPr>
          <w:p>
            <w:pPr>
              <w:spacing w:after="0"/>
              <w:rPr>
                <w:sz w:val="20"/>
                <w:szCs w:val="20"/>
                <w:color w:val="auto"/>
              </w:rPr>
            </w:pPr>
            <w:r>
              <w:rPr>
                <w:rFonts w:ascii="Courier New" w:cs="Courier New" w:eastAsia="Courier New" w:hAnsi="Courier New"/>
                <w:sz w:val="16"/>
                <w:szCs w:val="16"/>
                <w:color w:val="auto"/>
              </w:rPr>
              <w:t>EARNINGS PER COMMON SHARE - BASIC AND DILUTED</w:t>
            </w:r>
          </w:p>
        </w:tc>
        <w:tc>
          <w:tcPr>
            <w:tcW w:w="2120" w:type="dxa"/>
            <w:vAlign w:val="bottom"/>
          </w:tcPr>
          <w:p>
            <w:pPr>
              <w:ind w:left="17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0.13</w:t>
            </w:r>
          </w:p>
        </w:tc>
        <w:tc>
          <w:tcPr>
            <w:tcW w:w="5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0.15</w:t>
            </w:r>
          </w:p>
        </w:tc>
      </w:tr>
      <w:tr>
        <w:trPr>
          <w:trHeight w:val="190"/>
        </w:trPr>
        <w:tc>
          <w:tcPr>
            <w:tcW w:w="6160" w:type="dxa"/>
            <w:vAlign w:val="bottom"/>
          </w:tcPr>
          <w:p>
            <w:pPr>
              <w:spacing w:after="0"/>
              <w:rPr>
                <w:sz w:val="16"/>
                <w:szCs w:val="16"/>
                <w:color w:val="auto"/>
              </w:rPr>
            </w:pPr>
          </w:p>
        </w:tc>
        <w:tc>
          <w:tcPr>
            <w:tcW w:w="33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8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1140"/>
          </w:cols>
          <w:pgMar w:left="240" w:top="875" w:right="51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HAWKINS CHEMICAL,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STATEMENTS OF CASH FLOWS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960" w:type="dxa"/>
            <w:vAlign w:val="bottom"/>
            <w:gridSpan w:val="3"/>
          </w:tcPr>
          <w:p>
            <w:pPr>
              <w:jc w:val="right"/>
              <w:ind w:right="698"/>
              <w:spacing w:after="0"/>
              <w:rPr>
                <w:sz w:val="20"/>
                <w:szCs w:val="20"/>
                <w:color w:val="auto"/>
              </w:rPr>
            </w:pPr>
            <w:r>
              <w:rPr>
                <w:rFonts w:ascii="Courier New" w:cs="Courier New" w:eastAsia="Courier New" w:hAnsi="Courier New"/>
                <w:sz w:val="16"/>
                <w:szCs w:val="16"/>
                <w:color w:val="auto"/>
              </w:rPr>
              <w:t>THREE MONTHS ENDED</w:t>
            </w:r>
          </w:p>
        </w:tc>
      </w:tr>
      <w:tr>
        <w:trPr>
          <w:trHeight w:val="190"/>
        </w:trPr>
        <w:tc>
          <w:tcPr>
            <w:tcW w:w="6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960" w:type="dxa"/>
            <w:vAlign w:val="bottom"/>
            <w:gridSpan w:val="3"/>
          </w:tcPr>
          <w:p>
            <w:pPr>
              <w:jc w:val="center"/>
              <w:ind w:right="198"/>
              <w:spacing w:after="0"/>
              <w:rPr>
                <w:sz w:val="20"/>
                <w:szCs w:val="20"/>
                <w:color w:val="auto"/>
              </w:rPr>
            </w:pPr>
            <w:r>
              <w:rPr>
                <w:rFonts w:ascii="Courier New" w:cs="Courier New" w:eastAsia="Courier New" w:hAnsi="Courier New"/>
                <w:sz w:val="16"/>
                <w:szCs w:val="16"/>
                <w:color w:val="auto"/>
              </w:rPr>
              <w:t>DECEMBER 31</w:t>
            </w:r>
          </w:p>
        </w:tc>
      </w:tr>
      <w:tr>
        <w:trPr>
          <w:trHeight w:val="190"/>
        </w:trPr>
        <w:tc>
          <w:tcPr>
            <w:tcW w:w="6560" w:type="dxa"/>
            <w:vAlign w:val="bottom"/>
          </w:tcPr>
          <w:p>
            <w:pPr>
              <w:spacing w:after="0"/>
              <w:rPr>
                <w:sz w:val="16"/>
                <w:szCs w:val="16"/>
                <w:color w:val="auto"/>
              </w:rPr>
            </w:pPr>
          </w:p>
        </w:tc>
        <w:tc>
          <w:tcPr>
            <w:tcW w:w="4680" w:type="dxa"/>
            <w:vAlign w:val="bottom"/>
            <w:gridSpan w:val="4"/>
          </w:tcPr>
          <w:p>
            <w:pPr>
              <w:jc w:val="center"/>
              <w:ind w:left="1338"/>
              <w:spacing w:after="0"/>
              <w:rPr>
                <w:sz w:val="20"/>
                <w:szCs w:val="20"/>
                <w:color w:val="auto"/>
              </w:rPr>
            </w:pPr>
            <w:r>
              <w:rPr>
                <w:rFonts w:ascii="Courier New" w:cs="Courier New" w:eastAsia="Courier New" w:hAnsi="Courier New"/>
                <w:sz w:val="16"/>
                <w:szCs w:val="16"/>
                <w:color w:val="auto"/>
              </w:rPr>
              <w:t>---------------------------------</w:t>
            </w:r>
          </w:p>
        </w:tc>
      </w:tr>
      <w:tr>
        <w:trPr>
          <w:trHeight w:val="190"/>
        </w:trPr>
        <w:tc>
          <w:tcPr>
            <w:tcW w:w="6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2000</w:t>
            </w:r>
          </w:p>
        </w:tc>
        <w:tc>
          <w:tcPr>
            <w:tcW w:w="340" w:type="dxa"/>
            <w:vAlign w:val="bottom"/>
          </w:tcPr>
          <w:p>
            <w:pPr>
              <w:spacing w:after="0"/>
              <w:rPr>
                <w:sz w:val="16"/>
                <w:szCs w:val="16"/>
                <w:color w:val="auto"/>
              </w:rPr>
            </w:pPr>
          </w:p>
        </w:tc>
        <w:tc>
          <w:tcPr>
            <w:tcW w:w="12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1999</w:t>
            </w:r>
          </w:p>
        </w:tc>
      </w:tr>
      <w:tr>
        <w:trPr>
          <w:trHeight w:val="190"/>
        </w:trPr>
        <w:tc>
          <w:tcPr>
            <w:tcW w:w="6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960" w:type="dxa"/>
            <w:vAlign w:val="bottom"/>
            <w:gridSpan w:val="3"/>
          </w:tcPr>
          <w:p>
            <w:pPr>
              <w:jc w:val="center"/>
              <w:ind w:right="198"/>
              <w:spacing w:after="0"/>
              <w:rPr>
                <w:sz w:val="20"/>
                <w:szCs w:val="20"/>
                <w:color w:val="auto"/>
              </w:rPr>
            </w:pPr>
            <w:r>
              <w:rPr>
                <w:rFonts w:ascii="Courier New" w:cs="Courier New" w:eastAsia="Courier New" w:hAnsi="Courier New"/>
                <w:sz w:val="16"/>
                <w:szCs w:val="16"/>
                <w:color w:val="auto"/>
              </w:rPr>
              <w:t>(UNAUDITED)</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1,340,378</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1,639,687</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w:t>
            </w:r>
          </w:p>
        </w:tc>
        <w:tc>
          <w:tcPr>
            <w:tcW w:w="172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588,893</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510,774</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172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35,000</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27,500</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(25,824)</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(26,024)</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Changes in certain current assets and liabilities</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(127,006)</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1,324,901</w:t>
            </w:r>
          </w:p>
        </w:tc>
      </w:tr>
      <w:tr>
        <w:trPr>
          <w:trHeight w:val="190"/>
        </w:trPr>
        <w:tc>
          <w:tcPr>
            <w:tcW w:w="6560" w:type="dxa"/>
            <w:vAlign w:val="bottom"/>
          </w:tcPr>
          <w:p>
            <w:pPr>
              <w:spacing w:after="0"/>
              <w:rPr>
                <w:sz w:val="16"/>
                <w:szCs w:val="16"/>
                <w:color w:val="auto"/>
              </w:rPr>
            </w:pPr>
          </w:p>
        </w:tc>
        <w:tc>
          <w:tcPr>
            <w:tcW w:w="3060" w:type="dxa"/>
            <w:vAlign w:val="bottom"/>
            <w:gridSpan w:val="2"/>
          </w:tcPr>
          <w:p>
            <w:pPr>
              <w:ind w:left="15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560" w:type="dxa"/>
            <w:vAlign w:val="bottom"/>
          </w:tcPr>
          <w:p>
            <w:pPr>
              <w:ind w:left="50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72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1,811,441</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3,476,838</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(2,011,065)</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(2,392,445)</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Purchases of investments</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(144,363)</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(169,787)</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Sale of investments</w:t>
            </w: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500,000</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Payments received on notes receivable</w:t>
            </w:r>
          </w:p>
        </w:tc>
        <w:tc>
          <w:tcPr>
            <w:tcW w:w="1720" w:type="dxa"/>
            <w:vAlign w:val="bottom"/>
          </w:tcPr>
          <w:p>
            <w:pPr>
              <w:spacing w:after="0"/>
              <w:rPr>
                <w:sz w:val="16"/>
                <w:szCs w:val="16"/>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74,954</w:t>
            </w:r>
          </w:p>
        </w:tc>
        <w:tc>
          <w:tcPr>
            <w:tcW w:w="34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73,202</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560" w:type="dxa"/>
            <w:vAlign w:val="bottom"/>
          </w:tcPr>
          <w:p>
            <w:pPr>
              <w:ind w:left="500"/>
              <w:spacing w:after="0"/>
              <w:rPr>
                <w:sz w:val="20"/>
                <w:szCs w:val="20"/>
                <w:color w:val="auto"/>
              </w:rPr>
            </w:pPr>
            <w:r>
              <w:rPr>
                <w:rFonts w:ascii="Courier New" w:cs="Courier New" w:eastAsia="Courier New" w:hAnsi="Courier New"/>
                <w:sz w:val="16"/>
                <w:szCs w:val="16"/>
                <w:color w:val="auto"/>
              </w:rPr>
              <w:t>Net cash used in investing activities</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(2,080,474)</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(1,989,030)</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Cash dividends paid</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(1,566,036)</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(1,314,154)</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Acquisition and retirement of stock</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(248,651)</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(1,085,189)</w:t>
            </w:r>
          </w:p>
        </w:tc>
      </w:tr>
      <w:tr>
        <w:trPr>
          <w:trHeight w:val="190"/>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Debt repayment</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(102,037)</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(95,362)</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6560" w:type="dxa"/>
            <w:vAlign w:val="bottom"/>
          </w:tcPr>
          <w:p>
            <w:pPr>
              <w:ind w:left="500"/>
              <w:spacing w:after="0"/>
              <w:rPr>
                <w:sz w:val="20"/>
                <w:szCs w:val="20"/>
                <w:color w:val="auto"/>
              </w:rPr>
            </w:pPr>
            <w:r>
              <w:rPr>
                <w:rFonts w:ascii="Courier New" w:cs="Courier New" w:eastAsia="Courier New" w:hAnsi="Courier New"/>
                <w:sz w:val="16"/>
                <w:szCs w:val="16"/>
                <w:color w:val="auto"/>
              </w:rPr>
              <w:t>Net cash used in financing activities</w:t>
            </w:r>
          </w:p>
        </w:tc>
        <w:tc>
          <w:tcPr>
            <w:tcW w:w="1720" w:type="dxa"/>
            <w:vAlign w:val="bottom"/>
          </w:tcPr>
          <w:p>
            <w:pPr>
              <w:spacing w:after="0"/>
              <w:rPr>
                <w:sz w:val="16"/>
                <w:szCs w:val="16"/>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(1,916,724)</w:t>
            </w:r>
          </w:p>
        </w:tc>
        <w:tc>
          <w:tcPr>
            <w:tcW w:w="340" w:type="dxa"/>
            <w:vAlign w:val="bottom"/>
          </w:tcPr>
          <w:p>
            <w:pPr>
              <w:spacing w:after="0"/>
              <w:rPr>
                <w:sz w:val="16"/>
                <w:szCs w:val="16"/>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(2,494,705)</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DECREASE IN CASH AND CASH EQUIVALENTS</w:t>
            </w:r>
          </w:p>
        </w:tc>
        <w:tc>
          <w:tcPr>
            <w:tcW w:w="1720" w:type="dxa"/>
            <w:vAlign w:val="bottom"/>
          </w:tcPr>
          <w:p>
            <w:pPr>
              <w:spacing w:after="0"/>
              <w:rPr>
                <w:sz w:val="24"/>
                <w:szCs w:val="24"/>
                <w:color w:val="auto"/>
              </w:rPr>
            </w:pPr>
          </w:p>
        </w:tc>
        <w:tc>
          <w:tcPr>
            <w:tcW w:w="13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(2,185,757)</w:t>
            </w:r>
          </w:p>
        </w:tc>
        <w:tc>
          <w:tcPr>
            <w:tcW w:w="340" w:type="dxa"/>
            <w:vAlign w:val="bottom"/>
          </w:tcPr>
          <w:p>
            <w:pPr>
              <w:spacing w:after="0"/>
              <w:rPr>
                <w:sz w:val="24"/>
                <w:szCs w:val="24"/>
                <w:color w:val="auto"/>
              </w:rPr>
            </w:pPr>
          </w:p>
        </w:tc>
        <w:tc>
          <w:tcPr>
            <w:tcW w:w="12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(1,006,897)</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1720" w:type="dxa"/>
            <w:vAlign w:val="bottom"/>
          </w:tcPr>
          <w:p>
            <w:pPr>
              <w:spacing w:after="0"/>
              <w:rPr>
                <w:sz w:val="24"/>
                <w:szCs w:val="24"/>
                <w:color w:val="auto"/>
              </w:rPr>
            </w:pP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2,185,757</w:t>
            </w:r>
          </w:p>
        </w:tc>
        <w:tc>
          <w:tcPr>
            <w:tcW w:w="340" w:type="dxa"/>
            <w:vAlign w:val="bottom"/>
          </w:tcPr>
          <w:p>
            <w:pPr>
              <w:spacing w:after="0"/>
              <w:rPr>
                <w:sz w:val="24"/>
                <w:szCs w:val="24"/>
                <w:color w:val="auto"/>
              </w:rPr>
            </w:pP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4,778,174</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3,771,277</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656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w:t>
            </w: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6560" w:type="dxa"/>
            <w:vAlign w:val="bottom"/>
          </w:tcPr>
          <w:p>
            <w:pPr>
              <w:ind w:left="500"/>
              <w:spacing w:after="0"/>
              <w:rPr>
                <w:sz w:val="20"/>
                <w:szCs w:val="20"/>
                <w:color w:val="auto"/>
              </w:rPr>
            </w:pPr>
            <w:r>
              <w:rPr>
                <w:rFonts w:ascii="Courier New" w:cs="Courier New" w:eastAsia="Courier New" w:hAnsi="Courier New"/>
                <w:sz w:val="16"/>
                <w:szCs w:val="16"/>
                <w:color w:val="auto"/>
              </w:rPr>
              <w:t>INFORMATION:</w:t>
            </w:r>
          </w:p>
        </w:tc>
        <w:tc>
          <w:tcPr>
            <w:tcW w:w="1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9"/>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Cash paid for interest</w:t>
            </w: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24,729</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32,541</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379"/>
        </w:trPr>
        <w:tc>
          <w:tcPr>
            <w:tcW w:w="6560" w:type="dxa"/>
            <w:vAlign w:val="bottom"/>
          </w:tcPr>
          <w:p>
            <w:pPr>
              <w:ind w:left="300"/>
              <w:spacing w:after="0"/>
              <w:rPr>
                <w:sz w:val="20"/>
                <w:szCs w:val="20"/>
                <w:color w:val="auto"/>
              </w:rPr>
            </w:pPr>
            <w:r>
              <w:rPr>
                <w:rFonts w:ascii="Courier New" w:cs="Courier New" w:eastAsia="Courier New" w:hAnsi="Courier New"/>
                <w:sz w:val="16"/>
                <w:szCs w:val="16"/>
                <w:color w:val="auto"/>
              </w:rPr>
              <w:t>Cash paid for income taxes</w:t>
            </w:r>
          </w:p>
        </w:tc>
        <w:tc>
          <w:tcPr>
            <w:tcW w:w="172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110,000</w:t>
            </w:r>
          </w:p>
        </w:tc>
        <w:tc>
          <w:tcPr>
            <w:tcW w:w="3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322,233</w:t>
            </w:r>
          </w:p>
        </w:tc>
      </w:tr>
      <w:tr>
        <w:trPr>
          <w:trHeight w:val="190"/>
        </w:trPr>
        <w:tc>
          <w:tcPr>
            <w:tcW w:w="6560" w:type="dxa"/>
            <w:vAlign w:val="bottom"/>
          </w:tcPr>
          <w:p>
            <w:pPr>
              <w:spacing w:after="0"/>
              <w:rPr>
                <w:sz w:val="16"/>
                <w:szCs w:val="16"/>
                <w:color w:val="auto"/>
              </w:rPr>
            </w:pPr>
          </w:p>
        </w:tc>
        <w:tc>
          <w:tcPr>
            <w:tcW w:w="3060" w:type="dxa"/>
            <w:vAlign w:val="bottom"/>
            <w:gridSpan w:val="2"/>
          </w:tcPr>
          <w:p>
            <w:pPr>
              <w:jc w:val="right"/>
              <w:ind w:right="178"/>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 to condensed financial statements.</w:t>
      </w:r>
    </w:p>
    <w:p>
      <w:pPr>
        <w:spacing w:after="0" w:line="388"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1240"/>
          </w:cols>
          <w:pgMar w:left="240" w:top="875" w:right="4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HAWKINS CHEMICAL,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198" w:lineRule="exact"/>
        <w:rPr>
          <w:sz w:val="20"/>
          <w:szCs w:val="20"/>
          <w:color w:val="auto"/>
        </w:rPr>
      </w:pPr>
    </w:p>
    <w:p>
      <w:pPr>
        <w:ind w:left="780" w:right="2339" w:hanging="779"/>
        <w:spacing w:after="0" w:line="251"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2000, previously filed with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Courier New" w:cs="Courier New" w:eastAsia="Courier New" w:hAnsi="Courier New"/>
          <w:sz w:val="16"/>
          <w:szCs w:val="16"/>
          <w:color w:val="auto"/>
        </w:rPr>
      </w:pPr>
    </w:p>
    <w:p>
      <w:pPr>
        <w:ind w:left="780" w:right="243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accounting policies followed by the Company are set forth in Note 1 to the Company's financial statements in the Company's Annual Report on Form 10-K for the year ended October 1, 2000 filed with the Commission on December 27, 2000.</w:t>
      </w:r>
    </w:p>
    <w:p>
      <w:pPr>
        <w:spacing w:after="0" w:line="186" w:lineRule="exact"/>
        <w:rPr>
          <w:rFonts w:ascii="Courier New" w:cs="Courier New" w:eastAsia="Courier New" w:hAnsi="Courier New"/>
          <w:sz w:val="16"/>
          <w:szCs w:val="16"/>
          <w:color w:val="auto"/>
        </w:rPr>
      </w:pPr>
    </w:p>
    <w:p>
      <w:pPr>
        <w:ind w:left="780" w:right="2339" w:hanging="779"/>
        <w:spacing w:after="0" w:line="253"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December 31, 2000 are not necessarily indicative of the results that may be expected for the full year.</w:t>
      </w:r>
    </w:p>
    <w:p>
      <w:pPr>
        <w:spacing w:after="0" w:line="185" w:lineRule="exact"/>
        <w:rPr>
          <w:rFonts w:ascii="Courier New" w:cs="Courier New" w:eastAsia="Courier New" w:hAnsi="Courier New"/>
          <w:sz w:val="16"/>
          <w:szCs w:val="16"/>
          <w:color w:val="auto"/>
        </w:rPr>
      </w:pPr>
    </w:p>
    <w:p>
      <w:pPr>
        <w:ind w:left="780" w:right="2339" w:hanging="779"/>
        <w:spacing w:after="0" w:line="252"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$1,176,000 at December 31, 2000. Inventory consists principally of finished goods. Inventory quantities fluctuate during the year. No material amounts of interim liquidation of inventory quantities have occurred that are not expected to be replaced by year-end.</w:t>
      </w:r>
    </w:p>
    <w:p>
      <w:pPr>
        <w:spacing w:after="0" w:line="375" w:lineRule="exact"/>
        <w:rPr>
          <w:rFonts w:ascii="Courier New" w:cs="Courier New" w:eastAsia="Courier New" w:hAnsi="Courier New"/>
          <w:sz w:val="16"/>
          <w:szCs w:val="16"/>
          <w:color w:val="auto"/>
        </w:rPr>
      </w:pPr>
    </w:p>
    <w:p>
      <w:pPr>
        <w:ind w:left="780" w:right="2819" w:hanging="779"/>
        <w:spacing w:after="0" w:line="255"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dividends in the amount of $1,566,036 were paid on October 13, 2000.</w:t>
      </w:r>
    </w:p>
    <w:p>
      <w:pPr>
        <w:spacing w:after="0" w:line="183" w:lineRule="exact"/>
        <w:rPr>
          <w:rFonts w:ascii="Courier New" w:cs="Courier New" w:eastAsia="Courier New" w:hAnsi="Courier New"/>
          <w:sz w:val="16"/>
          <w:szCs w:val="16"/>
          <w:color w:val="auto"/>
        </w:rPr>
      </w:pPr>
    </w:p>
    <w:p>
      <w:pPr>
        <w:ind w:left="780" w:right="2719" w:hanging="779"/>
        <w:spacing w:after="0" w:line="255"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quarter ended December 31, 2000, the Company acquired and retired 30,300 shares of common stock for $248,651.</w:t>
      </w:r>
    </w:p>
    <w:p>
      <w:pPr>
        <w:spacing w:after="0" w:line="183" w:lineRule="exact"/>
        <w:rPr>
          <w:rFonts w:ascii="Courier New" w:cs="Courier New" w:eastAsia="Courier New" w:hAnsi="Courier New"/>
          <w:sz w:val="16"/>
          <w:szCs w:val="16"/>
          <w:color w:val="auto"/>
        </w:rPr>
      </w:pPr>
    </w:p>
    <w:p>
      <w:pPr>
        <w:ind w:left="780" w:right="2439" w:hanging="779"/>
        <w:spacing w:after="0" w:line="251" w:lineRule="auto"/>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 133 for one year to fiscal years beginning after June 15, 2000, with earlier adoption encouraged. This statement, adopted by the Company for the fiscal year beginning October 2, 2000, did not have a material impact on the Company's financial statements.</w:t>
      </w:r>
    </w:p>
    <w:p>
      <w:pPr>
        <w:spacing w:after="0" w:line="189" w:lineRule="exact"/>
        <w:rPr>
          <w:rFonts w:ascii="Courier New" w:cs="Courier New" w:eastAsia="Courier New" w:hAnsi="Courier New"/>
          <w:sz w:val="16"/>
          <w:szCs w:val="16"/>
          <w:color w:val="auto"/>
        </w:rPr>
      </w:pPr>
    </w:p>
    <w:p>
      <w:pPr>
        <w:ind w:left="780" w:right="233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December 1999, the Securities and Exchange Commission released Staff Accounting Bulletin No. 101 that provides the staff's views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379"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685" w:right="1440" w:bottom="1440" w:gutter="0" w:footer="0" w:header="0"/>
        </w:sectPr>
      </w:pPr>
    </w:p>
    <w:bookmarkStart w:id="6" w:name="page7"/>
    <w:bookmarkEnd w:id="6"/>
    <w:p>
      <w:pPr>
        <w:ind w:left="779" w:right="2339" w:hanging="779"/>
        <w:spacing w:after="0" w:line="252" w:lineRule="auto"/>
        <w:tabs>
          <w:tab w:leader="none" w:pos="7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two reportable segments: Industrial and Water Treatment. Reportable segments are defined by product and type of customer. Segments are responsible for the sales, marketing and development of their products and services. The segments do not have separate accounting, administration, customer service or purchasing options.</w:t>
      </w:r>
    </w:p>
    <w:p>
      <w:pPr>
        <w:spacing w:after="0" w:line="200" w:lineRule="exact"/>
        <w:rPr>
          <w:sz w:val="20"/>
          <w:szCs w:val="20"/>
          <w:color w:val="auto"/>
        </w:rPr>
      </w:pPr>
    </w:p>
    <w:p>
      <w:pPr>
        <w:spacing w:after="0" w:line="365" w:lineRule="exact"/>
        <w:rPr>
          <w:sz w:val="20"/>
          <w:szCs w:val="20"/>
          <w:color w:val="auto"/>
        </w:rPr>
      </w:pPr>
    </w:p>
    <w:tbl>
      <w:tblPr>
        <w:tblLayout w:type="fixed"/>
        <w:tblInd w:w="779" w:type="dxa"/>
        <w:tblCellMar>
          <w:top w:w="0" w:type="dxa"/>
          <w:left w:w="0" w:type="dxa"/>
          <w:bottom w:w="0" w:type="dxa"/>
          <w:right w:w="0" w:type="dxa"/>
        </w:tblCellMar>
      </w:tblPr>
      <w:tr>
        <w:trPr>
          <w:trHeight w:val="185"/>
        </w:trPr>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WATER</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0"/>
        </w:trPr>
        <w:tc>
          <w:tcPr>
            <w:tcW w:w="4000" w:type="dxa"/>
            <w:vAlign w:val="bottom"/>
            <w:gridSpan w:val="2"/>
          </w:tcPr>
          <w:p>
            <w:pPr>
              <w:spacing w:after="0"/>
              <w:rPr>
                <w:sz w:val="20"/>
                <w:szCs w:val="20"/>
                <w:color w:val="auto"/>
              </w:rPr>
            </w:pPr>
            <w:r>
              <w:rPr>
                <w:rFonts w:ascii="Courier New" w:cs="Courier New" w:eastAsia="Courier New" w:hAnsi="Courier New"/>
                <w:sz w:val="16"/>
                <w:szCs w:val="16"/>
                <w:color w:val="auto"/>
              </w:rPr>
              <w:t>REPORTABLE SEGMENTS</w:t>
            </w:r>
          </w:p>
        </w:tc>
        <w:tc>
          <w:tcPr>
            <w:tcW w:w="1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INDUSTRIAL</w:t>
            </w:r>
          </w:p>
        </w:tc>
        <w:tc>
          <w:tcPr>
            <w:tcW w:w="340" w:type="dxa"/>
            <w:vAlign w:val="bottom"/>
          </w:tcPr>
          <w:p>
            <w:pPr>
              <w:spacing w:after="0"/>
              <w:rPr>
                <w:sz w:val="16"/>
                <w:szCs w:val="16"/>
                <w:color w:val="auto"/>
              </w:rPr>
            </w:pPr>
          </w:p>
        </w:tc>
        <w:tc>
          <w:tcPr>
            <w:tcW w:w="11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9"/>
              </w:rPr>
              <w:t>TREATMENT</w:t>
            </w:r>
          </w:p>
        </w:tc>
        <w:tc>
          <w:tcPr>
            <w:tcW w:w="340" w:type="dxa"/>
            <w:vAlign w:val="bottom"/>
          </w:tcPr>
          <w:p>
            <w:pPr>
              <w:spacing w:after="0"/>
              <w:rPr>
                <w:sz w:val="16"/>
                <w:szCs w:val="16"/>
                <w:color w:val="auto"/>
              </w:rPr>
            </w:pPr>
          </w:p>
        </w:tc>
        <w:tc>
          <w:tcPr>
            <w:tcW w:w="10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TOTAL</w:t>
            </w:r>
          </w:p>
        </w:tc>
      </w:tr>
      <w:tr>
        <w:trPr>
          <w:trHeight w:val="569"/>
        </w:trPr>
        <w:tc>
          <w:tcPr>
            <w:tcW w:w="560" w:type="dxa"/>
            <w:vAlign w:val="bottom"/>
          </w:tcPr>
          <w:p>
            <w:pPr>
              <w:spacing w:after="0"/>
              <w:rPr>
                <w:sz w:val="20"/>
                <w:szCs w:val="20"/>
                <w:color w:val="auto"/>
              </w:rPr>
            </w:pPr>
            <w:r>
              <w:rPr>
                <w:rFonts w:ascii="Courier New" w:cs="Courier New" w:eastAsia="Courier New" w:hAnsi="Courier New"/>
                <w:sz w:val="16"/>
                <w:szCs w:val="16"/>
                <w:color w:val="auto"/>
              </w:rPr>
              <w:t>THREE</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MONTHS ENDED DECEMBER 31, 2000</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560" w:type="dxa"/>
            <w:vAlign w:val="bottom"/>
          </w:tcPr>
          <w:p>
            <w:pPr>
              <w:ind w:left="200"/>
              <w:spacing w:after="0"/>
              <w:rPr>
                <w:sz w:val="20"/>
                <w:szCs w:val="20"/>
                <w:color w:val="auto"/>
              </w:rPr>
            </w:pPr>
            <w:r>
              <w:rPr>
                <w:rFonts w:ascii="Courier New" w:cs="Courier New" w:eastAsia="Courier New" w:hAnsi="Courier New"/>
                <w:sz w:val="16"/>
                <w:szCs w:val="16"/>
                <w:color w:val="auto"/>
              </w:rPr>
              <w:t>Net</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$ 17,562,683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6,462,144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24,024,827</w:t>
            </w:r>
          </w:p>
        </w:tc>
      </w:tr>
      <w:tr>
        <w:trPr>
          <w:trHeight w:val="190"/>
        </w:trPr>
        <w:tc>
          <w:tcPr>
            <w:tcW w:w="4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Gross profit</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3,087,399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1,987,637</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5,075,036</w:t>
            </w:r>
          </w:p>
        </w:tc>
      </w:tr>
      <w:tr>
        <w:trPr>
          <w:trHeight w:val="190"/>
        </w:trPr>
        <w:tc>
          <w:tcPr>
            <w:tcW w:w="4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 income</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825,159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1,128,009</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1,953,168</w:t>
            </w:r>
          </w:p>
        </w:tc>
      </w:tr>
      <w:tr>
        <w:trPr>
          <w:trHeight w:val="379"/>
        </w:trPr>
        <w:tc>
          <w:tcPr>
            <w:tcW w:w="560" w:type="dxa"/>
            <w:vAlign w:val="bottom"/>
          </w:tcPr>
          <w:p>
            <w:pPr>
              <w:spacing w:after="0"/>
              <w:rPr>
                <w:sz w:val="20"/>
                <w:szCs w:val="20"/>
                <w:color w:val="auto"/>
              </w:rPr>
            </w:pPr>
            <w:r>
              <w:rPr>
                <w:rFonts w:ascii="Courier New" w:cs="Courier New" w:eastAsia="Courier New" w:hAnsi="Courier New"/>
                <w:sz w:val="16"/>
                <w:szCs w:val="16"/>
                <w:color w:val="auto"/>
              </w:rPr>
              <w:t>THREE</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MONTHS ENDED DECEMBER 31, 1999</w:t>
            </w: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0"/>
        </w:trPr>
        <w:tc>
          <w:tcPr>
            <w:tcW w:w="560" w:type="dxa"/>
            <w:vAlign w:val="bottom"/>
          </w:tcPr>
          <w:p>
            <w:pPr>
              <w:ind w:left="200"/>
              <w:spacing w:after="0"/>
              <w:rPr>
                <w:sz w:val="20"/>
                <w:szCs w:val="20"/>
                <w:color w:val="auto"/>
              </w:rPr>
            </w:pPr>
            <w:r>
              <w:rPr>
                <w:rFonts w:ascii="Courier New" w:cs="Courier New" w:eastAsia="Courier New" w:hAnsi="Courier New"/>
                <w:sz w:val="16"/>
                <w:szCs w:val="16"/>
                <w:color w:val="auto"/>
              </w:rPr>
              <w:t>Net</w:t>
            </w:r>
          </w:p>
        </w:tc>
        <w:tc>
          <w:tcPr>
            <w:tcW w:w="3440" w:type="dxa"/>
            <w:vAlign w:val="bottom"/>
          </w:tcPr>
          <w:p>
            <w:pPr>
              <w:ind w:left="40"/>
              <w:spacing w:after="0"/>
              <w:rPr>
                <w:sz w:val="20"/>
                <w:szCs w:val="20"/>
                <w:color w:val="auto"/>
              </w:rPr>
            </w:pPr>
            <w:r>
              <w:rPr>
                <w:rFonts w:ascii="Courier New" w:cs="Courier New" w:eastAsia="Courier New" w:hAnsi="Courier New"/>
                <w:sz w:val="16"/>
                <w:szCs w:val="16"/>
                <w:color w:val="auto"/>
              </w:rPr>
              <w:t>sales</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$ 15,231,831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6,394,538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21,626,369</w:t>
            </w:r>
          </w:p>
        </w:tc>
      </w:tr>
      <w:tr>
        <w:trPr>
          <w:trHeight w:val="190"/>
        </w:trPr>
        <w:tc>
          <w:tcPr>
            <w:tcW w:w="4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Gross profit</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2,987,029</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1,985,323</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4,972,352</w:t>
            </w:r>
          </w:p>
        </w:tc>
      </w:tr>
      <w:tr>
        <w:trPr>
          <w:trHeight w:val="190"/>
        </w:trPr>
        <w:tc>
          <w:tcPr>
            <w:tcW w:w="40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Operating income</w:t>
            </w:r>
          </w:p>
        </w:tc>
        <w:tc>
          <w:tcPr>
            <w:tcW w:w="1880" w:type="dxa"/>
            <w:vAlign w:val="bottom"/>
          </w:tcPr>
          <w:p>
            <w:pPr>
              <w:jc w:val="right"/>
              <w:ind w:right="178"/>
              <w:spacing w:after="0"/>
              <w:rPr>
                <w:sz w:val="20"/>
                <w:szCs w:val="20"/>
                <w:color w:val="auto"/>
              </w:rPr>
            </w:pPr>
            <w:r>
              <w:rPr>
                <w:rFonts w:ascii="Courier New" w:cs="Courier New" w:eastAsia="Courier New" w:hAnsi="Courier New"/>
                <w:sz w:val="16"/>
                <w:szCs w:val="16"/>
                <w:color w:val="auto"/>
              </w:rPr>
              <w:t>1,267,412</w:t>
            </w:r>
          </w:p>
        </w:tc>
        <w:tc>
          <w:tcPr>
            <w:tcW w:w="34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1,144,081</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2,411,493</w:t>
            </w:r>
          </w:p>
        </w:tc>
      </w:tr>
    </w:tbl>
    <w:p>
      <w:pPr>
        <w:spacing w:after="0" w:line="200" w:lineRule="exact"/>
        <w:rPr>
          <w:sz w:val="20"/>
          <w:szCs w:val="20"/>
          <w:color w:val="auto"/>
        </w:rPr>
      </w:pPr>
    </w:p>
    <w:p>
      <w:pPr>
        <w:spacing w:after="0" w:line="373" w:lineRule="exact"/>
        <w:rPr>
          <w:sz w:val="20"/>
          <w:szCs w:val="20"/>
          <w:color w:val="auto"/>
        </w:rPr>
      </w:pPr>
    </w:p>
    <w:p>
      <w:pPr>
        <w:ind w:left="7199"/>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18"/>
          </w:cols>
          <w:pgMar w:left="241" w:top="875" w:right="1440" w:bottom="1440" w:gutter="0" w:footer="0" w:header="0"/>
        </w:sectPr>
      </w:pPr>
    </w:p>
    <w:bookmarkStart w:id="7" w:name="page8"/>
    <w:bookmarkEnd w:id="7"/>
    <w:p>
      <w:pPr>
        <w:ind w:left="880" w:right="311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INFORMATION CONTAINED IN THIS FORM 10-Q INCLUDES FORWARD-LOOKING STATEMENTS AS DEFINED IN SECTION 21E OF THE SECURITIES EXCHANGE ACT OF 1934, AS AMENDED. FORWARD-LOOKING INFORMATION OR STATEMENTS INCLUDE STATEMENTS ABOUT THE FUTURE OF THE INDUSTRIES REPRESENTED BY OUR OPERATING GROUPS, STATEMENTS ABOUT OUR FUTURE BUSINESS PLANS AND STRATEGIES, THE TIMELINESS OF PRODUCT INTRODUCTIONS AND DELIVERIES, EXPECTATIONS ABOUT INDUSTRY AND MARKET GROWTH DEVELOPMENTS, EXPECTATIONS ABOUT OUR GROWTH AND PROFITABILITY AND OTHER STATEMENTS THAT ARE NOT HISTORICAL IN NATURE. MANY OF THESE STATEMENTS CONTAIN WORDS SUCH AS "MAY", "WILL", "BELIEVE", "INTEND", "ESTIMATE", OR "CONTINUE" OR OTHER SIMILAR WORDS.</w:t>
      </w:r>
    </w:p>
    <w:p>
      <w:pPr>
        <w:spacing w:after="0" w:line="190" w:lineRule="exact"/>
        <w:rPr>
          <w:sz w:val="20"/>
          <w:szCs w:val="20"/>
          <w:color w:val="auto"/>
        </w:rPr>
      </w:pPr>
    </w:p>
    <w:p>
      <w:pPr>
        <w:ind w:right="2439"/>
        <w:spacing w:after="0" w:line="251" w:lineRule="auto"/>
        <w:rPr>
          <w:sz w:val="20"/>
          <w:szCs w:val="20"/>
          <w:color w:val="auto"/>
        </w:rPr>
      </w:pPr>
      <w:r>
        <w:rPr>
          <w:rFonts w:ascii="Courier New" w:cs="Courier New" w:eastAsia="Courier New" w:hAnsi="Courier New"/>
          <w:sz w:val="16"/>
          <w:szCs w:val="16"/>
          <w:color w:val="auto"/>
        </w:rPr>
        <w:t>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AND CASH FLOWS.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sales increased $2,398,458, or 11.1%, in the first quarter of this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as compared to the same quarter a year ago, due to an increase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$2,330,852 in Industrial segment sales and an increase of $67,606 in Water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Treatment segment sales. The Industrial segment increase is mainly attributable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selling price increases of a single, large-volume product (caustic soda),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volumes in several other product lines.</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The gross margin, as a percentage of net sales, for the first quarter of fiscal 2001 was 21.1% compared to 23.0% for the same quarter one year ago. For the Industrial segment, gross margin, as a percentage of sales, was 17.6% for the first quarter of fiscal 2001 and 19.6% for the first quarter of fiscal 2000. This decrease is mainly due to higher caustic soda costs, which have increased substantially since October 1, 2000. Due to the large quantities of caustic soda that we had on hand at the beginning of this fiscal year and because we are on the LIFO method of valuing inventories, this increase negatively impacted gross margins in the first quarter of fiscal 2001. The Company was able to implement some caustic soda price increases during the quarter; however, market pressures prevented the Company from recovering all of the increased caustic soda costs. The demand for this product does not fluctuate materially as the cost and selling price increases or decreases. Gross margin, as a percentage of sales, for the Water Treatment</w:t>
      </w:r>
    </w:p>
    <w:p>
      <w:pPr>
        <w:spacing w:after="0" w:line="380" w:lineRule="exact"/>
        <w:rPr>
          <w:sz w:val="20"/>
          <w:szCs w:val="20"/>
          <w:color w:val="auto"/>
        </w:rPr>
      </w:pPr>
    </w:p>
    <w:p>
      <w:pPr>
        <w:ind w:left="7200"/>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19"/>
          </w:cols>
          <w:pgMar w:left="240" w:top="875" w:right="1440" w:bottom="1440" w:gutter="0" w:footer="0" w:header="0"/>
        </w:sectPr>
      </w:pPr>
    </w:p>
    <w:bookmarkStart w:id="8" w:name="page9"/>
    <w:bookmarkEnd w:id="8"/>
    <w:p>
      <w:pPr>
        <w:ind w:right="3619"/>
        <w:spacing w:after="0" w:line="255" w:lineRule="auto"/>
        <w:rPr>
          <w:sz w:val="20"/>
          <w:szCs w:val="20"/>
          <w:color w:val="auto"/>
        </w:rPr>
      </w:pPr>
      <w:r>
        <w:rPr>
          <w:rFonts w:ascii="Courier New" w:cs="Courier New" w:eastAsia="Courier New" w:hAnsi="Courier New"/>
          <w:sz w:val="16"/>
          <w:szCs w:val="16"/>
          <w:color w:val="auto"/>
        </w:rPr>
        <w:t>segment was 30.8% for the quarter ended December 31, 2000 which was consistent with the 31.0% for the comparable quarter one year ago.</w:t>
      </w:r>
    </w:p>
    <w:p>
      <w:pPr>
        <w:spacing w:after="0" w:line="18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Selling, general and administrative expenses, as a percentage of net sales, for the first quarter of fiscal 2001 was 13.0% compared to 11.8% for the same quarter one year ago, an increase of $561,009, from the prior period. The increase was mainly due to increased employee compensation and benefits associated with the hiring of personnel within both the Industrial and Water Treatment segments and increased operating costs within the Industrial segment. Employee compensation and benefits comprise the majority of the selling, general and administrative expenditures. Most of the remaining expenses in this category are fixed in nature and vary only slightly with sales fluctuations.</w:t>
      </w:r>
    </w:p>
    <w:p>
      <w:pPr>
        <w:spacing w:after="0" w:line="379"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Income from operations decreased by $458,325 in the first quarter of fiscal 2001, compared to the first quarter of fiscal 2000. The decrease is mainly due to competitive conditions, primarily in caustic soda prices, which resulted in a negative adjustment to inventory of $.03 per share. Additionally, selling, general and administrative expenses increased from 11.8% to 13.0% of sales due to an increased investment in infrastructure necessary to support the Company's long-term strategic growth plans including expansion into new markets.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INCOME</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Interest income decreased by $31,388, or 10.9%, for the quarter ended December 31, 2000 compared to the same quarter one year ago. This decrease is due to less cash available for investment during the quarter. Interest expense decreased slightly due to the decline in the outstanding amount of long-term debt. Other miscellaneous income decreased by $13,533, as compared to the same period in the previous year due to losses on disposals of fixed assets.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For the first quarter ended December 31, 2000, cash provided by operations was $1,811,441 compared to $3,476,838 for the same period one-year ago. This decrease was due mainly to the decrease in net income and changes in certain current asset and liability accounts discussed in the next paragraph below. The decrease in net income is primarily due to higher operating expenses incurred to meet our long-term strategic growth plans. During the three months ended December 31, 2000, the Company invested $2,011,065 in property and equipment additions, which included approximately $1,300,000 for a new building constructed in St. Paul, Minnesota. The new facility opened during the first quarter of fiscal 2001 and is currently occupied by the Minneapolis/St. Paul Water Treatment operations.</w:t>
      </w:r>
    </w:p>
    <w:p>
      <w:pPr>
        <w:spacing w:after="0" w:line="190"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Inventories and other current liabilities decreased during the first three months of fiscal 2001. Decreases in these accounts are typical for the first quarter of our fiscal year. Accounts payable increased due to amounts due for construction costs of the new building in St. Paul and timing of payments. The Company did not issue any securities during the quarter ended December 31, 2000.</w:t>
      </w:r>
    </w:p>
    <w:p>
      <w:pPr>
        <w:spacing w:after="0" w:line="190"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During the quarter ended December 31, 2000, the Company acquired and retired 30,300 shares of common stock for an aggregate of $248,651.</w:t>
      </w:r>
    </w:p>
    <w:p>
      <w:pPr>
        <w:spacing w:after="0" w:line="184"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Cash flows from operations, coupled with the Company's strong financial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debt on favorable terms.</w:t>
      </w:r>
    </w:p>
    <w:p>
      <w:pPr>
        <w:spacing w:after="0" w:line="379"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875" w:right="1440" w:bottom="1440" w:gutter="0" w:footer="0" w:header="0"/>
        </w:sectPr>
      </w:pPr>
    </w:p>
    <w:bookmarkStart w:id="9" w:name="page10"/>
    <w:bookmarkEnd w:id="9"/>
    <w:p>
      <w:pPr>
        <w:ind w:right="2619"/>
        <w:spacing w:after="0" w:line="251"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include all liquid debt instruments (primarily cash funds, certificates of deposit and a money market account) purchased with an original maturity of three months or less. Cash equivalents are carried at cost, which approximates market value.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380"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three months of fiscal 2001, or are expected to materially affect future periods, nor is management aware of other matters not affecting this period that are expected to materially affect future periods.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RISK</w:t>
      </w:r>
    </w:p>
    <w:p>
      <w:pPr>
        <w:spacing w:after="0" w:line="198" w:lineRule="exact"/>
        <w:rPr>
          <w:sz w:val="20"/>
          <w:szCs w:val="20"/>
          <w:color w:val="auto"/>
        </w:rPr>
      </w:pPr>
    </w:p>
    <w:p>
      <w:pPr>
        <w:ind w:right="2619"/>
        <w:spacing w:after="0" w:line="251" w:lineRule="auto"/>
        <w:rPr>
          <w:sz w:val="20"/>
          <w:szCs w:val="20"/>
          <w:color w:val="auto"/>
        </w:rPr>
      </w:pPr>
      <w:r>
        <w:rPr>
          <w:rFonts w:ascii="Courier New" w:cs="Courier New" w:eastAsia="Courier New" w:hAnsi="Courier New"/>
          <w:sz w:val="16"/>
          <w:szCs w:val="16"/>
          <w:color w:val="auto"/>
        </w:rPr>
        <w:t>At December 31, 2000, the Company had an investment portfolio of fixed income securities of $1,606,648, excluding $12,647,168 of those classified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w:t>
      </w:r>
    </w:p>
    <w:p>
      <w:pPr>
        <w:spacing w:after="0" w:line="198"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In December 1999, the Securities and Exchange Commission released Staff Accounting Bulletin No. 101 that provides the staff's view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379"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Page 10</w:t>
      </w:r>
    </w:p>
    <w:p>
      <w:pPr>
        <w:sectPr>
          <w:pgSz w:w="11900" w:h="16838" w:orient="portrait"/>
          <w:cols w:equalWidth="0" w:num="1">
            <w:col w:w="10219"/>
          </w:cols>
          <w:pgMar w:left="240" w:top="87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Legal Proceedings</w:t>
      </w:r>
    </w:p>
    <w:p>
      <w:pPr>
        <w:spacing w:after="0" w:line="198" w:lineRule="exact"/>
        <w:rPr>
          <w:sz w:val="20"/>
          <w:szCs w:val="20"/>
          <w:color w:val="auto"/>
        </w:rPr>
      </w:pPr>
    </w:p>
    <w:p>
      <w:pPr>
        <w:ind w:right="2619"/>
        <w:spacing w:after="0" w:line="253" w:lineRule="auto"/>
        <w:rPr>
          <w:sz w:val="20"/>
          <w:szCs w:val="20"/>
          <w:color w:val="auto"/>
        </w:rPr>
      </w:pPr>
      <w:r>
        <w:rPr>
          <w:rFonts w:ascii="Courier New" w:cs="Courier New" w:eastAsia="Courier New" w:hAnsi="Courier New"/>
          <w:sz w:val="16"/>
          <w:szCs w:val="16"/>
          <w:color w:val="auto"/>
        </w:rPr>
        <w:t>As of the date of this filing, the Registrant was not involved in any pending legal proceedings other than ordinary routine litigation incidental to their business, except as follows:</w:t>
      </w:r>
    </w:p>
    <w:p>
      <w:pPr>
        <w:spacing w:after="0" w:line="185" w:lineRule="exact"/>
        <w:rPr>
          <w:sz w:val="20"/>
          <w:szCs w:val="20"/>
          <w:color w:val="auto"/>
        </w:rPr>
      </w:pPr>
    </w:p>
    <w:p>
      <w:pPr>
        <w:ind w:left="780" w:right="2339"/>
        <w:spacing w:after="0" w:line="251" w:lineRule="auto"/>
        <w:rPr>
          <w:sz w:val="20"/>
          <w:szCs w:val="20"/>
          <w:color w:val="auto"/>
        </w:rPr>
      </w:pPr>
      <w:r>
        <w:rPr>
          <w:rFonts w:ascii="Courier New" w:cs="Courier New" w:eastAsia="Courier New" w:hAnsi="Courier New"/>
          <w:sz w:val="16"/>
          <w:szCs w:val="16"/>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Less than 10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Exhibits and Reports on Form 8-K</w:t>
      </w:r>
    </w:p>
    <w:p>
      <w:pPr>
        <w:spacing w:after="0" w:line="198" w:lineRule="exact"/>
        <w:rPr>
          <w:sz w:val="20"/>
          <w:szCs w:val="20"/>
          <w:color w:val="auto"/>
        </w:rPr>
      </w:pPr>
    </w:p>
    <w:p>
      <w:pPr>
        <w:ind w:left="780" w:hanging="779"/>
        <w:spacing w:after="0"/>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7"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None.</w:t>
      </w:r>
    </w:p>
    <w:p>
      <w:pPr>
        <w:spacing w:after="0" w:line="197" w:lineRule="exact"/>
        <w:rPr>
          <w:rFonts w:ascii="Courier New" w:cs="Courier New" w:eastAsia="Courier New" w:hAnsi="Courier New"/>
          <w:sz w:val="16"/>
          <w:szCs w:val="16"/>
          <w:color w:val="auto"/>
        </w:rPr>
      </w:pPr>
    </w:p>
    <w:p>
      <w:pPr>
        <w:ind w:left="780" w:hanging="779"/>
        <w:spacing w:after="0"/>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8" w:lineRule="exact"/>
        <w:rPr>
          <w:sz w:val="20"/>
          <w:szCs w:val="20"/>
          <w:color w:val="auto"/>
        </w:rPr>
      </w:pPr>
    </w:p>
    <w:p>
      <w:pPr>
        <w:jc w:val="both"/>
        <w:ind w:right="3119" w:firstLine="789"/>
        <w:spacing w:after="0" w:line="255" w:lineRule="auto"/>
        <w:rPr>
          <w:sz w:val="20"/>
          <w:szCs w:val="20"/>
          <w:color w:val="auto"/>
        </w:rPr>
      </w:pPr>
      <w:r>
        <w:rPr>
          <w:rFonts w:ascii="Courier New" w:cs="Courier New" w:eastAsia="Courier New" w:hAnsi="Courier New"/>
          <w:sz w:val="16"/>
          <w:szCs w:val="16"/>
          <w:color w:val="auto"/>
        </w:rPr>
        <w:t>No reports on Form 8-K have been filed during the fiscal quarter ended December 31, 2000.</w:t>
      </w:r>
    </w:p>
    <w:p>
      <w:pPr>
        <w:spacing w:after="0" w:line="184"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SIGNATURE</w:t>
      </w:r>
    </w:p>
    <w:p>
      <w:pPr>
        <w:spacing w:after="0" w:line="198" w:lineRule="exact"/>
        <w:rPr>
          <w:sz w:val="20"/>
          <w:szCs w:val="20"/>
          <w:color w:val="auto"/>
        </w:rPr>
      </w:pPr>
    </w:p>
    <w:p>
      <w:pPr>
        <w:jc w:val="both"/>
        <w:ind w:right="3119"/>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HAWKINS CHEMICAL, INC.</w:t>
      </w:r>
    </w:p>
    <w:p>
      <w:pPr>
        <w:spacing w:after="0" w:line="388" w:lineRule="exact"/>
        <w:rPr>
          <w:sz w:val="20"/>
          <w:szCs w:val="20"/>
          <w:color w:val="auto"/>
        </w:rPr>
      </w:pPr>
    </w:p>
    <w:p>
      <w:pPr>
        <w:ind w:left="2180"/>
        <w:spacing w:after="0"/>
        <w:tabs>
          <w:tab w:leader="none" w:pos="2540" w:val="left"/>
          <w:tab w:leader="none" w:pos="3040" w:val="left"/>
        </w:tabs>
        <w:rPr>
          <w:sz w:val="20"/>
          <w:szCs w:val="20"/>
          <w:color w:val="auto"/>
        </w:rPr>
      </w:pPr>
      <w:r>
        <w:rPr>
          <w:rFonts w:ascii="Courier New" w:cs="Courier New" w:eastAsia="Courier New" w:hAnsi="Courier New"/>
          <w:sz w:val="16"/>
          <w:szCs w:val="16"/>
          <w:color w:val="auto"/>
        </w:rPr>
        <w:t>By</w:t>
        <w:tab/>
        <w:t>/s/</w:t>
        <w:tab/>
        <w:t>Marvin E. Dee</w:t>
      </w:r>
    </w:p>
    <w:p>
      <w:pPr>
        <w:spacing w:after="0" w:line="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Marvin E. Dee, Vice President, Chief</w:t>
      </w:r>
    </w:p>
    <w:p>
      <w:pPr>
        <w:spacing w:after="0" w:line="8"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Financial Officer, Secretary, Treasurer</w:t>
      </w:r>
    </w:p>
    <w:p>
      <w:pPr>
        <w:spacing w:after="0" w:line="19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February 14, 2001</w:t>
      </w:r>
    </w:p>
    <w:p>
      <w:pPr>
        <w:spacing w:after="0" w:line="198" w:lineRule="exact"/>
        <w:rPr>
          <w:sz w:val="20"/>
          <w:szCs w:val="20"/>
          <w:color w:val="auto"/>
        </w:rPr>
      </w:pPr>
    </w:p>
    <w:p>
      <w:pPr>
        <w:ind w:left="7100"/>
        <w:spacing w:after="0"/>
        <w:rPr>
          <w:sz w:val="20"/>
          <w:szCs w:val="20"/>
          <w:color w:val="auto"/>
        </w:rPr>
      </w:pPr>
      <w:r>
        <w:rPr>
          <w:rFonts w:ascii="Courier New" w:cs="Courier New" w:eastAsia="Courier New" w:hAnsi="Courier New"/>
          <w:sz w:val="16"/>
          <w:szCs w:val="16"/>
          <w:color w:val="auto"/>
        </w:rPr>
        <w:t>Page 11</w:t>
      </w:r>
    </w:p>
    <w:sectPr>
      <w:pgSz w:w="11900" w:h="16838" w:orient="portrait"/>
      <w:cols w:equalWidth="0" w:num="1">
        <w:col w:w="10219"/>
      </w:cols>
      <w:pgMar w:left="24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2019-12-13T01:51:12Z</dcterms:created>
  <dcterms:modified xsi:type="dcterms:W3CDTF">2019-12-13T01:51:12Z</dcterms:modified>
</cp:coreProperties>
</file>