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March 29,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3480" w:type="dxa"/>
            <w:vAlign w:val="bottom"/>
          </w:tcPr>
          <w:p>
            <w:pPr>
              <w:jc w:val="center"/>
              <w:ind w:right="2020"/>
              <w:spacing w:after="0"/>
              <w:rPr>
                <w:sz w:val="20"/>
                <w:szCs w:val="20"/>
                <w:color w:val="auto"/>
              </w:rPr>
            </w:pPr>
            <w:r>
              <w:rPr>
                <w:rFonts w:ascii="Arial" w:cs="Arial" w:eastAsia="Arial" w:hAnsi="Arial"/>
                <w:sz w:val="18"/>
                <w:szCs w:val="18"/>
                <w:b w:val="1"/>
                <w:bCs w:val="1"/>
                <w:color w:val="auto"/>
                <w:w w:val="87"/>
              </w:rPr>
              <w:t>Minnesota</w:t>
            </w:r>
          </w:p>
        </w:tc>
        <w:tc>
          <w:tcPr>
            <w:tcW w:w="2560" w:type="dxa"/>
            <w:vAlign w:val="bottom"/>
          </w:tcPr>
          <w:p>
            <w:pPr>
              <w:jc w:val="center"/>
              <w:ind w:right="266"/>
              <w:spacing w:after="0"/>
              <w:rPr>
                <w:sz w:val="20"/>
                <w:szCs w:val="20"/>
                <w:color w:val="auto"/>
              </w:rPr>
            </w:pPr>
            <w:r>
              <w:rPr>
                <w:rFonts w:ascii="Arial" w:cs="Arial" w:eastAsia="Arial" w:hAnsi="Arial"/>
                <w:sz w:val="18"/>
                <w:szCs w:val="18"/>
                <w:b w:val="1"/>
                <w:bCs w:val="1"/>
                <w:color w:val="auto"/>
                <w:w w:val="89"/>
              </w:rPr>
              <w:t>0-7647</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41-0771293</w:t>
            </w:r>
          </w:p>
        </w:tc>
      </w:tr>
      <w:tr>
        <w:trPr>
          <w:trHeight w:val="149"/>
        </w:trPr>
        <w:tc>
          <w:tcPr>
            <w:tcW w:w="3480" w:type="dxa"/>
            <w:vAlign w:val="bottom"/>
          </w:tcPr>
          <w:p>
            <w:pPr>
              <w:jc w:val="center"/>
              <w:ind w:right="2020"/>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256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80" w:type="dxa"/>
            <w:vAlign w:val="bottom"/>
          </w:tcPr>
          <w:p>
            <w:pPr>
              <w:spacing w:after="0"/>
              <w:rPr>
                <w:sz w:val="15"/>
                <w:szCs w:val="15"/>
                <w:color w:val="auto"/>
              </w:rPr>
            </w:pPr>
          </w:p>
        </w:tc>
        <w:tc>
          <w:tcPr>
            <w:tcW w:w="2560" w:type="dxa"/>
            <w:vAlign w:val="bottom"/>
          </w:tcPr>
          <w:p>
            <w:pPr>
              <w:jc w:val="center"/>
              <w:ind w:right="26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480" w:type="dxa"/>
            <w:vAlign w:val="bottom"/>
          </w:tcPr>
          <w:p>
            <w:pPr>
              <w:jc w:val="center"/>
              <w:ind w:right="180"/>
              <w:spacing w:after="0"/>
              <w:rPr>
                <w:sz w:val="20"/>
                <w:szCs w:val="20"/>
                <w:color w:val="auto"/>
              </w:rPr>
            </w:pPr>
            <w:r>
              <w:rPr>
                <w:rFonts w:ascii="Arial" w:cs="Arial" w:eastAsia="Arial" w:hAnsi="Arial"/>
                <w:sz w:val="18"/>
                <w:szCs w:val="18"/>
                <w:b w:val="1"/>
                <w:bCs w:val="1"/>
                <w:color w:val="auto"/>
                <w:w w:val="87"/>
              </w:rPr>
              <w:t>3100 East Hennepin Avenue</w:t>
            </w:r>
          </w:p>
        </w:tc>
        <w:tc>
          <w:tcPr>
            <w:tcW w:w="25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480" w:type="dxa"/>
            <w:vAlign w:val="bottom"/>
          </w:tcPr>
          <w:p>
            <w:pPr>
              <w:jc w:val="center"/>
              <w:ind w:right="180"/>
              <w:spacing w:after="0"/>
              <w:rPr>
                <w:sz w:val="20"/>
                <w:szCs w:val="20"/>
                <w:color w:val="auto"/>
              </w:rPr>
            </w:pPr>
            <w:r>
              <w:rPr>
                <w:rFonts w:ascii="Arial" w:cs="Arial" w:eastAsia="Arial" w:hAnsi="Arial"/>
                <w:sz w:val="18"/>
                <w:szCs w:val="18"/>
                <w:b w:val="1"/>
                <w:bCs w:val="1"/>
                <w:color w:val="auto"/>
                <w:w w:val="91"/>
              </w:rPr>
              <w:t>Minneapolis, MN</w:t>
            </w:r>
          </w:p>
        </w:tc>
        <w:tc>
          <w:tcPr>
            <w:tcW w:w="256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55413</w:t>
            </w:r>
          </w:p>
        </w:tc>
      </w:tr>
      <w:tr>
        <w:trPr>
          <w:trHeight w:val="174"/>
        </w:trPr>
        <w:tc>
          <w:tcPr>
            <w:tcW w:w="3480" w:type="dxa"/>
            <w:vAlign w:val="bottom"/>
          </w:tcPr>
          <w:p>
            <w:pPr>
              <w:jc w:val="center"/>
              <w:ind w:right="1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56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Certain Officers; Appointment of Certain Officers; Compensatory Arrangements of Certain Officers.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March 29, 2012, we announced that Keenan A. Paulson would be retiring from the position of Vice President—Water Treatment Group effective April 1, 2012 and we announced the appointment of Thomas J. Keller to serve as our Vice President—Water Treatment Group, effective April 2, 2012.</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Keller, age 53, has been employed by us since 1980 and is currently serving as General Manager—Water Treatment Group, a position he has held since June 2011. Previously Mr. Keller served as a Regional Manager of our Water Treatment Group from 2002 to 2011, Branch Manager of our Water Treatment Group from 1991 to 2002 and Water Treatment Group Route Salesman from 1980 to 1991.</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Keller’s annual base salary will be $215,000, reviewed annually. In addition, Mr. Keller will continue to participate in our benefit plans according to their terms and, as an executive officer, will be eligible to participate in our incentive arrangements beginning with fiscal year 2013, which will be established and overseen by our Compensation Committee.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issued a press release, dated March 29, 2012, announcing the appointment of Thomas J. Keller to serve as our Vice President—Water Treatment Group, attached hereto as Exhibit 99.</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March 29, 2012.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3440" w:type="dxa"/>
            <w:vAlign w:val="bottom"/>
            <w:gridSpan w:val="2"/>
          </w:tcPr>
          <w:p>
            <w:pPr>
              <w:ind w:left="2180"/>
              <w:spacing w:after="0"/>
              <w:rPr>
                <w:sz w:val="20"/>
                <w:szCs w:val="20"/>
                <w:color w:val="auto"/>
              </w:rPr>
            </w:pPr>
            <w:r>
              <w:rPr>
                <w:rFonts w:ascii="Arial" w:cs="Arial" w:eastAsia="Arial" w:hAnsi="Arial"/>
                <w:sz w:val="18"/>
                <w:szCs w:val="18"/>
                <w:color w:val="auto"/>
                <w:w w:val="95"/>
              </w:rPr>
              <w:t>HAWKINS, INC.</w:t>
            </w:r>
          </w:p>
        </w:tc>
        <w:tc>
          <w:tcPr>
            <w:tcW w:w="4240" w:type="dxa"/>
            <w:vAlign w:val="bottom"/>
          </w:tcPr>
          <w:p>
            <w:pPr>
              <w:spacing w:after="0"/>
              <w:rPr>
                <w:sz w:val="19"/>
                <w:szCs w:val="19"/>
                <w:color w:val="auto"/>
              </w:rPr>
            </w:pP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March 29, 2012</w:t>
            </w:r>
          </w:p>
        </w:tc>
        <w:tc>
          <w:tcPr>
            <w:tcW w:w="344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792"/>
              <w:spacing w:after="0"/>
              <w:rPr>
                <w:sz w:val="20"/>
                <w:szCs w:val="20"/>
                <w:color w:val="auto"/>
              </w:rPr>
            </w:pPr>
            <w:r>
              <w:rPr>
                <w:rFonts w:ascii="Arial" w:cs="Arial" w:eastAsia="Arial" w:hAnsi="Arial"/>
                <w:sz w:val="18"/>
                <w:szCs w:val="18"/>
                <w:color w:val="auto"/>
                <w:w w:val="88"/>
              </w:rPr>
              <w:t>/s/ Richard G. Erstad</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jc w:val="center"/>
              <w:ind w:right="812"/>
              <w:spacing w:after="0" w:line="202" w:lineRule="exact"/>
              <w:rPr>
                <w:sz w:val="20"/>
                <w:szCs w:val="20"/>
                <w:color w:val="auto"/>
              </w:rPr>
            </w:pPr>
            <w:r>
              <w:rPr>
                <w:rFonts w:ascii="Arial" w:cs="Arial" w:eastAsia="Arial" w:hAnsi="Arial"/>
                <w:sz w:val="18"/>
                <w:szCs w:val="18"/>
                <w:color w:val="auto"/>
                <w:w w:val="88"/>
              </w:rPr>
              <w:t>Richard G. Erstad</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40" w:type="dxa"/>
            <w:vAlign w:val="bottom"/>
          </w:tcPr>
          <w:p>
            <w:pPr>
              <w:jc w:val="center"/>
              <w:ind w:right="812"/>
              <w:spacing w:after="0"/>
              <w:rPr>
                <w:sz w:val="20"/>
                <w:szCs w:val="20"/>
                <w:color w:val="auto"/>
              </w:rPr>
            </w:pPr>
            <w:r>
              <w:rPr>
                <w:rFonts w:ascii="Arial" w:cs="Arial" w:eastAsia="Arial" w:hAnsi="Arial"/>
                <w:sz w:val="18"/>
                <w:szCs w:val="18"/>
                <w:color w:val="auto"/>
                <w:w w:val="87"/>
              </w:rPr>
              <w:t>Vice President, 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300" w:type="dxa"/>
            <w:vAlign w:val="bottom"/>
            <w:gridSpan w:val="2"/>
          </w:tcPr>
          <w:p>
            <w:pPr>
              <w:ind w:left="940"/>
              <w:spacing w:after="0"/>
              <w:rPr>
                <w:sz w:val="20"/>
                <w:szCs w:val="20"/>
                <w:color w:val="auto"/>
              </w:rPr>
            </w:pPr>
            <w:r>
              <w:rPr>
                <w:rFonts w:ascii="Arial" w:cs="Arial" w:eastAsia="Arial" w:hAnsi="Arial"/>
                <w:sz w:val="18"/>
                <w:szCs w:val="18"/>
                <w:color w:val="auto"/>
              </w:rPr>
              <w:t>EXHIBIT INDEX</w:t>
            </w:r>
          </w:p>
        </w:tc>
      </w:tr>
      <w:tr>
        <w:trPr>
          <w:trHeight w:val="360"/>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No.</w:t>
            </w:r>
          </w:p>
        </w:tc>
        <w:tc>
          <w:tcPr>
            <w:tcW w:w="320" w:type="dxa"/>
            <w:vAlign w:val="bottom"/>
          </w:tcPr>
          <w:p>
            <w:pPr>
              <w:spacing w:after="0"/>
              <w:rPr>
                <w:sz w:val="24"/>
                <w:szCs w:val="24"/>
                <w:color w:val="auto"/>
              </w:rPr>
            </w:pPr>
          </w:p>
        </w:tc>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5700" w:type="dxa"/>
            <w:vAlign w:val="bottom"/>
          </w:tcPr>
          <w:p>
            <w:pPr>
              <w:spacing w:after="0"/>
              <w:rPr>
                <w:sz w:val="24"/>
                <w:szCs w:val="24"/>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Manner of Filing</w:t>
            </w:r>
          </w:p>
        </w:tc>
      </w:tr>
      <w:tr>
        <w:trPr>
          <w:trHeight w:val="309"/>
        </w:trPr>
        <w:tc>
          <w:tcPr>
            <w:tcW w:w="220" w:type="dxa"/>
            <w:vAlign w:val="bottom"/>
          </w:tcPr>
          <w:p>
            <w:pPr>
              <w:spacing w:after="0"/>
              <w:rPr>
                <w:sz w:val="20"/>
                <w:szCs w:val="20"/>
                <w:color w:val="auto"/>
              </w:rPr>
            </w:pPr>
            <w:r>
              <w:rPr>
                <w:rFonts w:ascii="Arial" w:cs="Arial" w:eastAsia="Arial" w:hAnsi="Arial"/>
                <w:sz w:val="18"/>
                <w:szCs w:val="18"/>
                <w:color w:val="auto"/>
                <w:w w:val="99"/>
              </w:rPr>
              <w:t>99</w:t>
            </w:r>
          </w:p>
        </w:tc>
        <w:tc>
          <w:tcPr>
            <w:tcW w:w="3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Press Release, dated March 29, 2012.</w:t>
            </w:r>
          </w:p>
        </w:tc>
        <w:tc>
          <w:tcPr>
            <w:tcW w:w="57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Filed Electronically</w:t>
            </w: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000" w:type="dxa"/>
            <w:vAlign w:val="bottom"/>
            <w:gridSpan w:val="3"/>
          </w:tcPr>
          <w:p>
            <w:pPr>
              <w:ind w:left="2020"/>
              <w:spacing w:after="0"/>
              <w:rPr>
                <w:sz w:val="20"/>
                <w:szCs w:val="20"/>
                <w:color w:val="auto"/>
              </w:rPr>
            </w:pPr>
            <w:r>
              <w:rPr>
                <w:rFonts w:ascii="Arial" w:cs="Arial" w:eastAsia="Arial" w:hAnsi="Arial"/>
                <w:sz w:val="18"/>
                <w:szCs w:val="18"/>
                <w:b w:val="1"/>
                <w:bCs w:val="1"/>
                <w:color w:val="auto"/>
                <w:w w:val="99"/>
              </w:rPr>
              <w:t>EXHIBIT 99</w:t>
            </w:r>
          </w:p>
        </w:tc>
      </w:tr>
      <w:tr>
        <w:trPr>
          <w:trHeight w:val="412"/>
        </w:trPr>
        <w:tc>
          <w:tcPr>
            <w:tcW w:w="488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540" w:type="dxa"/>
            <w:vAlign w:val="bottom"/>
          </w:tcPr>
          <w:p>
            <w:pPr>
              <w:ind w:left="2520"/>
              <w:spacing w:after="0"/>
              <w:rPr>
                <w:sz w:val="20"/>
                <w:szCs w:val="20"/>
                <w:color w:val="auto"/>
              </w:rPr>
            </w:pPr>
            <w:r>
              <w:rPr>
                <w:rFonts w:ascii="Arial" w:cs="Arial" w:eastAsia="Arial" w:hAnsi="Arial"/>
                <w:sz w:val="18"/>
                <w:szCs w:val="18"/>
                <w:color w:val="auto"/>
              </w:rPr>
              <w:t>Contacts:</w:t>
            </w:r>
          </w:p>
        </w:tc>
        <w:tc>
          <w:tcPr>
            <w:tcW w:w="3000" w:type="dxa"/>
            <w:vAlign w:val="bottom"/>
            <w:gridSpan w:val="3"/>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4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488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54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Patrick.Hawkins@HawkinsInc.com</w:t>
            </w: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54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Minneapolis, MN 55413</w:t>
            </w:r>
          </w:p>
        </w:tc>
        <w:tc>
          <w:tcPr>
            <w:tcW w:w="354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48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Kathleen.Pepski@HawkinsInc.com</w:t>
            </w:r>
          </w:p>
        </w:tc>
      </w:tr>
      <w:tr>
        <w:trPr>
          <w:trHeight w:val="20"/>
        </w:trPr>
        <w:tc>
          <w:tcPr>
            <w:tcW w:w="4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ANNOUNCES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NEW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PRESIDENT—WATER TREATMENT GROUP</w:t>
      </w:r>
    </w:p>
    <w:p>
      <w:pPr>
        <w:spacing w:after="0" w:line="16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Minneapolis, MN, March 29, 2012 – Hawkins, Inc. (Nasdaq: HWKN) today announced the appointment of Thomas J. Keller to the position of the Company’s Vice President—Water Treatment Group effective April 2, 2012. Keenan Paulson, who served in that capacity for the previous 22 years, is retiring from that position effective April 1, 2012. The change is part of the succession planning efforts of the Company’s Board of Directors.</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“With his 32 years of service, Tom is very knowledgeable about our Water Treatment Group and we are pleased to be able to promote a person with his ability to this role,” commented Chief Executive Officer Patrick H. Hawkins. “Keenan has done an excellent job growing our Water Treatment Group business over the years and, while she will be missed, we are confident that Tom will continue to move this business forward. We wish Keenan all the best and hope she is able to enjoy her time with her family and grandchildren.”</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Keller has been employed by the Company since 1980 and is currently serving as General Manager—Water Treatment Group, a position he has held since June 2011. Previously Mr. Keller served as a Regional Manager of our Water Treatment Group from 2002 to 2011, Branch Manager of our Water Treatment Group from 1991 to 2002 and Water Treatment Group Route Salesman from 1980 to 1991.</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2019-12-09T12:54:56Z</dcterms:created>
  <dcterms:modified xsi:type="dcterms:W3CDTF">2019-12-09T12:54:56Z</dcterms:modified>
</cp:coreProperties>
</file>