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217805</wp:posOffset>
            </wp:positionH>
            <wp:positionV relativeFrom="page">
              <wp:posOffset>620395</wp:posOffset>
            </wp:positionV>
            <wp:extent cx="7126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534670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-311785</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QUARTERLY REPORT PURSUANT TO SECTION 13 OR 15(d) OF THE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28, 2015</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48260</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rPr>
              <w:t>MINNESOTA</w:t>
            </w:r>
          </w:p>
        </w:tc>
        <w:tc>
          <w:tcPr>
            <w:tcW w:w="3460" w:type="dxa"/>
            <w:vAlign w:val="bottom"/>
          </w:tcPr>
          <w:p>
            <w:pPr>
              <w:jc w:val="center"/>
              <w:ind w:right="1922"/>
              <w:spacing w:after="0"/>
              <w:rPr>
                <w:sz w:val="20"/>
                <w:szCs w:val="20"/>
                <w:color w:val="auto"/>
              </w:rPr>
            </w:pPr>
            <w:r>
              <w:rPr>
                <w:rFonts w:ascii="Arial" w:cs="Arial" w:eastAsia="Arial" w:hAnsi="Arial"/>
                <w:sz w:val="18"/>
                <w:szCs w:val="18"/>
                <w:b w:val="1"/>
                <w:bCs w:val="1"/>
                <w:color w:val="auto"/>
                <w:w w:val="89"/>
              </w:rPr>
              <w:t>41-0771293</w:t>
            </w:r>
          </w:p>
        </w:tc>
      </w:tr>
      <w:tr>
        <w:trPr>
          <w:trHeight w:val="27"/>
        </w:trPr>
        <w:tc>
          <w:tcPr>
            <w:tcW w:w="3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46"/>
        </w:trPr>
        <w:tc>
          <w:tcPr>
            <w:tcW w:w="7960" w:type="dxa"/>
            <w:vAlign w:val="bottom"/>
            <w:gridSpan w:val="2"/>
          </w:tcPr>
          <w:p>
            <w:pPr>
              <w:jc w:val="center"/>
              <w:ind w:right="2262"/>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942"/>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w w:val="93"/>
              </w:rPr>
              <w:t>incorporation or organization)</w:t>
            </w:r>
          </w:p>
        </w:tc>
        <w:tc>
          <w:tcPr>
            <w:tcW w:w="34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34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7"/>
              </w:rPr>
              <w:t>2381 ROSEGATE, ROSEVILLE, MINNESOTA 55113</w:t>
            </w:r>
          </w:p>
        </w:tc>
        <w:tc>
          <w:tcPr>
            <w:tcW w:w="346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460" w:type="dxa"/>
            <w:vAlign w:val="bottom"/>
          </w:tcPr>
          <w:p>
            <w:pPr>
              <w:spacing w:after="0"/>
              <w:rPr>
                <w:sz w:val="16"/>
                <w:szCs w:val="16"/>
                <w:color w:val="auto"/>
              </w:rPr>
            </w:pPr>
          </w:p>
        </w:tc>
      </w:tr>
      <w:tr>
        <w:trPr>
          <w:trHeight w:val="512"/>
        </w:trPr>
        <w:tc>
          <w:tcPr>
            <w:tcW w:w="7960" w:type="dxa"/>
            <w:vAlign w:val="bottom"/>
            <w:gridSpan w:val="2"/>
          </w:tcPr>
          <w:p>
            <w:pPr>
              <w:jc w:val="center"/>
              <w:ind w:left="3399"/>
              <w:spacing w:after="0"/>
              <w:rPr>
                <w:sz w:val="20"/>
                <w:szCs w:val="20"/>
                <w:color w:val="auto"/>
              </w:rPr>
            </w:pPr>
            <w:r>
              <w:rPr>
                <w:rFonts w:ascii="Arial" w:cs="Arial" w:eastAsia="Arial" w:hAnsi="Arial"/>
                <w:sz w:val="18"/>
                <w:szCs w:val="18"/>
                <w:b w:val="1"/>
                <w:bCs w:val="1"/>
                <w:color w:val="auto"/>
                <w:w w:val="90"/>
              </w:rPr>
              <w:t>(612) 331-6910</w:t>
            </w:r>
          </w:p>
        </w:tc>
        <w:tc>
          <w:tcPr>
            <w:tcW w:w="3460" w:type="dxa"/>
            <w:vAlign w:val="bottom"/>
          </w:tcPr>
          <w:p>
            <w:pPr>
              <w:spacing w:after="0"/>
              <w:rPr>
                <w:sz w:val="24"/>
                <w:szCs w:val="24"/>
                <w:color w:val="auto"/>
              </w:rPr>
            </w:pPr>
          </w:p>
        </w:tc>
      </w:tr>
      <w:tr>
        <w:trPr>
          <w:trHeight w:val="224"/>
        </w:trPr>
        <w:tc>
          <w:tcPr>
            <w:tcW w:w="3460" w:type="dxa"/>
            <w:vAlign w:val="bottom"/>
          </w:tcPr>
          <w:p>
            <w:pPr>
              <w:spacing w:after="0"/>
              <w:rPr>
                <w:sz w:val="19"/>
                <w:szCs w:val="19"/>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60" w:type="dxa"/>
            <w:vAlign w:val="bottom"/>
          </w:tcPr>
          <w:p>
            <w:pPr>
              <w:spacing w:after="0"/>
              <w:rPr>
                <w:sz w:val="19"/>
                <w:szCs w:val="19"/>
                <w:color w:val="auto"/>
              </w:rPr>
            </w:pPr>
          </w:p>
        </w:tc>
      </w:tr>
    </w:tbl>
    <w:p>
      <w:pPr>
        <w:spacing w:after="0" w:line="28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1030" w:right="239" w:bottom="1440" w:gutter="0" w:footer="0" w:header="0"/>
        </w:sectPr>
      </w:pPr>
    </w:p>
    <w:p>
      <w:pPr>
        <w:spacing w:after="0" w:line="3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740" w:space="540"/>
            <w:col w:w="4620" w:space="720"/>
            <w:col w:w="2060" w:space="720"/>
            <w:col w:w="1020"/>
          </w:cols>
          <w:pgMar w:left="240" w:top="1030"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640" w:space="640"/>
            <w:col w:w="160" w:space="80"/>
            <w:col w:w="4380" w:space="720"/>
            <w:col w:w="2080" w:space="700"/>
            <w:col w:w="1020"/>
          </w:cols>
          <w:pgMar w:left="240" w:top="1030" w:right="2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60"/>
        <w:spacing w:after="0" w:line="207" w:lineRule="exact"/>
        <w:tabs>
          <w:tab w:leader="none" w:pos="1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56" w:lineRule="exact"/>
        <w:rPr>
          <w:sz w:val="24"/>
          <w:szCs w:val="24"/>
          <w:color w:val="auto"/>
        </w:rPr>
      </w:pPr>
    </w:p>
    <w:tbl>
      <w:tblPr>
        <w:tblLayout w:type="fixed"/>
        <w:tblInd w:w="100" w:type="dxa"/>
        <w:tblCellMar>
          <w:top w:w="0" w:type="dxa"/>
          <w:left w:w="0" w:type="dxa"/>
          <w:bottom w:w="0" w:type="dxa"/>
          <w:right w:w="0" w:type="dxa"/>
        </w:tblCellMar>
      </w:tblPr>
      <w:tr>
        <w:trPr>
          <w:trHeight w:val="188"/>
        </w:trPr>
        <w:tc>
          <w:tcPr>
            <w:tcW w:w="56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CLASS</w:t>
            </w:r>
          </w:p>
        </w:tc>
        <w:tc>
          <w:tcPr>
            <w:tcW w:w="300" w:type="dxa"/>
            <w:vAlign w:val="bottom"/>
          </w:tcPr>
          <w:p>
            <w:pPr>
              <w:spacing w:after="0"/>
              <w:rPr>
                <w:sz w:val="16"/>
                <w:szCs w:val="16"/>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Shares Outstanding at July 24, 2015</w:t>
            </w:r>
          </w:p>
        </w:tc>
        <w:tc>
          <w:tcPr>
            <w:tcW w:w="540" w:type="dxa"/>
            <w:vAlign w:val="bottom"/>
          </w:tcPr>
          <w:p>
            <w:pPr>
              <w:spacing w:after="0"/>
              <w:rPr>
                <w:sz w:val="16"/>
                <w:szCs w:val="16"/>
                <w:color w:val="auto"/>
              </w:rPr>
            </w:pPr>
          </w:p>
        </w:tc>
      </w:tr>
      <w:tr>
        <w:trPr>
          <w:trHeight w:val="243"/>
        </w:trPr>
        <w:tc>
          <w:tcPr>
            <w:tcW w:w="560" w:type="dxa"/>
            <w:vAlign w:val="bottom"/>
          </w:tcPr>
          <w:p>
            <w:pPr>
              <w:spacing w:after="0"/>
              <w:rPr>
                <w:sz w:val="21"/>
                <w:szCs w:val="21"/>
                <w:color w:val="auto"/>
              </w:rPr>
            </w:pPr>
          </w:p>
        </w:tc>
        <w:tc>
          <w:tcPr>
            <w:tcW w:w="52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Common Stock, par value $.05 per share</w:t>
            </w:r>
          </w:p>
        </w:tc>
        <w:tc>
          <w:tcPr>
            <w:tcW w:w="4860" w:type="dxa"/>
            <w:vAlign w:val="bottom"/>
          </w:tcPr>
          <w:p>
            <w:pPr>
              <w:jc w:val="right"/>
              <w:ind w:right="1939"/>
              <w:spacing w:after="0"/>
              <w:rPr>
                <w:sz w:val="20"/>
                <w:szCs w:val="20"/>
                <w:color w:val="auto"/>
              </w:rPr>
            </w:pPr>
            <w:r>
              <w:rPr>
                <w:rFonts w:ascii="Arial" w:cs="Arial" w:eastAsia="Arial" w:hAnsi="Arial"/>
                <w:sz w:val="18"/>
                <w:szCs w:val="18"/>
                <w:color w:val="auto"/>
              </w:rPr>
              <w:t>10,654,509</w:t>
            </w:r>
          </w:p>
        </w:tc>
        <w:tc>
          <w:tcPr>
            <w:tcW w:w="540" w:type="dxa"/>
            <w:vAlign w:val="bottom"/>
          </w:tcPr>
          <w:p>
            <w:pPr>
              <w:spacing w:after="0"/>
              <w:rPr>
                <w:sz w:val="21"/>
                <w:szCs w:val="21"/>
                <w:color w:val="auto"/>
              </w:rPr>
            </w:pPr>
          </w:p>
        </w:tc>
      </w:tr>
      <w:tr>
        <w:trPr>
          <w:trHeight w:val="432"/>
        </w:trPr>
        <w:tc>
          <w:tcPr>
            <w:tcW w:w="5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122"/>
        </w:trPr>
        <w:tc>
          <w:tcPr>
            <w:tcW w:w="560" w:type="dxa"/>
            <w:vAlign w:val="bottom"/>
            <w:tcBorders>
              <w:bottom w:val="single" w:sz="8" w:color="auto"/>
            </w:tcBorders>
          </w:tcPr>
          <w:p>
            <w:pPr>
              <w:spacing w:after="0"/>
              <w:rPr>
                <w:sz w:val="10"/>
                <w:szCs w:val="10"/>
                <w:color w:val="auto"/>
              </w:rPr>
            </w:pPr>
          </w:p>
        </w:tc>
        <w:tc>
          <w:tcPr>
            <w:tcW w:w="49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30" w:right="239" w:bottom="1440" w:gutter="0" w:footer="0" w:header="0"/>
          <w:type w:val="continuous"/>
        </w:sectPr>
      </w:pPr>
    </w:p>
    <w:bookmarkStart w:id="1" w:name="page2"/>
    <w:bookmarkEnd w:id="1"/>
    <w:p>
      <w:pPr>
        <w:jc w:val="center"/>
        <w:ind w:right="-116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INDEX TO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336"/>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522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18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June 28, 2015 and March 29, 2015</w:t>
              </w:r>
            </w:hyperlink>
          </w:p>
        </w:tc>
        <w:tc>
          <w:tcPr>
            <w:tcW w:w="2000" w:type="dxa"/>
            <w:vAlign w:val="bottom"/>
            <w:gridSpan w:val="5"/>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20" w:type="dxa"/>
            <w:vAlign w:val="bottom"/>
            <w:gridSpan w:val="19"/>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Condensed Consolidated Statements of Income – Three Months Ended June 28, 2015 and June</w:t>
              </w:r>
            </w:hyperlink>
          </w:p>
        </w:tc>
        <w:tc>
          <w:tcPr>
            <w:tcW w:w="100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29, 2014</w:t>
              </w:r>
            </w:hyperlink>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 Three Months Ended June 28,</w:t>
              </w:r>
            </w:hyperlink>
          </w:p>
        </w:tc>
        <w:tc>
          <w:tcPr>
            <w:tcW w:w="68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2015 and June 29, 2014</w:t>
              </w:r>
            </w:hyperlink>
          </w:p>
        </w:tc>
        <w:tc>
          <w:tcPr>
            <w:tcW w:w="5900" w:type="dxa"/>
            <w:vAlign w:val="bottom"/>
            <w:gridSpan w:val="13"/>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 Three Months Ended June 28, 2015 and</w:t>
              </w:r>
            </w:hyperlink>
          </w:p>
        </w:tc>
        <w:tc>
          <w:tcPr>
            <w:tcW w:w="840" w:type="dxa"/>
            <w:vAlign w:val="bottom"/>
            <w:gridSpan w:val="3"/>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June 29, 2014</w:t>
              </w:r>
            </w:hyperlink>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3620" w:type="dxa"/>
            <w:vAlign w:val="bottom"/>
            <w:gridSpan w:val="8"/>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620" w:type="dxa"/>
            <w:vAlign w:val="bottom"/>
            <w:gridSpan w:val="1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100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12</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1160" w:type="dxa"/>
            <w:vAlign w:val="bottom"/>
            <w:gridSpan w:val="4"/>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EE"/>
                <w:w w:val="88"/>
              </w:rPr>
            </w:pPr>
            <w:hyperlink w:anchor="page15">
              <w:r>
                <w:rPr>
                  <w:rFonts w:ascii="Arial" w:cs="Arial" w:eastAsia="Arial" w:hAnsi="Arial"/>
                  <w:sz w:val="18"/>
                  <w:szCs w:val="18"/>
                  <w:color w:val="0000EE"/>
                  <w:w w:val="88"/>
                </w:rPr>
                <w:t>Controls and Procedures</w:t>
              </w:r>
            </w:hyperlink>
          </w:p>
        </w:tc>
        <w:tc>
          <w:tcPr>
            <w:tcW w:w="2540" w:type="dxa"/>
            <w:vAlign w:val="bottom"/>
            <w:gridSpan w:val="5"/>
          </w:tcPr>
          <w:p>
            <w:pPr>
              <w:spacing w:after="0"/>
              <w:rPr>
                <w:sz w:val="24"/>
                <w:szCs w:val="24"/>
                <w:color w:val="auto"/>
              </w:rPr>
            </w:pPr>
          </w:p>
        </w:tc>
        <w:tc>
          <w:tcPr>
            <w:tcW w:w="3300" w:type="dxa"/>
            <w:vAlign w:val="bottom"/>
            <w:gridSpan w:val="7"/>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7620" w:type="dxa"/>
            <w:vAlign w:val="bottom"/>
            <w:gridSpan w:val="1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OTHER INFORMATION</w:t>
              </w:r>
            </w:hyperlink>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tcBorders>
            <w:gridSpan w:val="5"/>
          </w:tcPr>
          <w:p>
            <w:pPr>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5740" w:type="dxa"/>
            <w:vAlign w:val="bottom"/>
            <w:gridSpan w:val="11"/>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40" w:type="dxa"/>
            <w:vAlign w:val="bottom"/>
            <w:gridSpan w:val="5"/>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6280" w:type="dxa"/>
            <w:vAlign w:val="bottom"/>
            <w:gridSpan w:val="14"/>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60" w:type="dxa"/>
            <w:vAlign w:val="bottom"/>
            <w:gridSpan w:val="10"/>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3"/>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Unregistered Sales of Equity Securities and Use of Proceeds</w:t>
              </w:r>
            </w:hyperlink>
          </w:p>
        </w:tc>
        <w:tc>
          <w:tcPr>
            <w:tcW w:w="3260" w:type="dxa"/>
            <w:vAlign w:val="bottom"/>
            <w:gridSpan w:val="6"/>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1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Exhibits</w:t>
              </w:r>
            </w:hyperlink>
          </w:p>
        </w:tc>
        <w:tc>
          <w:tcPr>
            <w:tcW w:w="3260" w:type="dxa"/>
            <w:vAlign w:val="bottom"/>
            <w:gridSpan w:val="6"/>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17</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760" w:type="dxa"/>
            <w:vAlign w:val="bottom"/>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Signatures</w:t>
              </w:r>
            </w:hyperlink>
          </w:p>
        </w:tc>
        <w:tc>
          <w:tcPr>
            <w:tcW w:w="38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 Index</w:t>
              </w:r>
            </w:hyperlink>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19</w:t>
              </w:r>
            </w:hyperlink>
          </w:p>
        </w:tc>
      </w:tr>
      <w:tr>
        <w:trPr>
          <w:trHeight w:val="507"/>
        </w:trPr>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620" w:type="dxa"/>
            <w:vAlign w:val="bottom"/>
            <w:gridSpan w:val="14"/>
          </w:tcPr>
          <w:p>
            <w:pPr>
              <w:ind w:left="4480"/>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0179"/>
          </w:cols>
          <w:pgMar w:left="280" w:top="58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28,</w:t>
            </w:r>
          </w:p>
        </w:tc>
        <w:tc>
          <w:tcPr>
            <w:tcW w:w="200" w:type="dxa"/>
            <w:vAlign w:val="bottom"/>
          </w:tcPr>
          <w:p>
            <w:pPr>
              <w:spacing w:after="0"/>
              <w:rPr>
                <w:sz w:val="17"/>
                <w:szCs w:val="17"/>
                <w:color w:val="auto"/>
              </w:rPr>
            </w:pPr>
          </w:p>
        </w:tc>
        <w:tc>
          <w:tcPr>
            <w:tcW w:w="1160" w:type="dxa"/>
            <w:vAlign w:val="bottom"/>
          </w:tcPr>
          <w:p>
            <w:pPr>
              <w:jc w:val="right"/>
              <w:ind w:right="250"/>
              <w:spacing w:after="0"/>
              <w:rPr>
                <w:sz w:val="20"/>
                <w:szCs w:val="20"/>
                <w:color w:val="auto"/>
              </w:rPr>
            </w:pPr>
            <w:r>
              <w:rPr>
                <w:rFonts w:ascii="Arial" w:cs="Arial" w:eastAsia="Arial" w:hAnsi="Arial"/>
                <w:sz w:val="16"/>
                <w:szCs w:val="16"/>
                <w:b w:val="1"/>
                <w:bCs w:val="1"/>
                <w:color w:val="auto"/>
              </w:rPr>
              <w:t>March 29,</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18,071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18,639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available-for-sale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Trade receivables — less allowance for doubtful accounts: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$441 as of June 28, 2015 and $445 as of March 29, 2015</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40,355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39,084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37,028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114,340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175,861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172,772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79,042</w:t>
            </w:r>
          </w:p>
        </w:tc>
        <w:tc>
          <w:tcPr>
            <w:tcW w:w="0" w:type="dxa"/>
            <w:vAlign w:val="bottom"/>
          </w:tcPr>
          <w:p>
            <w:pPr>
              <w:spacing w:after="0"/>
              <w:rPr>
                <w:sz w:val="1"/>
                <w:szCs w:val="1"/>
                <w:color w:val="auto"/>
              </w:rPr>
            </w:pP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color w:val="auto"/>
              </w:rPr>
              <w:t>Net property, plant, and equipment</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95,122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93,730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11,750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11,750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 — less accumulated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$4,242 as of June 28, 2015 and $3,933 as of March 29, 2015</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11,154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investments available for sale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17,249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40,392</w:t>
            </w:r>
          </w:p>
        </w:tc>
        <w:tc>
          <w:tcPr>
            <w:tcW w:w="0" w:type="dxa"/>
            <w:vAlign w:val="bottom"/>
          </w:tcPr>
          <w:p>
            <w:pPr>
              <w:spacing w:after="0"/>
              <w:rPr>
                <w:sz w:val="1"/>
                <w:szCs w:val="1"/>
                <w:color w:val="auto"/>
              </w:rPr>
            </w:pP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247,928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248,462</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20,083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Dividends payable</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payroll and employee benefits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payable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36,343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PENSION WITHDRAWAL LIABILITY</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6,589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54,498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4"/>
              </w:rPr>
              <w:t>Common stock; authorized: 30,000,000 shares of $0.05 par value; 10,569,764 and 10,564,949 shares issued</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and outstanding as of June 28, 2015 and March 29, 2015, respectively</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50,901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149,358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142,567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200,335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193,964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248,462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080"/>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359" w:lineRule="exact"/>
        <w:rPr>
          <w:sz w:val="20"/>
          <w:szCs w:val="20"/>
          <w:color w:val="auto"/>
        </w:rPr>
      </w:pPr>
    </w:p>
    <w:p>
      <w:pPr>
        <w:ind w:left="92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37465</wp:posOffset>
            </wp:positionV>
            <wp:extent cx="1800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28,</w:t>
            </w:r>
          </w:p>
        </w:tc>
        <w:tc>
          <w:tcPr>
            <w:tcW w:w="260" w:type="dxa"/>
            <w:vAlign w:val="bottom"/>
          </w:tcPr>
          <w:p>
            <w:pPr>
              <w:spacing w:after="0"/>
              <w:rPr>
                <w:sz w:val="14"/>
                <w:szCs w:val="14"/>
                <w:color w:val="auto"/>
              </w:rPr>
            </w:pPr>
          </w:p>
        </w:tc>
        <w:tc>
          <w:tcPr>
            <w:tcW w:w="1100" w:type="dxa"/>
            <w:vAlign w:val="bottom"/>
          </w:tcPr>
          <w:p>
            <w:pPr>
              <w:jc w:val="right"/>
              <w:ind w:right="352"/>
              <w:spacing w:after="0"/>
              <w:rPr>
                <w:sz w:val="20"/>
                <w:szCs w:val="20"/>
                <w:color w:val="auto"/>
              </w:rPr>
            </w:pPr>
            <w:r>
              <w:rPr>
                <w:rFonts w:ascii="Arial" w:cs="Arial" w:eastAsia="Arial" w:hAnsi="Arial"/>
                <w:sz w:val="14"/>
                <w:szCs w:val="14"/>
                <w:b w:val="1"/>
                <w:bCs w:val="1"/>
                <w:color w:val="auto"/>
              </w:rPr>
              <w:t>June 29,</w:t>
            </w:r>
          </w:p>
        </w:tc>
      </w:tr>
      <w:tr>
        <w:trPr>
          <w:trHeight w:val="192"/>
        </w:trPr>
        <w:tc>
          <w:tcPr>
            <w:tcW w:w="8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101,496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98,036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(80,761)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(79,540)</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18,496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(8,875)</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9,635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(3,614)</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6,021</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10,580,542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10,570,041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10,628,409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10,613,738</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8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0.57</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0.57</w:t>
            </w:r>
          </w:p>
        </w:tc>
      </w:tr>
      <w:tr>
        <w:trPr>
          <w:trHeight w:val="324"/>
        </w:trPr>
        <w:tc>
          <w:tcPr>
            <w:tcW w:w="8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378"/>
        </w:trPr>
        <w:tc>
          <w:tcPr>
            <w:tcW w:w="8580" w:type="dxa"/>
            <w:vAlign w:val="bottom"/>
          </w:tcPr>
          <w:p>
            <w:pPr>
              <w:ind w:left="3080"/>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5"/>
        </w:trPr>
        <w:tc>
          <w:tcPr>
            <w:tcW w:w="8580" w:type="dxa"/>
            <w:vAlign w:val="bottom"/>
          </w:tcPr>
          <w:p>
            <w:pPr>
              <w:ind w:left="56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28,</w:t>
            </w:r>
          </w:p>
        </w:tc>
        <w:tc>
          <w:tcPr>
            <w:tcW w:w="260" w:type="dxa"/>
            <w:vAlign w:val="bottom"/>
          </w:tcPr>
          <w:p>
            <w:pPr>
              <w:spacing w:after="0"/>
              <w:rPr>
                <w:sz w:val="13"/>
                <w:szCs w:val="13"/>
                <w:color w:val="auto"/>
              </w:rPr>
            </w:pPr>
          </w:p>
        </w:tc>
        <w:tc>
          <w:tcPr>
            <w:tcW w:w="1100" w:type="dxa"/>
            <w:vAlign w:val="bottom"/>
          </w:tcPr>
          <w:p>
            <w:pPr>
              <w:jc w:val="right"/>
              <w:ind w:right="357"/>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84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6,791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6,021</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available-for-sale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848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6,846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6,013</w:t>
            </w:r>
          </w:p>
        </w:tc>
      </w:tr>
      <w:tr>
        <w:trPr>
          <w:trHeight w:val="27"/>
        </w:trPr>
        <w:tc>
          <w:tcPr>
            <w:tcW w:w="8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580"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4"/>
          </w:tcPr>
          <w:p>
            <w:pPr>
              <w:jc w:val="right"/>
              <w:ind w:right="75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28,</w:t>
            </w:r>
          </w:p>
        </w:tc>
        <w:tc>
          <w:tcPr>
            <w:tcW w:w="280" w:type="dxa"/>
            <w:vAlign w:val="bottom"/>
          </w:tcPr>
          <w:p>
            <w:pPr>
              <w:spacing w:after="0"/>
              <w:rPr>
                <w:sz w:val="18"/>
                <w:szCs w:val="18"/>
                <w:color w:val="auto"/>
              </w:rPr>
            </w:pPr>
          </w:p>
        </w:tc>
        <w:tc>
          <w:tcPr>
            <w:tcW w:w="1200" w:type="dxa"/>
            <w:vAlign w:val="bottom"/>
          </w:tcPr>
          <w:p>
            <w:pPr>
              <w:jc w:val="right"/>
              <w:ind w:right="371"/>
              <w:spacing w:after="0"/>
              <w:rPr>
                <w:sz w:val="20"/>
                <w:szCs w:val="20"/>
                <w:color w:val="auto"/>
              </w:rPr>
            </w:pPr>
            <w:r>
              <w:rPr>
                <w:rFonts w:ascii="Arial" w:cs="Arial" w:eastAsia="Arial" w:hAnsi="Arial"/>
                <w:sz w:val="16"/>
                <w:szCs w:val="16"/>
                <w:b w:val="1"/>
                <w:bCs w:val="1"/>
                <w:color w:val="auto"/>
              </w:rPr>
              <w:t>June 29,</w:t>
            </w:r>
          </w:p>
        </w:tc>
      </w:tr>
      <w:tr>
        <w:trPr>
          <w:trHeight w:val="210"/>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5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r>
      <w:tr>
        <w:trPr>
          <w:trHeight w:val="33"/>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6,791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6,021</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Reconciliation to cash flows: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2,984</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Loss (gain) from property disposals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operating accounts providing (using) cash:</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140"/>
              <w:spacing w:after="0"/>
              <w:rPr>
                <w:sz w:val="20"/>
                <w:szCs w:val="20"/>
                <w:color w:val="auto"/>
              </w:rPr>
            </w:pPr>
            <w:r>
              <w:rPr>
                <w:rFonts w:ascii="Arial" w:cs="Arial" w:eastAsia="Arial" w:hAnsi="Arial"/>
                <w:sz w:val="18"/>
                <w:szCs w:val="18"/>
                <w:color w:val="auto"/>
              </w:rPr>
              <w:t>Trade receivables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(1,971)</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(8,129)</w:t>
            </w:r>
          </w:p>
        </w:tc>
      </w:tr>
      <w:tr>
        <w:trPr>
          <w:trHeight w:val="243"/>
        </w:trPr>
        <w:tc>
          <w:tcPr>
            <w:tcW w:w="824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3,763</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r>
      <w:tr>
        <w:trPr>
          <w:trHeight w:val="243"/>
        </w:trPr>
        <w:tc>
          <w:tcPr>
            <w:tcW w:w="8240" w:type="dxa"/>
            <w:vAlign w:val="bottom"/>
          </w:tcPr>
          <w:p>
            <w:pPr>
              <w:ind w:left="114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w:t>
            </w:r>
          </w:p>
        </w:tc>
      </w:tr>
      <w:tr>
        <w:trPr>
          <w:trHeight w:val="237"/>
        </w:trPr>
        <w:tc>
          <w:tcPr>
            <w:tcW w:w="8240" w:type="dxa"/>
            <w:vAlign w:val="bottom"/>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1,424</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Purchases of property, plant, and equipment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(3,298)</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(8,798)</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Sale and maturities of investments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3,960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4,520</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37"/>
        </w:trPr>
        <w:tc>
          <w:tcPr>
            <w:tcW w:w="8240" w:type="dxa"/>
            <w:vAlign w:val="bottom"/>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(7,558)</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Cash dividends paid</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(3,823)</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surrendered for payroll taxes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Shares repurchased</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(1,431)</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(5,549)</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(11,683)</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33,486</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18,071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21,803</w:t>
            </w:r>
          </w:p>
        </w:tc>
      </w:tr>
      <w:tr>
        <w:trPr>
          <w:trHeight w:val="67"/>
        </w:trPr>
        <w:tc>
          <w:tcPr>
            <w:tcW w:w="82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305"/>
        </w:trPr>
        <w:tc>
          <w:tcPr>
            <w:tcW w:w="8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income taxes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4,325</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Noncash investing activities - Capital expenditures in 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185</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Annual Report on Form 10-K for the fiscal year ended March 29, 2015,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w:t>
      </w:r>
    </w:p>
    <w:p>
      <w:pPr>
        <w:spacing w:after="0" w:line="11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accounting policies we follow are set forth in “Item 8. Financial Statements and Supplementary Data, Note 1 – Nature of Business and Significant Accounting Policies” to our consolidated financial statements in our Annual Report on Form 10-K for the fiscal year ended March 29, 2015, filed with the SEC on May 28, 2015. There has been no significant change in our accounting policies since the end of fiscal 2015.</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the three months ended June 28, 2015 are not necessarily indicative of the results that may be expected for the full year.</w:t>
      </w:r>
    </w:p>
    <w:p>
      <w:pPr>
        <w:spacing w:after="0" w:line="183"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References to fiscal 2015 refer to the fiscal year ended March 29, 2015 and references to fiscal 2016 refer to the fiscal year ending April 3, 2016. As compared to our normal 52-week fiscal years, fiscal 2016 will be a 53-week year, with the extra week to be recorded in our fourth quarter’s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May 2014, the Financial Accounting Standards Board issued new accounting requirements for recognition of revenue from contracts with customers. The requirements of the new standard will be effective for annual reporting periods beginning after December 15, 2017 (our fiscal year ending March 31, 2019), and interim periods within those annual periods. We are currently evaluating the impact of this accounting pronouncement on our results of operations and financial position.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Share</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Basic earnings per share (“EPS”) are computed by dividing net earnings by the weighted-average number of common shares outstanding. 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12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8120" w:type="dxa"/>
            <w:vAlign w:val="bottom"/>
          </w:tcPr>
          <w:p>
            <w:pPr>
              <w:spacing w:after="0"/>
              <w:rPr>
                <w:sz w:val="18"/>
                <w:szCs w:val="18"/>
                <w:color w:val="auto"/>
              </w:rPr>
            </w:pPr>
          </w:p>
        </w:tc>
        <w:tc>
          <w:tcPr>
            <w:tcW w:w="1720" w:type="dxa"/>
            <w:vAlign w:val="bottom"/>
            <w:gridSpan w:val="2"/>
          </w:tcPr>
          <w:p>
            <w:pPr>
              <w:ind w:left="460"/>
              <w:spacing w:after="0"/>
              <w:rPr>
                <w:sz w:val="20"/>
                <w:szCs w:val="20"/>
                <w:color w:val="auto"/>
              </w:rPr>
            </w:pPr>
            <w:r>
              <w:rPr>
                <w:rFonts w:ascii="Arial" w:cs="Arial" w:eastAsia="Arial" w:hAnsi="Arial"/>
                <w:sz w:val="18"/>
                <w:szCs w:val="18"/>
                <w:b w:val="1"/>
                <w:bCs w:val="1"/>
                <w:color w:val="auto"/>
              </w:rPr>
              <w:t>June 28,</w:t>
            </w:r>
          </w:p>
        </w:tc>
        <w:tc>
          <w:tcPr>
            <w:tcW w:w="158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29,</w:t>
            </w:r>
          </w:p>
        </w:tc>
      </w:tr>
      <w:tr>
        <w:trPr>
          <w:trHeight w:val="234"/>
        </w:trPr>
        <w:tc>
          <w:tcPr>
            <w:tcW w:w="8120" w:type="dxa"/>
            <w:vAlign w:val="bottom"/>
          </w:tcPr>
          <w:p>
            <w:pPr>
              <w:spacing w:after="0"/>
              <w:rPr>
                <w:sz w:val="20"/>
                <w:szCs w:val="20"/>
                <w:color w:val="auto"/>
              </w:rPr>
            </w:pPr>
          </w:p>
        </w:tc>
        <w:tc>
          <w:tcPr>
            <w:tcW w:w="16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7"/>
        </w:trPr>
        <w:tc>
          <w:tcPr>
            <w:tcW w:w="8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outstanding—basic</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10,580,542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10,570,041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Dilutive impact of stock options, performance units, and restricted stock</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47,867</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43,697</w:t>
            </w:r>
          </w:p>
        </w:tc>
      </w:tr>
      <w:tr>
        <w:trPr>
          <w:trHeight w:val="27"/>
        </w:trPr>
        <w:tc>
          <w:tcPr>
            <w:tcW w:w="8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outstanding—diluted</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10,628,409</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10,613,738</w:t>
            </w:r>
          </w:p>
        </w:tc>
      </w:tr>
      <w:tr>
        <w:trPr>
          <w:trHeight w:val="20"/>
        </w:trPr>
        <w:tc>
          <w:tcPr>
            <w:tcW w:w="8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For the three months ended June 28, 2015 and June 29, 2014, there were no shares or stock options excluded from the calculation of weighted-average common shares for diluted EPS.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2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Acquisition of The Dumont Company, Inc.</w:t>
      </w:r>
      <w:r>
        <w:rPr>
          <w:rFonts w:ascii="Arial" w:cs="Arial" w:eastAsia="Arial" w:hAnsi="Arial"/>
          <w:sz w:val="18"/>
          <w:szCs w:val="18"/>
          <w:color w:val="auto"/>
        </w:rPr>
        <w:t>: In the third quarter of fiscal 2015, we acquired substantially all of the assets of The Dumont Company,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(“Dumont”) under the terms of an asset purchase agreement with Dumont and its shareholders. We paid $10.1 million in cash including a working capital adjustment in the third quarter of fiscal 2015, using available cash on hand to fund the acquisition. Dumont was a water treatment chemical distribution company with revenues of approximately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ind w:right="80"/>
        <w:spacing w:after="0" w:line="264" w:lineRule="auto"/>
        <w:rPr>
          <w:sz w:val="20"/>
          <w:szCs w:val="20"/>
          <w:color w:val="auto"/>
        </w:rPr>
      </w:pPr>
      <w:r>
        <w:rPr>
          <w:rFonts w:ascii="Arial" w:cs="Arial" w:eastAsia="Arial" w:hAnsi="Arial"/>
          <w:sz w:val="18"/>
          <w:szCs w:val="18"/>
          <w:color w:val="auto"/>
        </w:rPr>
        <w:t>$14 million in calendar year 2013. Through this acquisition we added seven operating locations across Florida. The results of operations since the acquisition date, and the assets, including the goodwill associated with this acquisition, are included in our Water Treatment segment. Costs associated with this transaction were not material to our company and were expensed as incurred.</w:t>
      </w:r>
    </w:p>
    <w:p>
      <w:pPr>
        <w:spacing w:after="0" w:line="1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acquisition has been accounted for under the acquisition method of accounting, under which the total purchase price is allocated to the net tangible and intangible assets of Dumont acquired in connection with the acquisition based on their estimated fair values. We estimated the fair values of the assets acquired and liabilities assumed using a discounted cash flow analysis (income approach). The following table summarizes the preliminary allocation of the purchase price to the fair values assigned to the assets acquired and liabilities assumed at the date of the Dumont acquisition: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9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Amount</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78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8980" w:type="dxa"/>
            <w:vAlign w:val="bottom"/>
            <w:gridSpan w:val="3"/>
          </w:tcPr>
          <w:p>
            <w:pPr>
              <w:ind w:left="4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1,358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4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859</w:t>
            </w:r>
          </w:p>
        </w:tc>
      </w:tr>
      <w:tr>
        <w:trPr>
          <w:trHeight w:val="243"/>
        </w:trPr>
        <w:tc>
          <w:tcPr>
            <w:tcW w:w="8980" w:type="dxa"/>
            <w:vAlign w:val="bottom"/>
            <w:gridSpan w:val="3"/>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159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w:t>
            </w:r>
          </w:p>
        </w:tc>
      </w:tr>
      <w:tr>
        <w:trPr>
          <w:trHeight w:val="243"/>
        </w:trPr>
        <w:tc>
          <w:tcPr>
            <w:tcW w:w="8980" w:type="dxa"/>
            <w:vAlign w:val="bottom"/>
            <w:gridSpan w:val="3"/>
          </w:tcPr>
          <w:p>
            <w:pPr>
              <w:ind w:left="40"/>
              <w:spacing w:after="0"/>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3,509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8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37"/>
        </w:trPr>
        <w:tc>
          <w:tcPr>
            <w:tcW w:w="40" w:type="dxa"/>
            <w:vAlign w:val="bottom"/>
          </w:tcPr>
          <w:p>
            <w:pPr>
              <w:spacing w:after="0"/>
              <w:rPr>
                <w:sz w:val="20"/>
                <w:szCs w:val="20"/>
                <w:color w:val="auto"/>
              </w:rPr>
            </w:pPr>
          </w:p>
        </w:tc>
        <w:tc>
          <w:tcPr>
            <w:tcW w:w="8940" w:type="dxa"/>
            <w:vAlign w:val="bottom"/>
            <w:gridSpan w:val="2"/>
          </w:tcPr>
          <w:p>
            <w:pPr>
              <w:ind w:left="180"/>
              <w:spacing w:after="0"/>
              <w:rPr>
                <w:sz w:val="20"/>
                <w:szCs w:val="20"/>
                <w:color w:val="auto"/>
              </w:rPr>
            </w:pPr>
            <w:r>
              <w:rPr>
                <w:rFonts w:ascii="Arial" w:cs="Arial" w:eastAsia="Arial" w:hAnsi="Arial"/>
                <w:sz w:val="18"/>
                <w:szCs w:val="18"/>
                <w:color w:val="auto"/>
              </w:rPr>
              <w:t>Net assets acquired</w:t>
            </w:r>
          </w:p>
        </w:tc>
        <w:tc>
          <w:tcPr>
            <w:tcW w:w="4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5,710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8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4,358</w:t>
            </w:r>
          </w:p>
        </w:tc>
      </w:tr>
      <w:tr>
        <w:trPr>
          <w:trHeight w:val="257"/>
        </w:trPr>
        <w:tc>
          <w:tcPr>
            <w:tcW w:w="8980" w:type="dxa"/>
            <w:vAlign w:val="bottom"/>
            <w:gridSpan w:val="3"/>
          </w:tcPr>
          <w:p>
            <w:pPr>
              <w:ind w:left="40"/>
              <w:spacing w:after="0"/>
              <w:rPr>
                <w:sz w:val="20"/>
                <w:szCs w:val="20"/>
                <w:color w:val="auto"/>
              </w:rPr>
            </w:pPr>
            <w:r>
              <w:rPr>
                <w:rFonts w:ascii="Arial" w:cs="Arial" w:eastAsia="Arial" w:hAnsi="Arial"/>
                <w:sz w:val="18"/>
                <w:szCs w:val="18"/>
                <w:color w:val="auto"/>
              </w:rPr>
              <w:t>Total purchase price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10,068</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goodwill recognized as a result of this acquisition is primarily attributable to strategic and synergistic benefits, as well as the assembled workforce. Such goodwill is expected to be deductible for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preliminary allocation of the purchase price to the assets acquired and liabilities assumed resulted in the recognition of the following intangible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Amount</w:t>
            </w:r>
          </w:p>
        </w:tc>
        <w:tc>
          <w:tcPr>
            <w:tcW w:w="2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Life (in years)</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1800" w:type="dxa"/>
            <w:vAlign w:val="bottom"/>
            <w:tcBorders>
              <w:top w:val="single" w:sz="8" w:color="CCEEFF"/>
            </w:tcBorders>
            <w:shd w:val="clear" w:color="auto" w:fill="000000"/>
          </w:tcPr>
          <w:p>
            <w:pPr>
              <w:spacing w:after="0" w:line="20" w:lineRule="exact"/>
              <w:rPr>
                <w:sz w:val="1"/>
                <w:szCs w:val="1"/>
                <w:color w:val="auto"/>
              </w:rPr>
            </w:pPr>
          </w:p>
        </w:tc>
        <w:tc>
          <w:tcPr>
            <w:tcW w:w="228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Customer relationships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2,810</w:t>
            </w:r>
          </w:p>
        </w:tc>
        <w:tc>
          <w:tcPr>
            <w:tcW w:w="2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3,509</w:t>
            </w:r>
          </w:p>
        </w:tc>
        <w:tc>
          <w:tcPr>
            <w:tcW w:w="22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9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Cash and Cash Equivalents and Investments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28,</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1"/>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48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2</w:t>
            </w: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18,071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18,071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Municipal bonds</w:t>
            </w:r>
          </w:p>
        </w:tc>
        <w:tc>
          <w:tcPr>
            <w:tcW w:w="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29,</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1"/>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48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2</w:t>
            </w: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18,639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18,639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Our financial assets that are measured at fair value on a recurring basis and fall within valuation technique Level 2 are certificates of deposit (“CDs”) and municipal bonds, with original maturities ranging from three months to three years. The CDs and municipal bonds are classified as investments in current assets and noncurrent assets on the condensed consolidated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ind w:right="400"/>
        <w:spacing w:after="0" w:line="264" w:lineRule="auto"/>
        <w:rPr>
          <w:sz w:val="20"/>
          <w:szCs w:val="20"/>
          <w:color w:val="auto"/>
        </w:rPr>
      </w:pPr>
      <w:r>
        <w:rPr>
          <w:rFonts w:ascii="Arial" w:cs="Arial" w:eastAsia="Arial" w:hAnsi="Arial"/>
          <w:sz w:val="18"/>
          <w:szCs w:val="18"/>
          <w:color w:val="auto"/>
        </w:rPr>
        <w:t>balance sheets. As of June 28, 2015, the combined CDs and municipal bonds had a fair value of $14.0 million in current assets and $16.1 million in noncurrent assets compared to CDs and municipal bonds with a fair value of $14.5 million in current assets and $17.2 million in noncurrent assets as of March 29, 2015.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June 28, 2015 and March 29, 2015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28,</w:t>
            </w:r>
          </w:p>
        </w:tc>
        <w:tc>
          <w:tcPr>
            <w:tcW w:w="24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29,</w:t>
            </w:r>
          </w:p>
        </w:tc>
      </w:tr>
      <w:tr>
        <w:trPr>
          <w:trHeight w:val="221"/>
        </w:trPr>
        <w:tc>
          <w:tcPr>
            <w:tcW w:w="80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9"/>
                <w:szCs w:val="19"/>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42,567</w:t>
            </w:r>
          </w:p>
        </w:tc>
      </w:tr>
      <w:tr>
        <w:trPr>
          <w:trHeight w:val="243"/>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LIFO reserve</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(5,539)</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37,028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$41.4 million at June 28, 2015 and $39.0 million at March 29, 2015. The remainder of the inventory was valued and accounted for under the FIFO method.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LIFO reserve changed nominally during the three months ended June 28, 2015, and increased $0.5 million during the three months ended June 29,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valuation of LIFO inventory for interim periods is based on our estimates of year-end inventory levels and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carrying amount of goodwill was $11.7 million as of June 28, 2015 and March 29,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A summary of our intangible assets as of June 28, 2015 and March 29, 2015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28, 2015</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March 29, 2015</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8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3"/>
                <w:szCs w:val="13"/>
                <w:color w:val="auto"/>
              </w:rPr>
            </w:pPr>
          </w:p>
        </w:tc>
        <w:tc>
          <w:tcPr>
            <w:tcW w:w="122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3"/>
                <w:szCs w:val="13"/>
                <w:color w:val="auto"/>
              </w:rPr>
            </w:pPr>
          </w:p>
        </w:tc>
        <w:tc>
          <w:tcPr>
            <w:tcW w:w="7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158"/>
        </w:trPr>
        <w:tc>
          <w:tcPr>
            <w:tcW w:w="38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3"/>
                <w:szCs w:val="13"/>
                <w:color w:val="auto"/>
              </w:rPr>
            </w:pPr>
          </w:p>
        </w:tc>
        <w:tc>
          <w:tcPr>
            <w:tcW w:w="12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122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9,948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8,111</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9,723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(1,697)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2,034</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(667)</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Trade secrets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962</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(896)</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Carrier relationships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(337)</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(336)</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9,843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13,860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(3,933)</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243"/>
        </w:trPr>
        <w:tc>
          <w:tcPr>
            <w:tcW w:w="3820" w:type="dxa"/>
            <w:vAlign w:val="bottom"/>
            <w:gridSpan w:val="3"/>
          </w:tcPr>
          <w:p>
            <w:pPr>
              <w:ind w:left="4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1,227</w:t>
            </w:r>
          </w:p>
        </w:tc>
        <w:tc>
          <w:tcPr>
            <w:tcW w:w="26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11,070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15,087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(3,933)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Accumulated Other Comprehensive Income (Loss)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income (loss) on our consolidated balance sheet, net of tax, are as follows:</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28,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29,</w:t>
            </w:r>
          </w:p>
        </w:tc>
      </w:tr>
      <w:tr>
        <w:trPr>
          <w:trHeight w:val="221"/>
        </w:trPr>
        <w:tc>
          <w:tcPr>
            <w:tcW w:w="75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7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Unrealized gain (loss) on:</w:t>
            </w:r>
          </w:p>
        </w:tc>
        <w:tc>
          <w:tcPr>
            <w:tcW w:w="1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80" w:type="dxa"/>
            <w:vAlign w:val="bottom"/>
            <w:gridSpan w:val="2"/>
          </w:tcPr>
          <w:p>
            <w:pPr>
              <w:ind w:left="340"/>
              <w:spacing w:after="0"/>
              <w:rPr>
                <w:sz w:val="20"/>
                <w:szCs w:val="20"/>
                <w:color w:val="auto"/>
              </w:rPr>
            </w:pPr>
            <w:r>
              <w:rPr>
                <w:rFonts w:ascii="Arial" w:cs="Arial" w:eastAsia="Arial" w:hAnsi="Arial"/>
                <w:sz w:val="18"/>
                <w:szCs w:val="18"/>
                <w:color w:val="auto"/>
              </w:rPr>
              <w:t>Available-for-sale investments</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Post-retirement plan liability</w:t>
            </w:r>
          </w:p>
        </w:tc>
        <w:tc>
          <w:tcPr>
            <w:tcW w:w="12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7520" w:type="dxa"/>
            <w:vAlign w:val="bottom"/>
            <w:gridSpan w:val="3"/>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1240" w:type="dxa"/>
            <w:vAlign w:val="bottom"/>
            <w:tcBorders>
              <w:top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17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i w:val="1"/>
          <w:iCs w:val="1"/>
          <w:color w:val="auto"/>
        </w:rPr>
        <w:t xml:space="preserve">Performance-Based Restricted Stock Units. </w:t>
      </w:r>
      <w:r>
        <w:rPr>
          <w:rFonts w:ascii="Arial" w:cs="Arial" w:eastAsia="Arial" w:hAnsi="Arial"/>
          <w:sz w:val="16"/>
          <w:szCs w:val="16"/>
          <w:color w:val="auto"/>
        </w:rPr>
        <w:t>Our Board of Directors (the “Board”) approved a performance-based equity compensation arrangement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during the first quarters of each of fiscal 2016 and 2015.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w:t>
      </w:r>
    </w:p>
    <w:p>
      <w:pPr>
        <w:sectPr>
          <w:pgSz w:w="11900" w:h="16838" w:orient="portrait"/>
          <w:cols w:equalWidth="0" w:num="1">
            <w:col w:w="11320"/>
          </w:cols>
          <w:pgMar w:left="240" w:top="746" w:right="339" w:bottom="1440" w:gutter="0" w:footer="0" w:header="0"/>
        </w:sectPr>
      </w:pP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20"/>
          </w:cols>
          <w:pgMar w:left="240" w:top="746" w:right="339" w:bottom="1440" w:gutter="0" w:footer="0" w:header="0"/>
          <w:type w:val="continuous"/>
        </w:sectPr>
      </w:pPr>
    </w:p>
    <w:bookmarkStart w:id="9" w:name="page10"/>
    <w:bookmarkEnd w:id="9"/>
    <w:p>
      <w:pPr>
        <w:jc w:val="both"/>
        <w:ind w:right="300"/>
        <w:spacing w:after="0" w:line="264" w:lineRule="auto"/>
        <w:rPr>
          <w:sz w:val="20"/>
          <w:szCs w:val="20"/>
          <w:color w:val="auto"/>
        </w:rPr>
      </w:pPr>
      <w:r>
        <w:rPr>
          <w:rFonts w:ascii="Arial" w:cs="Arial" w:eastAsia="Arial" w:hAnsi="Arial"/>
          <w:sz w:val="18"/>
          <w:szCs w:val="18"/>
          <w:color w:val="auto"/>
        </w:rPr>
        <w:t>becomes available after the applicable fiscal year and will be between zero shares and 44,446 shares in the aggregate for fiscal 2016. The restricted shares issued will fully vest two years after the last day of the fiscal year on which the performance is based. We are recording the compensation expense for the outstanding performance share units and the converted restricted stock over the life of the awards.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three months ended June 28, 2015:</w:t>
      </w:r>
    </w:p>
    <w:p>
      <w:pPr>
        <w:spacing w:after="0" w:line="15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4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center"/>
              <w:ind w:right="158"/>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53,580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37,309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62,241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We recorded compensation expense of $0.3 million related to performance share units and restricted stock for the three months ended June 28, 2015 and June 29, 2014. Substantially all of the compensation expense was recorded in selling, general and administrative expenses in the condensed consolidated statements of income.</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As part of their retainer, each non-employee director receives an annual grant of restricted stock for their Board services.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awards are expensed over the requisite vesting period, which is one year from the date of issuance, based on the market value on the date of grant. As of June 28, 2015, there were 7,077 shares of restricted stock with a weighted averaged grant date fair value of $34.61 outstanding under this program. Compensation expense for the three months ended June 28, 2015 and June 29, 2014 related to restricted stock awards to the Board was $0.1 million.</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Stock Option Awards. </w:t>
      </w:r>
      <w:r>
        <w:rPr>
          <w:rFonts w:ascii="Arial" w:cs="Arial" w:eastAsia="Arial" w:hAnsi="Arial"/>
          <w:sz w:val="18"/>
          <w:szCs w:val="18"/>
          <w:color w:val="auto"/>
        </w:rPr>
        <w:t>The Board previously approved a long-term incentive equity compensation arrangement for our executive officers that provided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of non-qualified stock options that vested at the end of a three-year period. No stock options have been granted since our fiscal year ended March 28, 2010. During fiscal 2015, 9,333 options were exercised with an exercise price of $19.90. No expense was recorded in fiscal 2015 or fiscal 2016 related to the value of stock options.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 Repurchase Program</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On May 29, 2014, our Board authorized a share repurchase program of up to 300,000 shares of our outstanding common shares. Under the program, we are authorized to repurchase shares for cash on the open market or in privately negotiated transactions subject to applicable securities laws and regulations. Upon repurchase of the shares, we reduced our common stock for the par value of the shares with the excess applied against additional paid-in capital.</w:t>
      </w:r>
    </w:p>
    <w:p>
      <w:pPr>
        <w:spacing w:after="0" w:line="14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the first quarter of fiscal 2016, we repurchased 13,850 shares of common stock with an aggregate purchase price of $0.6 million. During fiscal 2015, we repurchased 59,602 shares at an aggregate purchase price of $2.2 million, of which 39,170 shares with an aggregate purchase price of $1.4 million were repurchased during the first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Litigation, Commitments and Contingencies</w:t>
      </w:r>
    </w:p>
    <w:p>
      <w:pPr>
        <w:spacing w:after="0" w:line="225" w:lineRule="exact"/>
        <w:rPr>
          <w:sz w:val="20"/>
          <w:szCs w:val="20"/>
          <w:color w:val="auto"/>
        </w:rPr>
      </w:pPr>
    </w:p>
    <w:p>
      <w:pPr>
        <w:ind w:right="380"/>
        <w:spacing w:after="0" w:line="313"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are no material pending legal proceedings, other than ordinary routine litigation incidental to the business, to which we or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are a party or of which any of our property is the subject. Legal fees associated with such matters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746"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11 – Segment Information</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two reportable segments: Industrial and Water Treatment. The accounting policies of the segments are the same as those described in the summary of significant accounting policies as disclosed in our fiscal 2015 Annual Report on Form 10-K.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the nature of our business, it is not practical to disclose revenues from external customers for each product or each group of similar products. No single customer’s revenues amounted to 10% or more of our total revenue. Sales outside of the United States are immaterial and all assets are located within the United States.</w:t>
      </w:r>
    </w:p>
    <w:p>
      <w:pPr>
        <w:spacing w:after="0" w:line="297"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Water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1"/>
        </w:trPr>
        <w:tc>
          <w:tcPr>
            <w:tcW w:w="43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4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Three months ended June 28, 2015:</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20" w:type="dxa"/>
            <w:vAlign w:val="bottom"/>
            <w:gridSpan w:val="2"/>
          </w:tcPr>
          <w:p>
            <w:pPr>
              <w:ind w:left="360"/>
              <w:spacing w:after="0"/>
              <w:rPr>
                <w:sz w:val="20"/>
                <w:szCs w:val="20"/>
                <w:color w:val="auto"/>
              </w:rPr>
            </w:pPr>
            <w:r>
              <w:rPr>
                <w:rFonts w:ascii="Arial" w:cs="Arial" w:eastAsia="Arial" w:hAnsi="Arial"/>
                <w:sz w:val="18"/>
                <w:szCs w:val="18"/>
                <w:color w:val="auto"/>
              </w:rPr>
              <w:t>Sales</w:t>
            </w: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67,588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33,908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101,496</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20,735</w:t>
            </w:r>
          </w:p>
        </w:tc>
      </w:tr>
      <w:tr>
        <w:trPr>
          <w:trHeight w:val="243"/>
        </w:trPr>
        <w:tc>
          <w:tcPr>
            <w:tcW w:w="20" w:type="dxa"/>
            <w:vAlign w:val="bottom"/>
          </w:tcPr>
          <w:p>
            <w:pPr>
              <w:spacing w:after="0"/>
              <w:rPr>
                <w:sz w:val="21"/>
                <w:szCs w:val="21"/>
                <w:color w:val="auto"/>
              </w:rPr>
            </w:pPr>
          </w:p>
        </w:tc>
        <w:tc>
          <w:tcPr>
            <w:tcW w:w="432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9,891</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10,844</w:t>
            </w:r>
          </w:p>
        </w:tc>
      </w:tr>
      <w:tr>
        <w:trPr>
          <w:trHeight w:val="243"/>
        </w:trPr>
        <w:tc>
          <w:tcPr>
            <w:tcW w:w="4340" w:type="dxa"/>
            <w:vAlign w:val="bottom"/>
            <w:gridSpan w:val="3"/>
          </w:tcPr>
          <w:p>
            <w:pPr>
              <w:ind w:left="20"/>
              <w:spacing w:after="0"/>
              <w:rPr>
                <w:sz w:val="20"/>
                <w:szCs w:val="20"/>
                <w:color w:val="auto"/>
              </w:rPr>
            </w:pPr>
            <w:r>
              <w:rPr>
                <w:rFonts w:ascii="Arial" w:cs="Arial" w:eastAsia="Arial" w:hAnsi="Arial"/>
                <w:sz w:val="18"/>
                <w:szCs w:val="18"/>
                <w:color w:val="auto"/>
              </w:rPr>
              <w:t>Three months ended June 29, 2014:</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98,036</w:t>
            </w:r>
          </w:p>
        </w:tc>
      </w:tr>
      <w:tr>
        <w:trPr>
          <w:trHeight w:val="243"/>
        </w:trPr>
        <w:tc>
          <w:tcPr>
            <w:tcW w:w="20" w:type="dxa"/>
            <w:vAlign w:val="bottom"/>
          </w:tcPr>
          <w:p>
            <w:pPr>
              <w:spacing w:after="0"/>
              <w:rPr>
                <w:sz w:val="21"/>
                <w:szCs w:val="21"/>
                <w:color w:val="auto"/>
              </w:rPr>
            </w:pPr>
          </w:p>
        </w:tc>
        <w:tc>
          <w:tcPr>
            <w:tcW w:w="4320" w:type="dxa"/>
            <w:vAlign w:val="bottom"/>
            <w:gridSpan w:val="2"/>
          </w:tcPr>
          <w:p>
            <w:pPr>
              <w:ind w:left="360"/>
              <w:spacing w:after="0"/>
              <w:rPr>
                <w:sz w:val="20"/>
                <w:szCs w:val="20"/>
                <w:color w:val="auto"/>
              </w:rPr>
            </w:pPr>
            <w:r>
              <w:rPr>
                <w:rFonts w:ascii="Arial" w:cs="Arial" w:eastAsia="Arial" w:hAnsi="Arial"/>
                <w:sz w:val="18"/>
                <w:szCs w:val="18"/>
                <w:color w:val="auto"/>
              </w:rPr>
              <w:t>Gross profit</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9,361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18,496</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8,875</w:t>
            </w:r>
          </w:p>
        </w:tc>
      </w:tr>
      <w:tr>
        <w:trPr>
          <w:trHeight w:val="243"/>
        </w:trPr>
        <w:tc>
          <w:tcPr>
            <w:tcW w:w="20" w:type="dxa"/>
            <w:vAlign w:val="bottom"/>
          </w:tcPr>
          <w:p>
            <w:pPr>
              <w:spacing w:after="0"/>
              <w:rPr>
                <w:sz w:val="21"/>
                <w:szCs w:val="21"/>
                <w:color w:val="auto"/>
              </w:rPr>
            </w:pPr>
          </w:p>
        </w:tc>
        <w:tc>
          <w:tcPr>
            <w:tcW w:w="4320" w:type="dxa"/>
            <w:vAlign w:val="bottom"/>
            <w:gridSpan w:val="2"/>
          </w:tcPr>
          <w:p>
            <w:pPr>
              <w:ind w:left="360"/>
              <w:spacing w:after="0"/>
              <w:rPr>
                <w:sz w:val="20"/>
                <w:szCs w:val="20"/>
                <w:color w:val="auto"/>
              </w:rPr>
            </w:pPr>
            <w:r>
              <w:rPr>
                <w:rFonts w:ascii="Arial" w:cs="Arial" w:eastAsia="Arial" w:hAnsi="Arial"/>
                <w:sz w:val="18"/>
                <w:szCs w:val="18"/>
                <w:color w:val="auto"/>
              </w:rPr>
              <w:t>Operating income</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9,621</w:t>
            </w:r>
          </w:p>
        </w:tc>
      </w:tr>
      <w:tr>
        <w:trPr>
          <w:trHeight w:val="48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00" w:type="dxa"/>
            <w:vAlign w:val="bottom"/>
          </w:tcPr>
          <w:p>
            <w:pPr>
              <w:jc w:val="right"/>
              <w:ind w:right="77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823" w:right="239" w:bottom="1440" w:gutter="0" w:footer="0" w:header="0"/>
        </w:sectPr>
      </w:pPr>
    </w:p>
    <w:bookmarkStart w:id="11" w:name="page12"/>
    <w:bookmarkEnd w:id="11"/>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0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the three months ended June 28, 2015 as compared to June 29, 2014. This discussion should be read in conjunction with the Condensed Consolidated Financial Statements and Notes to Condensed Consolidated Financial Statements included in this Form 10-Q and Item 8 of our Annual Report on Form 10-K for the fiscal year ended March 29, 2015 (“fiscal 2015”). References to fiscal 2016 refer to the fiscal year ending April 3, 2016.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derive substantially all of our revenues from the sale of chemicals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products, including manufacturing, blending, and repackaging certain products.</w:t>
      </w:r>
    </w:p>
    <w:p>
      <w:pPr>
        <w:spacing w:after="0" w:line="22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third quarter of fiscal 2015, we acquired substantially all of the assets of The Dumont Company, Inc. (“Dumont”) under the terms of an asset purchase agreement with Dumont and its shareholders. We paid $10.1 million in cash including a working capital adjustment, using available cash on hand to fund the acquisition. Dumont was a water treatment chemical distribution company with revenues of approximately $14.0 million in calendar year 2013. Through this acquisition we added seven operating locations across Florida serving municipal water and wastewater treatment, private utilities, commercial swimming pools, irrigation water treatment and food processing chemical markets. The results of operations since the acquisition date are included in our Water Treatment Segment.</w:t>
      </w:r>
    </w:p>
    <w:p>
      <w:pPr>
        <w:spacing w:after="0" w:line="193"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In the first quarter of fiscal 2015, our Board of Directors authorized a share repurchase program of up to 300,000 shares of our outstanding common stock. The shares may be repurchased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Since the inception of this program, we have repurchased 73,452 shares for an aggregate purchase price of $2.8 million.</w:t>
      </w:r>
    </w:p>
    <w:p>
      <w:pPr>
        <w:spacing w:after="0" w:line="15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We use the last in, first out (“LIFO”) method for valuing substantially all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We recorded a nominal increase in our LIFO reserve for the three months ended June 28, 2015 and a $0.5 million increase in our LIFO reserve for the three months ended June 29, 2014, decreasing our reported gross profit for these periods.</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disclose the sales of our bulk commodity products as a percentage of total sales dollars.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 The disclosures in this document referring to sales of bulk commodity products have been updated for all periods presented based on the most recent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584"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35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420" w:type="dxa"/>
            <w:vAlign w:val="bottom"/>
            <w:gridSpan w:val="4"/>
          </w:tcPr>
          <w:p>
            <w:pPr>
              <w:ind w:left="88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32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700" w:type="dxa"/>
            <w:vAlign w:val="bottom"/>
            <w:gridSpan w:val="2"/>
          </w:tcPr>
          <w:p>
            <w:pPr>
              <w:ind w:left="280"/>
              <w:spacing w:after="0"/>
              <w:rPr>
                <w:sz w:val="20"/>
                <w:szCs w:val="20"/>
                <w:color w:val="auto"/>
              </w:rPr>
            </w:pPr>
            <w:r>
              <w:rPr>
                <w:rFonts w:ascii="Arial" w:cs="Arial" w:eastAsia="Arial" w:hAnsi="Arial"/>
                <w:sz w:val="18"/>
                <w:szCs w:val="18"/>
                <w:b w:val="1"/>
                <w:bCs w:val="1"/>
                <w:color w:val="auto"/>
              </w:rPr>
              <w:t>June 28, 2015</w:t>
            </w:r>
          </w:p>
        </w:tc>
        <w:tc>
          <w:tcPr>
            <w:tcW w:w="1720" w:type="dxa"/>
            <w:vAlign w:val="bottom"/>
            <w:gridSpan w:val="2"/>
          </w:tcPr>
          <w:p>
            <w:pPr>
              <w:ind w:left="280"/>
              <w:spacing w:after="0"/>
              <w:rPr>
                <w:sz w:val="20"/>
                <w:szCs w:val="20"/>
                <w:color w:val="auto"/>
              </w:rPr>
            </w:pPr>
            <w:r>
              <w:rPr>
                <w:rFonts w:ascii="Arial" w:cs="Arial" w:eastAsia="Arial" w:hAnsi="Arial"/>
                <w:sz w:val="18"/>
                <w:szCs w:val="18"/>
                <w:b w:val="1"/>
                <w:bCs w:val="1"/>
                <w:color w:val="auto"/>
              </w:rPr>
              <w:t>June 29, 2014</w:t>
            </w:r>
          </w:p>
        </w:tc>
      </w:tr>
      <w:tr>
        <w:trPr>
          <w:trHeight w:val="27"/>
        </w:trPr>
        <w:tc>
          <w:tcPr>
            <w:tcW w:w="73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1700" w:type="dxa"/>
            <w:vAlign w:val="bottom"/>
            <w:gridSpan w:val="2"/>
          </w:tcPr>
          <w:p>
            <w:pPr>
              <w:ind w:left="1180"/>
              <w:spacing w:after="0"/>
              <w:rPr>
                <w:sz w:val="20"/>
                <w:szCs w:val="20"/>
                <w:color w:val="auto"/>
              </w:rPr>
            </w:pPr>
            <w:r>
              <w:rPr>
                <w:rFonts w:ascii="Arial" w:cs="Arial" w:eastAsia="Arial" w:hAnsi="Arial"/>
                <w:sz w:val="18"/>
                <w:szCs w:val="18"/>
                <w:color w:val="auto"/>
              </w:rPr>
              <w:t>— %</w:t>
            </w:r>
          </w:p>
        </w:tc>
        <w:tc>
          <w:tcPr>
            <w:tcW w:w="1720" w:type="dxa"/>
            <w:vAlign w:val="bottom"/>
            <w:gridSpan w:val="2"/>
          </w:tcPr>
          <w:p>
            <w:pPr>
              <w:ind w:left="1200"/>
              <w:spacing w:after="0"/>
              <w:rPr>
                <w:sz w:val="20"/>
                <w:szCs w:val="20"/>
                <w:color w:val="auto"/>
              </w:rPr>
            </w:pPr>
            <w:r>
              <w:rPr>
                <w:rFonts w:ascii="Arial" w:cs="Arial" w:eastAsia="Arial" w:hAnsi="Arial"/>
                <w:sz w:val="18"/>
                <w:szCs w:val="18"/>
                <w:color w:val="auto"/>
              </w:rPr>
              <w:t>— %</w:t>
            </w:r>
          </w:p>
        </w:tc>
      </w:tr>
      <w:tr>
        <w:trPr>
          <w:trHeight w:val="27"/>
        </w:trPr>
        <w:tc>
          <w:tcPr>
            <w:tcW w:w="73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4700"/>
        <w:spacing w:after="0" w:line="438" w:lineRule="auto"/>
        <w:rPr>
          <w:sz w:val="20"/>
          <w:szCs w:val="20"/>
          <w:color w:val="auto"/>
        </w:rPr>
      </w:pPr>
      <w:r>
        <w:rPr>
          <w:rFonts w:ascii="Arial" w:cs="Arial" w:eastAsia="Arial" w:hAnsi="Arial"/>
          <w:sz w:val="18"/>
          <w:szCs w:val="18"/>
          <w:b w:val="1"/>
          <w:bCs w:val="1"/>
          <w:i w:val="1"/>
          <w:iCs w:val="1"/>
          <w:color w:val="auto"/>
        </w:rPr>
        <w:t xml:space="preserve">Three Months Ended June 28, 2015 Compared to the Three Months Ended June 29, 2014 </w:t>
      </w:r>
      <w:r>
        <w:rPr>
          <w:rFonts w:ascii="Arial" w:cs="Arial" w:eastAsia="Arial" w:hAnsi="Arial"/>
          <w:sz w:val="18"/>
          <w:szCs w:val="18"/>
          <w:i w:val="1"/>
          <w:iCs w:val="1"/>
          <w:color w:val="auto"/>
        </w:rPr>
        <w:t>Sales</w:t>
      </w:r>
    </w:p>
    <w:p>
      <w:pPr>
        <w:spacing w:after="0" w:line="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Sales increased $3.5 million, or 3.5%, to $101.5 million for the three months ended June 28, 2015, as compared to $98.0 million for the same period of the prior year. Sales of bulk commodity products accounted for approximately 19% of sales dollars for the three-month period ended June 28, 2015 compared to 21% during the same period of the prior year.</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Industrial segment sales were $67.6 million for the three-month periods ended June 28, 2015 and $67.5 million for the same period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prior year. Our volumes decreased from the same period a year ago due to lower sales of certain bulk commodity products at select accounts, while a shift in product mix increased sales of products that have higher per-unit selling prices, keeping revenues relatively flat.</w:t>
      </w:r>
    </w:p>
    <w:p>
      <w:pPr>
        <w:spacing w:after="0" w:line="11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Water Treatment segment sales increased $3.4 million, or 11.2%, to $33.9 million, as compared to $30.5 million for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of the prior year. Sales at our Florida locations which were acquired in the third quarter of fiscal 2015 were $4.2 million. This increase was partially offset by lower sales of bulk commodity products at certain of our existing branches and lower equipment project revenues.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Gross profit was $20.7 million, or 20.4% of sales, for the three months ended June 28, 2015, an increase of 11.9% from $18.5 million, or 18.9% of sales, for the same period of the prior year. The LIFO method of valuing inventory had a nominal impact on gross profit for the period ended June 28, 2015 and decreased gross profit by $0.5 million for the period ended June 29, 2014.</w:t>
      </w:r>
    </w:p>
    <w:p>
      <w:pPr>
        <w:spacing w:after="0" w:line="12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increased $1.4 million to $10.7 million, or 15.9% of sales, for the three months ended June 28,</w:t>
      </w:r>
      <w:r>
        <w:rPr>
          <w:rFonts w:ascii="Arial" w:cs="Arial" w:eastAsia="Arial" w:hAnsi="Arial"/>
          <w:sz w:val="16"/>
          <w:szCs w:val="16"/>
          <w:i w:val="1"/>
          <w:iCs w:val="1"/>
          <w:color w:val="auto"/>
        </w:rPr>
        <w:t xml:space="preserve"> </w:t>
      </w:r>
      <w:r>
        <w:rPr>
          <w:rFonts w:ascii="Arial" w:cs="Arial" w:eastAsia="Arial" w:hAnsi="Arial"/>
          <w:sz w:val="16"/>
          <w:szCs w:val="16"/>
          <w:color w:val="auto"/>
        </w:rPr>
        <w:t>2015, as compared to $9.4 million, or 13.9% of sales, for the same period of the prior year. While total volumes decreased year-over-year, the increase in gross profit primarily resulted from increased sales of certain products that generate higher per-unit margins. The LIFO method of valuing inventory had a nominal impact on gross profit in the first quarter of the current year but decreased gross profit by $0.4 million in the prior year.</w:t>
      </w:r>
    </w:p>
    <w:p>
      <w:pPr>
        <w:spacing w:after="0" w:line="10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$0.9 million to $10.0 million, or 29.6% of sales,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28, 2015, as compared to $9.1 million, or 30.0% of sales, for the same period of the prior year. The increase in gross profit dollars was driven by profits from our Florida locations. The LIFO method of valuing inventory had a nominal impact on gross profit in the first quarter of the current year but decreased gross profit by $0.1 million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800"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Selling, general and administrative expenses were $9.9 million, or 9.7% of sales, for the three months ended June 28, 2015, as compared to $8.9 million, or 9.1% of sales, for the same period of the prior year. The expenses increased primarily in our Water Treatment segment, driven by our Florida locations and the addition of sales personnel in other locations.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Operating income was $10.8 million for the three months ended June 28, 2015, as compared to $9.6 million for the same period of the prior year. Operating income for the Industrial segment increased $1.3 million due to the increase in gross profit discussed above. Operating income for the Water Treatment segment was flat as the increase in gross profit was offset by higher selling, general and administrative expenses.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effective income tax rate was 37.5% for each of the three-month periods ended June 28, 2015 and June 29, 2014. The effective tax rate is impacted by projected levels of annual taxable income, permanent items, and state taxes.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Cash provided by operating activities for the three months ended June 28, 2015 was $7.9 million compared to $1.4 million for the same period of the prior year. The increase in cash provided by operating activities was primarily due to the timing of inventory purchases. Our inventory levels on hand at the end of fiscal 2014 were unusually low, which resulted in significant cash expended to rebuild inventory levels in the first quarter of fiscal 2015.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as the majority of barges are received during this period. Additionally, due to the seasonality of the water treatment business, our accounts receivable balance is generally higher during the period of April through September.</w:t>
      </w:r>
    </w:p>
    <w:p>
      <w:pPr>
        <w:spacing w:after="0" w:line="124"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Capital expenditures were $5.2 million for the three months ended June 28, 2015, as compared to $3.3 million in the same period of the prior fiscal year. Included in capital expenditures for the first three months of fiscal 2016 was approximately $2.8 million related to facility improvements, replacement equipment, new and replacement containers, and water treatment trucks and $1.2 million related to business expansion, inventory storage and process improvement.</w:t>
      </w:r>
    </w:p>
    <w:p>
      <w:pPr>
        <w:spacing w:after="0" w:line="13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Cash used in financing activities was $5.0 million for the three months ended June 28, 2015, as compared to $5.5 million in the same period of the prior fiscal year. The decrease in the current year use of cash was due to $0.9 million fewer common stock repurchases partially offset by higher cash dividends paid.</w:t>
      </w:r>
    </w:p>
    <w:p>
      <w:pPr>
        <w:spacing w:after="0" w:line="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Cash and investments were $48.1 million at June 28, 2015, a decrease of $2.3 million as compared with the $50.4 million available as of March 29, 2015, due to cash outflows related to capital expenditures, dividend payments and the share repurchase program described above exceeding the cash flows generated from operations during the three months ended June 28, 2015.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our cash balances and cash flows from operations will be sufficient to fund our cash requirements including acquisitions or other strategic relationships for the foreseeable future. We periodically evaluate opportunities to borrow funds or sell additional equity or debt securities for strategic reasons or to further strengthen our financial 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significant accounting policies are set forth in Note 1 to our consolidated financial statements in our Annual Report on Form 10-K for the fiscal year ended March 29, 2015. The accounting policies used in preparing our interim fiscal 2016 condensed consolidated financial statements are the same as those described in our Annual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4" w:name="page15"/>
    <w:bookmarkEnd w:id="14"/>
    <w:p>
      <w:pPr>
        <w:ind w:right="60"/>
        <w:spacing w:after="0" w:line="255" w:lineRule="auto"/>
        <w:rPr>
          <w:sz w:val="20"/>
          <w:szCs w:val="20"/>
          <w:color w:val="auto"/>
        </w:rPr>
      </w:pPr>
      <w:r>
        <w:rPr>
          <w:rFonts w:ascii="Arial" w:cs="Arial" w:eastAsia="Arial" w:hAnsi="Arial"/>
          <w:sz w:val="18"/>
          <w:szCs w:val="18"/>
          <w:color w:val="auto"/>
        </w:rPr>
        <w:t>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March 29, 2015.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9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At June 28, 2015, our investment portfolio included $30.1 million of certificates of deposit and municipal bonds classified as fixed income securities and cash and cash equivalents of $18.1 million.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maturity. Consequently, we do not expect to recognize an adverse impact on net income or cash flows during the holding period. We adjust the carrying value of our investments if impairment occurs that is other than temporary.</w:t>
      </w:r>
    </w:p>
    <w:p>
      <w:pPr>
        <w:spacing w:after="0" w:line="11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We do not currently purchase forward contracts or otherwise engage in hedging activities with respect to the purchase of commodity chemicals. We attempt to pass changes in material prices on to our customers; however, there are no assurances that we will be able to pass on cost increases as our pricing must be competitive.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first quarter of fiscal 2016 that has materially affected, or is reasonably likely to materially affect, our internal control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746" w:right="2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7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March 29, 2015.</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May 29, 2014, our Board of Directors authorized a share repurchase program of up to 300,000 shares of our outstanding common stock. The shares may be repurchased on the open market or in privately negotiated transactions subject to applicable securities laws and regulations. The following table sets forth information concerning purchases of our common stock for the quarter ended June 28, 2015:</w:t>
      </w:r>
    </w:p>
    <w:p>
      <w:pPr>
        <w:spacing w:after="0" w:line="34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1920" w:type="dxa"/>
            <w:vAlign w:val="bottom"/>
          </w:tcPr>
          <w:p>
            <w:pPr>
              <w:jc w:val="center"/>
              <w:ind w:left="10"/>
              <w:spacing w:after="0"/>
              <w:rPr>
                <w:sz w:val="20"/>
                <w:szCs w:val="20"/>
                <w:color w:val="auto"/>
              </w:rPr>
            </w:pPr>
            <w:r>
              <w:rPr>
                <w:rFonts w:ascii="Arial" w:cs="Arial" w:eastAsia="Arial" w:hAnsi="Arial"/>
                <w:sz w:val="18"/>
                <w:szCs w:val="18"/>
                <w:color w:val="auto"/>
                <w:w w:val="94"/>
              </w:rPr>
              <w:t>Maximum Number of</w:t>
            </w:r>
          </w:p>
        </w:tc>
      </w:tr>
      <w:tr>
        <w:trPr>
          <w:trHeight w:val="216"/>
        </w:trPr>
        <w:tc>
          <w:tcPr>
            <w:tcW w:w="2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6"/>
              </w:rPr>
              <w:t>Purchased as Part of a</w:t>
            </w:r>
          </w:p>
        </w:tc>
        <w:tc>
          <w:tcPr>
            <w:tcW w:w="1920" w:type="dxa"/>
            <w:vAlign w:val="bottom"/>
          </w:tcPr>
          <w:p>
            <w:pPr>
              <w:jc w:val="center"/>
              <w:ind w:left="10"/>
              <w:spacing w:after="0"/>
              <w:rPr>
                <w:sz w:val="20"/>
                <w:szCs w:val="20"/>
                <w:color w:val="auto"/>
              </w:rPr>
            </w:pPr>
            <w:r>
              <w:rPr>
                <w:rFonts w:ascii="Arial" w:cs="Arial" w:eastAsia="Arial" w:hAnsi="Arial"/>
                <w:sz w:val="18"/>
                <w:szCs w:val="18"/>
                <w:color w:val="auto"/>
                <w:w w:val="88"/>
              </w:rPr>
              <w:t>Shares that May Yet be</w:t>
            </w:r>
          </w:p>
        </w:tc>
      </w:tr>
      <w:tr>
        <w:trPr>
          <w:trHeight w:val="216"/>
        </w:trPr>
        <w:tc>
          <w:tcPr>
            <w:tcW w:w="2120" w:type="dxa"/>
            <w:vAlign w:val="bottom"/>
          </w:tcPr>
          <w:p>
            <w:pPr>
              <w:spacing w:after="0"/>
              <w:rPr>
                <w:sz w:val="18"/>
                <w:szCs w:val="18"/>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Total Number of</w:t>
            </w:r>
          </w:p>
        </w:tc>
        <w:tc>
          <w:tcPr>
            <w:tcW w:w="420" w:type="dxa"/>
            <w:vAlign w:val="bottom"/>
          </w:tcPr>
          <w:p>
            <w:pPr>
              <w:spacing w:after="0"/>
              <w:rPr>
                <w:sz w:val="18"/>
                <w:szCs w:val="18"/>
                <w:color w:val="auto"/>
              </w:rPr>
            </w:pPr>
          </w:p>
        </w:tc>
        <w:tc>
          <w:tcPr>
            <w:tcW w:w="1900" w:type="dxa"/>
            <w:vAlign w:val="bottom"/>
            <w:gridSpan w:val="2"/>
          </w:tcPr>
          <w:p>
            <w:pPr>
              <w:ind w:left="160"/>
              <w:spacing w:after="0"/>
              <w:rPr>
                <w:sz w:val="20"/>
                <w:szCs w:val="20"/>
                <w:color w:val="auto"/>
              </w:rPr>
            </w:pPr>
            <w:r>
              <w:rPr>
                <w:rFonts w:ascii="Arial" w:cs="Arial" w:eastAsia="Arial" w:hAnsi="Arial"/>
                <w:sz w:val="18"/>
                <w:szCs w:val="18"/>
                <w:color w:val="auto"/>
                <w:w w:val="91"/>
              </w:rPr>
              <w:t>Average Price Paid Per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Publicly Announced Plan</w:t>
            </w:r>
          </w:p>
        </w:tc>
        <w:tc>
          <w:tcPr>
            <w:tcW w:w="1920" w:type="dxa"/>
            <w:vAlign w:val="bottom"/>
          </w:tcPr>
          <w:p>
            <w:pPr>
              <w:jc w:val="right"/>
              <w:spacing w:after="0"/>
              <w:rPr>
                <w:sz w:val="20"/>
                <w:szCs w:val="20"/>
                <w:color w:val="auto"/>
              </w:rPr>
            </w:pPr>
            <w:r>
              <w:rPr>
                <w:rFonts w:ascii="Arial" w:cs="Arial" w:eastAsia="Arial" w:hAnsi="Arial"/>
                <w:sz w:val="18"/>
                <w:szCs w:val="18"/>
                <w:color w:val="auto"/>
                <w:w w:val="91"/>
              </w:rPr>
              <w:t>Purchased under Plans or</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Period</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w w:val="99"/>
              </w:rPr>
              <w:t>Shares Purchased</w:t>
            </w: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color w:val="auto"/>
              </w:rPr>
              <w:t>Share</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or Program</w:t>
            </w:r>
          </w:p>
        </w:tc>
        <w:tc>
          <w:tcPr>
            <w:tcW w:w="1920" w:type="dxa"/>
            <w:vAlign w:val="bottom"/>
          </w:tcPr>
          <w:p>
            <w:pPr>
              <w:jc w:val="center"/>
              <w:ind w:left="10"/>
              <w:spacing w:after="0"/>
              <w:rPr>
                <w:sz w:val="20"/>
                <w:szCs w:val="20"/>
                <w:color w:val="auto"/>
              </w:rPr>
            </w:pPr>
            <w:r>
              <w:rPr>
                <w:rFonts w:ascii="Arial" w:cs="Arial" w:eastAsia="Arial" w:hAnsi="Arial"/>
                <w:sz w:val="18"/>
                <w:szCs w:val="18"/>
                <w:color w:val="auto"/>
                <w:w w:val="89"/>
              </w:rPr>
              <w:t>Programs</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3/29/2015-04/26/2015</w:t>
            </w:r>
          </w:p>
        </w:tc>
        <w:tc>
          <w:tcPr>
            <w:tcW w:w="1700" w:type="dxa"/>
            <w:vAlign w:val="bottom"/>
          </w:tcPr>
          <w:p>
            <w:pPr>
              <w:jc w:val="right"/>
              <w:spacing w:after="0"/>
              <w:rPr>
                <w:sz w:val="20"/>
                <w:szCs w:val="20"/>
                <w:color w:val="auto"/>
              </w:rPr>
            </w:pPr>
            <w:r>
              <w:rPr>
                <w:rFonts w:ascii="Arial" w:cs="Arial" w:eastAsia="Arial" w:hAnsi="Arial"/>
                <w:sz w:val="18"/>
                <w:szCs w:val="18"/>
                <w:color w:val="auto"/>
              </w:rPr>
              <w:t>9,984</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37.99</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240,398</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4/27/2015-5/24/2015</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240,398</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5/25/2015-6/28/2015</w:t>
            </w:r>
          </w:p>
        </w:tc>
        <w:tc>
          <w:tcPr>
            <w:tcW w:w="1700" w:type="dxa"/>
            <w:vAlign w:val="bottom"/>
          </w:tcPr>
          <w:p>
            <w:pPr>
              <w:jc w:val="right"/>
              <w:spacing w:after="0"/>
              <w:rPr>
                <w:sz w:val="20"/>
                <w:szCs w:val="20"/>
                <w:color w:val="auto"/>
              </w:rPr>
            </w:pPr>
            <w:r>
              <w:rPr>
                <w:rFonts w:ascii="Arial" w:cs="Arial" w:eastAsia="Arial" w:hAnsi="Arial"/>
                <w:sz w:val="18"/>
                <w:szCs w:val="18"/>
                <w:color w:val="auto"/>
              </w:rPr>
              <w:t>13,850</w:t>
            </w:r>
          </w:p>
        </w:tc>
        <w:tc>
          <w:tcPr>
            <w:tcW w:w="42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39.86</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13,850</w:t>
            </w:r>
          </w:p>
        </w:tc>
        <w:tc>
          <w:tcPr>
            <w:tcW w:w="1920" w:type="dxa"/>
            <w:vAlign w:val="bottom"/>
          </w:tcPr>
          <w:p>
            <w:pPr>
              <w:jc w:val="right"/>
              <w:spacing w:after="0"/>
              <w:rPr>
                <w:sz w:val="20"/>
                <w:szCs w:val="20"/>
                <w:color w:val="auto"/>
              </w:rPr>
            </w:pPr>
            <w:r>
              <w:rPr>
                <w:rFonts w:ascii="Arial" w:cs="Arial" w:eastAsia="Arial" w:hAnsi="Arial"/>
                <w:sz w:val="18"/>
                <w:szCs w:val="18"/>
                <w:color w:val="auto"/>
              </w:rPr>
              <w:t>226,548</w:t>
            </w:r>
          </w:p>
        </w:tc>
      </w:tr>
      <w:tr>
        <w:trPr>
          <w:trHeight w:val="27"/>
        </w:trPr>
        <w:tc>
          <w:tcPr>
            <w:tcW w:w="2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2120" w:type="dxa"/>
            <w:vAlign w:val="bottom"/>
          </w:tcPr>
          <w:p>
            <w:pPr>
              <w:ind w:left="400"/>
              <w:spacing w:after="0"/>
              <w:rPr>
                <w:sz w:val="20"/>
                <w:szCs w:val="20"/>
                <w:color w:val="auto"/>
              </w:rPr>
            </w:pPr>
            <w:r>
              <w:rPr>
                <w:rFonts w:ascii="Arial" w:cs="Arial" w:eastAsia="Arial" w:hAnsi="Arial"/>
                <w:sz w:val="18"/>
                <w:szCs w:val="18"/>
                <w:color w:val="auto"/>
              </w:rPr>
              <w:t>Total</w:t>
            </w:r>
          </w:p>
        </w:tc>
        <w:tc>
          <w:tcPr>
            <w:tcW w:w="1700" w:type="dxa"/>
            <w:vAlign w:val="bottom"/>
          </w:tcPr>
          <w:p>
            <w:pPr>
              <w:jc w:val="right"/>
              <w:spacing w:after="0"/>
              <w:rPr>
                <w:sz w:val="20"/>
                <w:szCs w:val="20"/>
                <w:color w:val="auto"/>
              </w:rPr>
            </w:pPr>
            <w:r>
              <w:rPr>
                <w:rFonts w:ascii="Arial" w:cs="Arial" w:eastAsia="Arial" w:hAnsi="Arial"/>
                <w:sz w:val="18"/>
                <w:szCs w:val="18"/>
                <w:color w:val="auto"/>
              </w:rPr>
              <w:t>23,834</w:t>
            </w: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13,850</w:t>
            </w:r>
          </w:p>
        </w:tc>
        <w:tc>
          <w:tcPr>
            <w:tcW w:w="1920" w:type="dxa"/>
            <w:vAlign w:val="bottom"/>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8"/>
        <w:spacing w:after="0" w:line="301" w:lineRule="auto"/>
        <w:tabs>
          <w:tab w:leader="none" w:pos="178" w:val="left"/>
        </w:tabs>
        <w:numPr>
          <w:ilvl w:val="0"/>
          <w:numId w:val="1"/>
        </w:numPr>
        <w:rPr>
          <w:rFonts w:ascii="Arial" w:cs="Arial" w:eastAsia="Arial" w:hAnsi="Arial"/>
          <w:sz w:val="20"/>
          <w:szCs w:val="20"/>
          <w:color w:val="auto"/>
          <w:vertAlign w:val="superscript"/>
        </w:rPr>
      </w:pPr>
      <w:r>
        <w:rPr>
          <w:rFonts w:ascii="Arial" w:cs="Arial" w:eastAsia="Arial" w:hAnsi="Arial"/>
          <w:sz w:val="15"/>
          <w:szCs w:val="15"/>
          <w:color w:val="auto"/>
        </w:rPr>
        <w:t>The shares of common stock in this row represent shares that were surrendered to us by stock plan participants in order to satisfy minimum withholding tax obligations related to the vesting of restricted stock awards and are not shares purchased under the Board of Directors authorization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580" w:right="2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ITEM 6.</w:t>
            </w:r>
          </w:p>
        </w:tc>
        <w:tc>
          <w:tcPr>
            <w:tcW w:w="8720" w:type="dxa"/>
            <w:vAlign w:val="bottom"/>
            <w:gridSpan w:val="3"/>
          </w:tcPr>
          <w:p>
            <w:pPr>
              <w:ind w:left="260"/>
              <w:spacing w:after="0"/>
              <w:rPr>
                <w:sz w:val="20"/>
                <w:szCs w:val="20"/>
                <w:color w:val="auto"/>
              </w:rPr>
            </w:pPr>
            <w:r>
              <w:rPr>
                <w:rFonts w:ascii="Arial" w:cs="Arial" w:eastAsia="Arial" w:hAnsi="Arial"/>
                <w:sz w:val="18"/>
                <w:szCs w:val="18"/>
                <w:color w:val="auto"/>
              </w:rPr>
              <w:t>EXHIBITS</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720" w:type="dxa"/>
            <w:vAlign w:val="bottom"/>
            <w:gridSpan w:val="2"/>
          </w:tcPr>
          <w:p>
            <w:pPr>
              <w:ind w:left="500"/>
              <w:spacing w:after="0"/>
              <w:rPr>
                <w:sz w:val="20"/>
                <w:szCs w:val="20"/>
                <w:color w:val="auto"/>
              </w:rPr>
            </w:pPr>
            <w:r>
              <w:rPr>
                <w:rFonts w:ascii="Arial" w:cs="Arial" w:eastAsia="Arial" w:hAnsi="Arial"/>
                <w:sz w:val="18"/>
                <w:szCs w:val="18"/>
                <w:color w:val="auto"/>
              </w:rPr>
              <w:t>Exhibit Index</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Exhibit</w:t>
            </w:r>
          </w:p>
        </w:tc>
        <w:tc>
          <w:tcPr>
            <w:tcW w:w="400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1980" w:type="dxa"/>
            <w:vAlign w:val="bottom"/>
          </w:tcPr>
          <w:p>
            <w:pPr>
              <w:jc w:val="center"/>
              <w:spacing w:after="0"/>
              <w:rPr>
                <w:sz w:val="20"/>
                <w:szCs w:val="20"/>
                <w:color w:val="auto"/>
              </w:rPr>
            </w:pPr>
            <w:r>
              <w:rPr>
                <w:rFonts w:ascii="Arial" w:cs="Arial" w:eastAsia="Arial" w:hAnsi="Arial"/>
                <w:sz w:val="14"/>
                <w:szCs w:val="14"/>
                <w:color w:val="auto"/>
                <w:w w:val="98"/>
              </w:rPr>
              <w:t>Method of Filing</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3.1</w:t>
            </w:r>
          </w:p>
        </w:tc>
        <w:tc>
          <w:tcPr>
            <w:tcW w:w="8720" w:type="dxa"/>
            <w:vAlign w:val="bottom"/>
            <w:gridSpan w:val="3"/>
            <w:vMerge w:val="restart"/>
          </w:tcPr>
          <w:p>
            <w:pPr>
              <w:ind w:left="80"/>
              <w:spacing w:after="0"/>
              <w:rPr>
                <w:sz w:val="20"/>
                <w:szCs w:val="20"/>
                <w:color w:val="auto"/>
              </w:rPr>
            </w:pPr>
            <w:r>
              <w:rPr>
                <w:rFonts w:ascii="Arial" w:cs="Arial" w:eastAsia="Arial" w:hAnsi="Arial"/>
                <w:sz w:val="18"/>
                <w:szCs w:val="18"/>
                <w:color w:val="auto"/>
              </w:rPr>
              <w:t>Amended and Restated Articles of Incorporation. (1)</w:t>
            </w: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40" w:type="dxa"/>
            <w:vAlign w:val="bottom"/>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720" w:type="dxa"/>
            <w:vAlign w:val="bottom"/>
            <w:gridSpan w:val="3"/>
            <w:vMerge w:val="continue"/>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Amended and Restated By-Laws. (2)</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31.1</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31.2</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32.1</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Section 1350 Certification by Chief Executive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32.2</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Section 1350 Certification by Chief Financial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56"/>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101</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w w:val="94"/>
              </w:rPr>
              <w:t>Financial statements from the Quarterly Report on Form 10-Q of Hawkins, Inc. for the period ended June 28, 2015</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filed with the SEC on July 29, 2015, formatted in Extensible Business Reporting Language (XBRL); (i) the</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00" w:right="2240" w:firstLine="5"/>
        <w:spacing w:after="0" w:line="277" w:lineRule="auto"/>
        <w:tabs>
          <w:tab w:leader="none" w:pos="1105"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Condensed Consolidated Statements of Cash Flows for the Three Months Ended June 28, 2015 and June 29, 2014, and (v) Notes to Condensed Consolidated Financial Statements.</w:t>
      </w:r>
    </w:p>
    <w:p>
      <w:pPr>
        <w:spacing w:after="0" w:line="17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Quarterly Report on Form 10-Q for the period ended June 30, 2010, filed on July 29, 2010.</w:t>
      </w:r>
    </w:p>
    <w:p>
      <w:pPr>
        <w:spacing w:after="0" w:line="46" w:lineRule="exact"/>
        <w:rPr>
          <w:rFonts w:ascii="Arial" w:cs="Arial" w:eastAsia="Arial" w:hAnsi="Arial"/>
          <w:sz w:val="16"/>
          <w:szCs w:val="16"/>
          <w:color w:val="auto"/>
        </w:rPr>
      </w:pPr>
    </w:p>
    <w:p>
      <w:pPr>
        <w:ind w:left="540" w:hanging="316"/>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Current Report on Form 8-K dated October 28, 2009 and filed November 3, 2009.</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642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69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Vice President, Chief Financial Officer, and Treasurer</w:t>
      </w:r>
    </w:p>
    <w:p>
      <w:pPr>
        <w:spacing w:after="0" w:line="86"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(On behalf of the registrant and as principal financial</w:t>
      </w:r>
    </w:p>
    <w:p>
      <w:pPr>
        <w:spacing w:after="0" w:line="35"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July 29, 2015</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580" w:right="439" w:bottom="1440" w:gutter="0" w:footer="0" w:header="0"/>
        </w:sectPr>
      </w:pPr>
    </w:p>
    <w:bookmarkStart w:id="18" w:name="page19"/>
    <w:bookmarkEnd w:id="18"/>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7" w:lineRule="exact"/>
        <w:rPr>
          <w:sz w:val="20"/>
          <w:szCs w:val="20"/>
          <w:color w:val="auto"/>
        </w:rPr>
      </w:pPr>
    </w:p>
    <w:p>
      <w:pPr>
        <w:spacing w:after="0"/>
        <w:tabs>
          <w:tab w:leader="none" w:pos="430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46"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w:t>
      </w:r>
    </w:p>
    <w:p>
      <w:pPr>
        <w:spacing w:after="0" w:line="77"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Chief Executive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Chief Financial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by Chief Executive Officer.</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by Chief Financial Officer.</w:t>
      </w:r>
    </w:p>
    <w:p>
      <w:pPr>
        <w:spacing w:after="0" w:line="63" w:lineRule="exact"/>
        <w:rPr>
          <w:sz w:val="20"/>
          <w:szCs w:val="20"/>
          <w:color w:val="auto"/>
        </w:rPr>
      </w:pPr>
    </w:p>
    <w:p>
      <w:pPr>
        <w:ind w:left="700" w:hanging="541"/>
        <w:spacing w:after="0" w:line="291"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Financial statements from the Quarterly Report on Form 10-Q of Hawkins, Inc. for the period ended June 28, 2015 filed with the SEC on July 29, 2015, formatted in Extensible Business Reporting Language (XBRL); (i) the Condensed Consolidated Balance Sheets at June 28, 2015 and March 29, 2015, (ii) the Condensed Consolidated Statements of Income for the Three Months Ended June 28, 2015 and June 29, 2014, (iii) the Condensed Consolidated Statements of Comprehensive Income for the Three Months Ended June 28, 2015 and June 29, 2014, (iv) the Condensed Consolidated Statements of Cash Flows for the Three Months Ended June 28, 2015 and June 29, 2014, and (v) Notes to Condensed Consolidated Financial Statements.</w:t>
      </w:r>
    </w:p>
    <w:p>
      <w:pPr>
        <w:spacing w:after="0" w:line="22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20955</wp:posOffset>
            </wp:positionV>
            <wp:extent cx="1586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9" w:lineRule="exact"/>
        <w:rPr>
          <w:sz w:val="20"/>
          <w:szCs w:val="20"/>
          <w:color w:val="auto"/>
        </w:rPr>
      </w:pPr>
    </w:p>
    <w:p>
      <w:pPr>
        <w:jc w:val="center"/>
        <w:spacing w:after="0" w:line="362" w:lineRule="auto"/>
        <w:rPr>
          <w:sz w:val="20"/>
          <w:szCs w:val="20"/>
          <w:color w:val="auto"/>
        </w:rPr>
      </w:pPr>
      <w:r>
        <w:rPr>
          <w:rFonts w:ascii="Arial" w:cs="Arial" w:eastAsia="Arial" w:hAnsi="Arial"/>
          <w:sz w:val="16"/>
          <w:szCs w:val="16"/>
          <w:color w:val="auto"/>
        </w:rPr>
        <w:t>Incorporated by Reference Incorporated by Reference Filed Electronically Filed Electronically Filed Electronically Filed Electronically Filed Electronically</w:t>
      </w:r>
    </w:p>
    <w:p>
      <w:pPr>
        <w:sectPr>
          <w:pgSz w:w="11900" w:h="16838" w:orient="portrait"/>
          <w:cols w:equalWidth="0" w:num="2">
            <w:col w:w="8580" w:space="480"/>
            <w:col w:w="1920"/>
          </w:cols>
          <w:pgMar w:left="400" w:top="580" w:right="51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2015</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30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2015</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28, 2015,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29, 2015</w:t>
      </w:r>
    </w:p>
    <w:p>
      <w:pPr>
        <w:sectPr>
          <w:pgSz w:w="11900" w:h="16838" w:orient="portrait"/>
          <w:cols w:equalWidth="0" w:num="1">
            <w:col w:w="11420"/>
          </w:cols>
          <w:pgMar w:left="240" w:top="580"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28, 2015,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29,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lvl w:ilvl="1">
      <w:lvlJc w:val="left"/>
      <w:lvlText w:val="(%2)"/>
      <w:numFmt w:val="lowerRoman"/>
      <w:start w:val="4"/>
    </w:lvl>
  </w:abstractNum>
  <w:abstractNum w:abstractNumId="2">
    <w:nsid w:val="238E1F29"/>
    <w:multiLevelType w:val="hybridMultilevel"/>
    <w:lvl w:ilvl="0">
      <w:lvlJc w:val="left"/>
      <w:lvlText w:val="(%1)"/>
      <w:numFmt w:val="decimal"/>
      <w:start w:val="1"/>
    </w:lvl>
    <w:lvl w:ilvl="1">
      <w:lvlJc w:val="left"/>
      <w:lvlText w:val="%2"/>
      <w:numFmt w:val="lowerRoman"/>
      <w:start w:val="1"/>
    </w:lvl>
  </w:abstractNum>
  <w:abstractNum w:abstractNumId="3">
    <w:nsid w:val="46E87CCD"/>
    <w:multiLevelType w:val="hybridMultilevel"/>
    <w:lvl w:ilvl="0">
      <w:lvlJc w:val="left"/>
      <w:lvlText w:val="%1"/>
      <w:numFmt w:val="decimal"/>
      <w:start w:val="10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2019-12-29T15:53:27Z</dcterms:created>
  <dcterms:modified xsi:type="dcterms:W3CDTF">2019-12-29T15:53:27Z</dcterms:modified>
</cp:coreProperties>
</file>