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60"/>
          </w:cols>
          <w:pgMar w:left="240" w:top="476" w:right="199" w:bottom="1440" w:gutter="0" w:footer="0" w:header="0"/>
        </w:sectPr>
      </w:pPr>
    </w:p>
    <w:p>
      <w:pPr>
        <w:spacing w:after="0" w:line="112"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December 31, 2010</w:t>
      </w:r>
    </w:p>
    <w:p>
      <w:pPr>
        <w:spacing w:after="0" w:line="15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0-7647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238125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p>
      <w:pPr>
        <w:ind w:left="2620"/>
        <w:spacing w:after="0"/>
        <w:tabs>
          <w:tab w:leader="none" w:pos="7820" w:val="left"/>
        </w:tabs>
        <w:rPr>
          <w:sz w:val="20"/>
          <w:szCs w:val="20"/>
          <w:color w:val="auto"/>
        </w:rPr>
      </w:pPr>
      <w:r>
        <w:rPr>
          <w:rFonts w:ascii="Arial" w:cs="Arial" w:eastAsia="Arial" w:hAnsi="Arial"/>
          <w:sz w:val="18"/>
          <w:szCs w:val="18"/>
          <w:b w:val="1"/>
          <w:bCs w:val="1"/>
          <w:color w:val="auto"/>
        </w:rPr>
        <w:t>MINNESOTA</w:t>
      </w:r>
      <w:r>
        <w:rPr>
          <w:sz w:val="20"/>
          <w:szCs w:val="20"/>
          <w:color w:val="auto"/>
        </w:rPr>
        <w:tab/>
      </w:r>
      <w:r>
        <w:rPr>
          <w:rFonts w:ascii="Arial" w:cs="Arial" w:eastAsia="Arial" w:hAnsi="Arial"/>
          <w:sz w:val="18"/>
          <w:szCs w:val="18"/>
          <w:b w:val="1"/>
          <w:bCs w:val="1"/>
          <w:color w:val="auto"/>
        </w:rPr>
        <w:t>41-0771293</w:t>
      </w:r>
    </w:p>
    <w:p>
      <w:pPr>
        <w:spacing w:after="0" w:line="21" w:lineRule="exact"/>
        <w:rPr>
          <w:sz w:val="24"/>
          <w:szCs w:val="24"/>
          <w:color w:val="auto"/>
        </w:rPr>
      </w:pPr>
    </w:p>
    <w:p>
      <w:pPr>
        <w:ind w:left="2120"/>
        <w:spacing w:after="0"/>
        <w:tabs>
          <w:tab w:leader="none" w:pos="6980"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6"/>
          <w:szCs w:val="16"/>
          <w:color w:val="auto"/>
        </w:rPr>
        <w:t>(I.R.S. Employer Identification No.)</w:t>
      </w:r>
    </w:p>
    <w:p>
      <w:pPr>
        <w:spacing w:after="0" w:line="9" w:lineRule="exact"/>
        <w:rPr>
          <w:sz w:val="24"/>
          <w:szCs w:val="24"/>
          <w:color w:val="auto"/>
        </w:rPr>
      </w:pPr>
    </w:p>
    <w:p>
      <w:pPr>
        <w:ind w:left="2100"/>
        <w:spacing w:after="0"/>
        <w:rPr>
          <w:sz w:val="20"/>
          <w:szCs w:val="20"/>
          <w:color w:val="auto"/>
        </w:rPr>
      </w:pPr>
      <w:r>
        <w:rPr>
          <w:rFonts w:ascii="Arial" w:cs="Arial" w:eastAsia="Arial" w:hAnsi="Arial"/>
          <w:sz w:val="18"/>
          <w:szCs w:val="18"/>
          <w:color w:val="auto"/>
        </w:rPr>
        <w:t>incorporation or organization)</w:t>
      </w:r>
    </w:p>
    <w:p>
      <w:pPr>
        <w:spacing w:after="0" w:line="25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3100 EAST HENNEPIN AVENUE, MINNEAPOLIS, MINNESOTA 55413</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4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(612) 331-6910</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229870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both"/>
        <w:ind w:right="28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94" w:lineRule="exact"/>
        <w:rPr>
          <w:sz w:val="24"/>
          <w:szCs w:val="24"/>
          <w:color w:val="auto"/>
        </w:rPr>
      </w:pPr>
    </w:p>
    <w:p>
      <w:pPr>
        <w:ind w:right="6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94" w:lineRule="exact"/>
        <w:rPr>
          <w:sz w:val="24"/>
          <w:szCs w:val="24"/>
          <w:color w:val="auto"/>
        </w:rPr>
      </w:pPr>
    </w:p>
    <w:p>
      <w:pPr>
        <w:ind w:right="12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pacing w:after="0" w:line="199" w:lineRule="exact"/>
        <w:rPr>
          <w:sz w:val="24"/>
          <w:szCs w:val="24"/>
          <w:color w:val="auto"/>
        </w:rPr>
      </w:pPr>
    </w:p>
    <w:p>
      <w:pPr>
        <w:spacing w:after="0"/>
        <w:tabs>
          <w:tab w:leader="none" w:pos="2080" w:val="left"/>
          <w:tab w:leader="none" w:pos="3740" w:val="left"/>
          <w:tab w:leader="none" w:pos="580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5"/>
          <w:szCs w:val="15"/>
          <w:color w:val="auto"/>
        </w:rPr>
        <w:t>Smaller Reporting Company o</w:t>
      </w:r>
    </w:p>
    <w:p>
      <w:pPr>
        <w:spacing w:after="0" w:line="225" w:lineRule="exact"/>
        <w:rPr>
          <w:sz w:val="24"/>
          <w:szCs w:val="24"/>
          <w:color w:val="auto"/>
        </w:rPr>
      </w:pPr>
    </w:p>
    <w:p>
      <w:pPr>
        <w:spacing w:after="0"/>
        <w:tabs>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NO x</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5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CLASS</w:t>
            </w:r>
          </w:p>
        </w:tc>
        <w:tc>
          <w:tcPr>
            <w:tcW w:w="5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OUTSTANDING AT JANUARY 26, 2011</w:t>
            </w:r>
          </w:p>
        </w:tc>
        <w:tc>
          <w:tcPr>
            <w:tcW w:w="40" w:type="dxa"/>
            <w:vAlign w:val="bottom"/>
          </w:tcPr>
          <w:p>
            <w:pPr>
              <w:spacing w:after="0"/>
              <w:rPr>
                <w:sz w:val="19"/>
                <w:szCs w:val="19"/>
                <w:color w:val="auto"/>
              </w:rPr>
            </w:pPr>
          </w:p>
        </w:tc>
      </w:tr>
      <w:tr>
        <w:trPr>
          <w:trHeight w:val="217"/>
        </w:trPr>
        <w:tc>
          <w:tcPr>
            <w:tcW w:w="5680" w:type="dxa"/>
            <w:vAlign w:val="bottom"/>
          </w:tcPr>
          <w:p>
            <w:pPr>
              <w:jc w:val="center"/>
              <w:spacing w:after="0"/>
              <w:rPr>
                <w:sz w:val="20"/>
                <w:szCs w:val="20"/>
                <w:color w:val="auto"/>
              </w:rPr>
            </w:pPr>
            <w:r>
              <w:rPr>
                <w:rFonts w:ascii="Arial" w:cs="Arial" w:eastAsia="Arial" w:hAnsi="Arial"/>
                <w:sz w:val="18"/>
                <w:szCs w:val="18"/>
                <w:color w:val="auto"/>
                <w:w w:val="87"/>
              </w:rPr>
              <w:t>Common Stock, par value $.05 per share</w:t>
            </w:r>
          </w:p>
        </w:tc>
        <w:tc>
          <w:tcPr>
            <w:tcW w:w="5740" w:type="dxa"/>
            <w:vAlign w:val="bottom"/>
          </w:tcPr>
          <w:p>
            <w:pPr>
              <w:jc w:val="right"/>
              <w:ind w:right="2372"/>
              <w:spacing w:after="0"/>
              <w:rPr>
                <w:sz w:val="20"/>
                <w:szCs w:val="20"/>
                <w:color w:val="auto"/>
              </w:rPr>
            </w:pPr>
            <w:r>
              <w:rPr>
                <w:rFonts w:ascii="Arial" w:cs="Arial" w:eastAsia="Arial" w:hAnsi="Arial"/>
                <w:sz w:val="18"/>
                <w:szCs w:val="18"/>
                <w:color w:val="auto"/>
              </w:rPr>
              <w:t>10,315,954</w:t>
            </w:r>
          </w:p>
        </w:tc>
        <w:tc>
          <w:tcPr>
            <w:tcW w:w="40" w:type="dxa"/>
            <w:vAlign w:val="bottom"/>
          </w:tcPr>
          <w:p>
            <w:pPr>
              <w:spacing w:after="0"/>
              <w:rPr>
                <w:sz w:val="18"/>
                <w:szCs w:val="18"/>
                <w:color w:val="auto"/>
              </w:rPr>
            </w:pPr>
          </w:p>
        </w:tc>
      </w:tr>
      <w:tr>
        <w:trPr>
          <w:trHeight w:val="112"/>
        </w:trPr>
        <w:tc>
          <w:tcPr>
            <w:tcW w:w="5680" w:type="dxa"/>
            <w:vAlign w:val="bottom"/>
          </w:tcPr>
          <w:p>
            <w:pPr>
              <w:spacing w:after="0"/>
              <w:rPr>
                <w:sz w:val="9"/>
                <w:szCs w:val="9"/>
                <w:color w:val="auto"/>
              </w:rPr>
            </w:pPr>
          </w:p>
        </w:tc>
        <w:tc>
          <w:tcPr>
            <w:tcW w:w="57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71"/>
        </w:trPr>
        <w:tc>
          <w:tcPr>
            <w:tcW w:w="5680" w:type="dxa"/>
            <w:vAlign w:val="bottom"/>
            <w:shd w:val="clear" w:color="auto" w:fill="000000"/>
          </w:tcPr>
          <w:p>
            <w:pPr>
              <w:spacing w:after="0"/>
              <w:rPr>
                <w:sz w:val="6"/>
                <w:szCs w:val="6"/>
                <w:color w:val="auto"/>
              </w:rPr>
            </w:pPr>
          </w:p>
        </w:tc>
        <w:tc>
          <w:tcPr>
            <w:tcW w:w="5740" w:type="dxa"/>
            <w:vAlign w:val="bottom"/>
            <w:shd w:val="clear" w:color="auto" w:fill="000000"/>
          </w:tcPr>
          <w:p>
            <w:pPr>
              <w:spacing w:after="0"/>
              <w:rPr>
                <w:sz w:val="6"/>
                <w:szCs w:val="6"/>
                <w:color w:val="auto"/>
              </w:rPr>
            </w:pPr>
          </w:p>
        </w:tc>
        <w:tc>
          <w:tcPr>
            <w:tcW w:w="40" w:type="dxa"/>
            <w:vAlign w:val="bottom"/>
          </w:tcPr>
          <w:p>
            <w:pPr>
              <w:spacing w:after="0"/>
              <w:rPr>
                <w:sz w:val="6"/>
                <w:szCs w:val="6"/>
                <w:color w:val="auto"/>
              </w:rPr>
            </w:pPr>
          </w:p>
        </w:tc>
      </w:tr>
      <w:tr>
        <w:trPr>
          <w:trHeight w:val="118"/>
        </w:trPr>
        <w:tc>
          <w:tcPr>
            <w:tcW w:w="5680" w:type="dxa"/>
            <w:vAlign w:val="bottom"/>
            <w:tcBorders>
              <w:bottom w:val="single" w:sz="8" w:color="808080"/>
            </w:tcBorders>
          </w:tcPr>
          <w:p>
            <w:pPr>
              <w:spacing w:after="0"/>
              <w:rPr>
                <w:sz w:val="10"/>
                <w:szCs w:val="10"/>
                <w:color w:val="auto"/>
              </w:rPr>
            </w:pPr>
          </w:p>
        </w:tc>
        <w:tc>
          <w:tcPr>
            <w:tcW w:w="57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76" w:right="19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FORM 10-Q</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20" w:type="dxa"/>
            <w:vAlign w:val="bottom"/>
            <w:gridSpan w:val="3"/>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7960" w:type="dxa"/>
            <w:vAlign w:val="bottom"/>
            <w:gridSpan w:val="1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500" w:type="dxa"/>
            <w:vAlign w:val="bottom"/>
          </w:tcPr>
          <w:p>
            <w:pPr>
              <w:ind w:left="114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78"/>
        </w:trPr>
        <w:tc>
          <w:tcPr>
            <w:tcW w:w="1620" w:type="dxa"/>
            <w:vAlign w:val="bottom"/>
            <w:gridSpan w:val="3"/>
            <w:vMerge w:val="continue"/>
          </w:tcPr>
          <w:p>
            <w:pPr>
              <w:spacing w:after="0"/>
              <w:rPr>
                <w:sz w:val="15"/>
                <w:szCs w:val="15"/>
                <w:color w:val="auto"/>
              </w:rPr>
            </w:pPr>
          </w:p>
        </w:tc>
        <w:tc>
          <w:tcPr>
            <w:tcW w:w="7960" w:type="dxa"/>
            <w:vAlign w:val="bottom"/>
            <w:gridSpan w:val="10"/>
            <w:vMerge w:val="continue"/>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620" w:type="dxa"/>
            <w:vAlign w:val="bottom"/>
            <w:tcBorders>
              <w:top w:val="single" w:sz="8" w:color="0000EE"/>
            </w:tcBorders>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000" w:type="dxa"/>
            <w:vAlign w:val="bottom"/>
          </w:tcPr>
          <w:p>
            <w:pPr>
              <w:spacing w:after="0"/>
              <w:rPr>
                <w:sz w:val="24"/>
                <w:szCs w:val="24"/>
                <w:color w:val="auto"/>
              </w:rPr>
            </w:pPr>
          </w:p>
        </w:tc>
        <w:tc>
          <w:tcPr>
            <w:tcW w:w="2320" w:type="dxa"/>
            <w:vAlign w:val="bottom"/>
            <w:tcBorders>
              <w:top w:val="single" w:sz="8" w:color="0000EE"/>
            </w:tcBorders>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640" w:type="dxa"/>
            <w:vAlign w:val="bottom"/>
            <w:gridSpan w:val="7"/>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96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Balance Sheets – December 31, 2010 and March 28, 2010</w:t>
              </w:r>
            </w:hyperlink>
          </w:p>
        </w:tc>
        <w:tc>
          <w:tcPr>
            <w:tcW w:w="1500" w:type="dxa"/>
            <w:vAlign w:val="bottom"/>
          </w:tcPr>
          <w:p>
            <w:pPr>
              <w:jc w:val="center"/>
              <w:ind w:left="1072"/>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960" w:type="dxa"/>
            <w:vAlign w:val="bottom"/>
            <w:gridSpan w:val="1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Statements of Income – Three and Nine Months Ended December 31, 2010 and 2009</w:t>
              </w:r>
            </w:hyperlink>
          </w:p>
        </w:tc>
        <w:tc>
          <w:tcPr>
            <w:tcW w:w="1500" w:type="dxa"/>
            <w:vAlign w:val="bottom"/>
          </w:tcPr>
          <w:p>
            <w:pPr>
              <w:jc w:val="center"/>
              <w:ind w:left="1072"/>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345"/>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3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Statements of Cash Flows – Nine Months Ended December 31, 2010 and 2009</w:t>
              </w:r>
            </w:hyperlink>
          </w:p>
        </w:tc>
        <w:tc>
          <w:tcPr>
            <w:tcW w:w="44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1500" w:type="dxa"/>
            <w:vAlign w:val="bottom"/>
          </w:tcPr>
          <w:p>
            <w:pPr>
              <w:jc w:val="center"/>
              <w:ind w:left="1072"/>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345"/>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960" w:type="dxa"/>
            <w:vAlign w:val="bottom"/>
            <w:gridSpan w:val="1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Financial Statements</w:t>
              </w:r>
            </w:hyperlink>
          </w:p>
        </w:tc>
        <w:tc>
          <w:tcPr>
            <w:tcW w:w="1500" w:type="dxa"/>
            <w:vAlign w:val="bottom"/>
          </w:tcPr>
          <w:p>
            <w:pPr>
              <w:jc w:val="center"/>
              <w:ind w:left="1072"/>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
        </w:trPr>
        <w:tc>
          <w:tcPr>
            <w:tcW w:w="1620" w:type="dxa"/>
            <w:vAlign w:val="bottom"/>
            <w:gridSpan w:val="3"/>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620" w:type="dxa"/>
            <w:vAlign w:val="bottom"/>
            <w:gridSpan w:val="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2.</w:t>
              </w:r>
            </w:hyperlink>
          </w:p>
        </w:tc>
        <w:tc>
          <w:tcPr>
            <w:tcW w:w="7960" w:type="dxa"/>
            <w:vAlign w:val="bottom"/>
            <w:gridSpan w:val="10"/>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1500" w:type="dxa"/>
            <w:vAlign w:val="bottom"/>
          </w:tcPr>
          <w:p>
            <w:pPr>
              <w:jc w:val="center"/>
              <w:ind w:left="1072"/>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620" w:type="dxa"/>
            <w:vAlign w:val="bottom"/>
            <w:gridSpan w:val="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3.</w:t>
              </w:r>
            </w:hyperlink>
          </w:p>
        </w:tc>
        <w:tc>
          <w:tcPr>
            <w:tcW w:w="7960" w:type="dxa"/>
            <w:vAlign w:val="bottom"/>
            <w:gridSpan w:val="1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Quantitative and Qualitative Disclosures about Market Risk</w:t>
              </w:r>
            </w:hyperlink>
          </w:p>
        </w:tc>
        <w:tc>
          <w:tcPr>
            <w:tcW w:w="1500" w:type="dxa"/>
            <w:vAlign w:val="bottom"/>
          </w:tcPr>
          <w:p>
            <w:pPr>
              <w:jc w:val="center"/>
              <w:ind w:left="1072"/>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620" w:type="dxa"/>
            <w:vAlign w:val="bottom"/>
            <w:gridSpan w:val="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4.</w:t>
              </w:r>
            </w:hyperlink>
          </w:p>
        </w:tc>
        <w:tc>
          <w:tcPr>
            <w:tcW w:w="7960" w:type="dxa"/>
            <w:vAlign w:val="bottom"/>
            <w:gridSpan w:val="1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1500" w:type="dxa"/>
            <w:vAlign w:val="bottom"/>
          </w:tcPr>
          <w:p>
            <w:pPr>
              <w:jc w:val="center"/>
              <w:ind w:left="1072"/>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gridSpan w:val="3"/>
          </w:tcPr>
          <w:p>
            <w:pPr>
              <w:spacing w:after="0"/>
              <w:rPr>
                <w:rFonts w:ascii="Arial" w:cs="Arial" w:eastAsia="Arial" w:hAnsi="Arial"/>
                <w:sz w:val="18"/>
                <w:szCs w:val="18"/>
                <w:b w:val="1"/>
                <w:bCs w:val="1"/>
                <w:color w:val="0000EE"/>
                <w:w w:val="98"/>
              </w:rPr>
            </w:pPr>
            <w:hyperlink w:anchor="page19">
              <w:r>
                <w:rPr>
                  <w:rFonts w:ascii="Arial" w:cs="Arial" w:eastAsia="Arial" w:hAnsi="Arial"/>
                  <w:sz w:val="18"/>
                  <w:szCs w:val="18"/>
                  <w:b w:val="1"/>
                  <w:bCs w:val="1"/>
                  <w:color w:val="0000EE"/>
                  <w:w w:val="98"/>
                </w:rPr>
                <w:t>PART II.</w:t>
              </w:r>
            </w:hyperlink>
          </w:p>
        </w:tc>
        <w:tc>
          <w:tcPr>
            <w:tcW w:w="920" w:type="dxa"/>
            <w:vAlign w:val="bottom"/>
            <w:gridSpan w:val="3"/>
          </w:tcPr>
          <w:p>
            <w:pPr>
              <w:spacing w:after="0"/>
              <w:rPr>
                <w:sz w:val="17"/>
                <w:szCs w:val="17"/>
                <w:color w:val="auto"/>
              </w:rPr>
            </w:pPr>
          </w:p>
        </w:tc>
        <w:tc>
          <w:tcPr>
            <w:tcW w:w="3000" w:type="dxa"/>
            <w:vAlign w:val="bottom"/>
            <w:gridSpan w:val="4"/>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OTHER INFORMATION</w:t>
              </w:r>
            </w:hyperlink>
          </w:p>
        </w:tc>
        <w:tc>
          <w:tcPr>
            <w:tcW w:w="6840" w:type="dxa"/>
            <w:vAlign w:val="bottom"/>
          </w:tcPr>
          <w:p>
            <w:pPr>
              <w:spacing w:after="0"/>
              <w:rPr>
                <w:sz w:val="17"/>
                <w:szCs w:val="17"/>
                <w:color w:val="auto"/>
              </w:rPr>
            </w:pPr>
          </w:p>
        </w:tc>
      </w:tr>
      <w:tr>
        <w:trPr>
          <w:trHeight w:val="345"/>
        </w:trPr>
        <w:tc>
          <w:tcPr>
            <w:tcW w:w="6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Item 1A.</w:t>
              </w:r>
            </w:hyperlink>
          </w:p>
        </w:tc>
        <w:tc>
          <w:tcPr>
            <w:tcW w:w="60" w:type="dxa"/>
            <w:vAlign w:val="bottom"/>
            <w:tcBorders>
              <w:top w:val="single" w:sz="8" w:color="0000EE"/>
            </w:tcBorders>
          </w:tcPr>
          <w:p>
            <w:pPr>
              <w:spacing w:after="0"/>
              <w:rPr>
                <w:sz w:val="24"/>
                <w:szCs w:val="24"/>
                <w:color w:val="auto"/>
              </w:rPr>
            </w:pPr>
          </w:p>
        </w:tc>
        <w:tc>
          <w:tcPr>
            <w:tcW w:w="920" w:type="dxa"/>
            <w:vAlign w:val="bottom"/>
            <w:gridSpan w:val="3"/>
          </w:tcPr>
          <w:p>
            <w:pPr>
              <w:spacing w:after="0"/>
              <w:rPr>
                <w:sz w:val="24"/>
                <w:szCs w:val="24"/>
                <w:color w:val="auto"/>
              </w:rPr>
            </w:pPr>
          </w:p>
        </w:tc>
        <w:tc>
          <w:tcPr>
            <w:tcW w:w="8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19">
              <w:r>
                <w:rPr>
                  <w:rFonts w:ascii="Arial" w:cs="Arial" w:eastAsia="Arial" w:hAnsi="Arial"/>
                  <w:sz w:val="18"/>
                  <w:szCs w:val="18"/>
                  <w:color w:val="0000EE"/>
                  <w:w w:val="85"/>
                </w:rPr>
                <w:t>Risk Factors</w:t>
              </w:r>
            </w:hyperlink>
          </w:p>
        </w:tc>
        <w:tc>
          <w:tcPr>
            <w:tcW w:w="10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6840" w:type="dxa"/>
            <w:vAlign w:val="bottom"/>
          </w:tcPr>
          <w:p>
            <w:pPr>
              <w:jc w:val="right"/>
              <w:ind w:right="372"/>
              <w:spacing w:after="0"/>
              <w:rPr>
                <w:sz w:val="20"/>
                <w:szCs w:val="20"/>
                <w:color w:val="auto"/>
              </w:rPr>
            </w:pPr>
            <w:r>
              <w:rPr>
                <w:rFonts w:ascii="Arial" w:cs="Arial" w:eastAsia="Arial" w:hAnsi="Arial"/>
                <w:sz w:val="18"/>
                <w:szCs w:val="18"/>
                <w:color w:val="auto"/>
              </w:rPr>
              <w:t>19</w:t>
            </w:r>
          </w:p>
        </w:tc>
      </w:tr>
      <w:tr>
        <w:trPr>
          <w:trHeight w:val="345"/>
        </w:trPr>
        <w:tc>
          <w:tcPr>
            <w:tcW w:w="1620" w:type="dxa"/>
            <w:vAlign w:val="bottom"/>
            <w:gridSpan w:val="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6.</w:t>
              </w:r>
            </w:hyperlink>
          </w:p>
        </w:tc>
        <w:tc>
          <w:tcPr>
            <w:tcW w:w="3000" w:type="dxa"/>
            <w:vAlign w:val="bottom"/>
            <w:gridSpan w:val="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6840" w:type="dxa"/>
            <w:vAlign w:val="bottom"/>
          </w:tcPr>
          <w:p>
            <w:pPr>
              <w:jc w:val="right"/>
              <w:ind w:right="372"/>
              <w:spacing w:after="0"/>
              <w:rPr>
                <w:sz w:val="20"/>
                <w:szCs w:val="20"/>
                <w:color w:val="auto"/>
              </w:rPr>
            </w:pPr>
            <w:r>
              <w:rPr>
                <w:rFonts w:ascii="Arial" w:cs="Arial" w:eastAsia="Arial" w:hAnsi="Arial"/>
                <w:sz w:val="18"/>
                <w:szCs w:val="18"/>
                <w:color w:val="auto"/>
              </w:rPr>
              <w:t>19</w:t>
            </w: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345"/>
        </w:trPr>
        <w:tc>
          <w:tcPr>
            <w:tcW w:w="1620" w:type="dxa"/>
            <w:vAlign w:val="bottom"/>
            <w:gridSpan w:val="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40" w:type="dxa"/>
            <w:vAlign w:val="bottom"/>
          </w:tcPr>
          <w:p>
            <w:pPr>
              <w:jc w:val="right"/>
              <w:ind w:right="372"/>
              <w:spacing w:after="0"/>
              <w:rPr>
                <w:sz w:val="20"/>
                <w:szCs w:val="20"/>
                <w:color w:val="auto"/>
              </w:rPr>
            </w:pPr>
            <w:r>
              <w:rPr>
                <w:rFonts w:ascii="Arial" w:cs="Arial" w:eastAsia="Arial" w:hAnsi="Arial"/>
                <w:sz w:val="18"/>
                <w:szCs w:val="18"/>
                <w:color w:val="auto"/>
              </w:rPr>
              <w:t>20</w:t>
            </w:r>
          </w:p>
        </w:tc>
      </w:tr>
      <w:tr>
        <w:trPr>
          <w:trHeight w:val="20"/>
        </w:trPr>
        <w:tc>
          <w:tcPr>
            <w:tcW w:w="74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345"/>
        </w:trPr>
        <w:tc>
          <w:tcPr>
            <w:tcW w:w="1620" w:type="dxa"/>
            <w:vAlign w:val="bottom"/>
            <w:gridSpan w:val="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Exhibit Index</w:t>
              </w:r>
            </w:hyperlink>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40" w:type="dxa"/>
            <w:vAlign w:val="bottom"/>
          </w:tcPr>
          <w:p>
            <w:pPr>
              <w:jc w:val="right"/>
              <w:ind w:right="372"/>
              <w:spacing w:after="0"/>
              <w:rPr>
                <w:sz w:val="20"/>
                <w:szCs w:val="20"/>
                <w:color w:val="auto"/>
              </w:rPr>
            </w:pPr>
            <w:r>
              <w:rPr>
                <w:rFonts w:ascii="Arial" w:cs="Arial" w:eastAsia="Arial" w:hAnsi="Arial"/>
                <w:sz w:val="18"/>
                <w:szCs w:val="18"/>
                <w:color w:val="auto"/>
              </w:rPr>
              <w:t>21</w:t>
            </w:r>
          </w:p>
        </w:tc>
      </w:tr>
      <w:tr>
        <w:trPr>
          <w:trHeight w:val="451"/>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40" w:type="dxa"/>
            <w:vAlign w:val="bottom"/>
          </w:tcPr>
          <w:p>
            <w:pPr>
              <w:jc w:val="right"/>
              <w:ind w:right="5612"/>
              <w:spacing w:after="0"/>
              <w:rPr>
                <w:sz w:val="20"/>
                <w:szCs w:val="20"/>
                <w:color w:val="auto"/>
              </w:rPr>
            </w:pPr>
            <w:r>
              <w:rPr>
                <w:rFonts w:ascii="Arial" w:cs="Arial" w:eastAsia="Arial" w:hAnsi="Arial"/>
                <w:sz w:val="18"/>
                <w:szCs w:val="18"/>
                <w:color w:val="auto"/>
              </w:rPr>
              <w:t>2</w:t>
            </w:r>
          </w:p>
        </w:tc>
      </w:tr>
      <w:tr>
        <w:trPr>
          <w:trHeight w:val="242"/>
        </w:trPr>
        <w:tc>
          <w:tcPr>
            <w:tcW w:w="50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58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1080" w:type="dxa"/>
            <w:vAlign w:val="bottom"/>
            <w:tcBorders>
              <w:bottom w:val="single" w:sz="8" w:color="808080"/>
            </w:tcBorders>
          </w:tcPr>
          <w:p>
            <w:pPr>
              <w:spacing w:after="0"/>
              <w:rPr>
                <w:sz w:val="21"/>
                <w:szCs w:val="21"/>
                <w:color w:val="auto"/>
              </w:rPr>
            </w:pPr>
          </w:p>
        </w:tc>
        <w:tc>
          <w:tcPr>
            <w:tcW w:w="1040" w:type="dxa"/>
            <w:vAlign w:val="bottom"/>
            <w:tcBorders>
              <w:bottom w:val="single" w:sz="8" w:color="808080"/>
            </w:tcBorders>
          </w:tcPr>
          <w:p>
            <w:pPr>
              <w:spacing w:after="0"/>
              <w:rPr>
                <w:sz w:val="21"/>
                <w:szCs w:val="21"/>
                <w:color w:val="auto"/>
              </w:rPr>
            </w:pPr>
          </w:p>
        </w:tc>
        <w:tc>
          <w:tcPr>
            <w:tcW w:w="684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380" w:type="dxa"/>
            <w:vAlign w:val="bottom"/>
          </w:tcPr>
          <w:p>
            <w:pPr>
              <w:ind w:left="2800"/>
              <w:spacing w:after="0"/>
              <w:rPr>
                <w:sz w:val="20"/>
                <w:szCs w:val="20"/>
                <w:color w:val="auto"/>
              </w:rPr>
            </w:pPr>
            <w:r>
              <w:rPr>
                <w:rFonts w:ascii="Arial" w:cs="Arial" w:eastAsia="Arial" w:hAnsi="Arial"/>
                <w:sz w:val="22"/>
                <w:szCs w:val="22"/>
                <w:b w:val="1"/>
                <w:bCs w:val="1"/>
                <w:color w:val="auto"/>
              </w:rPr>
              <w:t>PART I. FINANCIAL INFORMATION</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060" w:type="dxa"/>
            <w:vAlign w:val="bottom"/>
            <w:gridSpan w:val="2"/>
          </w:tcPr>
          <w:p>
            <w:pPr>
              <w:spacing w:after="0"/>
              <w:rPr>
                <w:sz w:val="20"/>
                <w:szCs w:val="20"/>
                <w:color w:val="auto"/>
              </w:rPr>
            </w:pPr>
            <w:r>
              <w:rPr>
                <w:rFonts w:ascii="Arial" w:cs="Arial" w:eastAsia="Arial" w:hAnsi="Arial"/>
                <w:sz w:val="22"/>
                <w:szCs w:val="22"/>
                <w:color w:val="auto"/>
              </w:rPr>
              <w:t>ITEM 1.</w:t>
            </w:r>
          </w:p>
        </w:tc>
        <w:tc>
          <w:tcPr>
            <w:tcW w:w="7380" w:type="dxa"/>
            <w:vAlign w:val="bottom"/>
          </w:tcPr>
          <w:p>
            <w:pPr>
              <w:ind w:left="100"/>
              <w:spacing w:after="0"/>
              <w:rPr>
                <w:sz w:val="20"/>
                <w:szCs w:val="20"/>
                <w:color w:val="auto"/>
              </w:rPr>
            </w:pPr>
            <w:r>
              <w:rPr>
                <w:rFonts w:ascii="Arial" w:cs="Arial" w:eastAsia="Arial" w:hAnsi="Arial"/>
                <w:sz w:val="22"/>
                <w:szCs w:val="22"/>
                <w:color w:val="auto"/>
              </w:rPr>
              <w:t>FINANCIAL STATEMENTS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1"/>
        </w:trPr>
        <w:tc>
          <w:tcPr>
            <w:tcW w:w="8440" w:type="dxa"/>
            <w:vAlign w:val="bottom"/>
            <w:gridSpan w:val="3"/>
          </w:tcPr>
          <w:p>
            <w:pPr>
              <w:spacing w:after="0"/>
              <w:rPr>
                <w:sz w:val="20"/>
                <w:szCs w:val="20"/>
                <w:color w:val="auto"/>
              </w:rPr>
            </w:pPr>
            <w:r>
              <w:rPr>
                <w:rFonts w:ascii="Arial" w:cs="Arial" w:eastAsia="Arial" w:hAnsi="Arial"/>
                <w:sz w:val="18"/>
                <w:szCs w:val="18"/>
                <w:b w:val="1"/>
                <w:bCs w:val="1"/>
                <w:color w:val="auto"/>
              </w:rPr>
              <w:t>HAWKINS, INC.</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440" w:type="dxa"/>
            <w:vAlign w:val="bottom"/>
            <w:gridSpan w:val="3"/>
          </w:tcPr>
          <w:p>
            <w:pPr>
              <w:spacing w:after="0"/>
              <w:rPr>
                <w:sz w:val="20"/>
                <w:szCs w:val="20"/>
                <w:color w:val="auto"/>
              </w:rPr>
            </w:pPr>
            <w:r>
              <w:rPr>
                <w:rFonts w:ascii="Arial" w:cs="Arial" w:eastAsia="Arial" w:hAnsi="Arial"/>
                <w:sz w:val="18"/>
                <w:szCs w:val="18"/>
                <w:b w:val="1"/>
                <w:bCs w:val="1"/>
                <w:color w:val="auto"/>
              </w:rPr>
              <w:t>CONDENSED BALANCE SHEETS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844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share data)</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December 31,</w:t>
            </w:r>
          </w:p>
        </w:tc>
        <w:tc>
          <w:tcPr>
            <w:tcW w:w="220" w:type="dxa"/>
            <w:vAlign w:val="bottom"/>
          </w:tcPr>
          <w:p>
            <w:pPr>
              <w:spacing w:after="0"/>
              <w:rPr>
                <w:sz w:val="24"/>
                <w:szCs w:val="24"/>
                <w:color w:val="auto"/>
              </w:rPr>
            </w:pPr>
          </w:p>
        </w:tc>
        <w:tc>
          <w:tcPr>
            <w:tcW w:w="106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March 28,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2010</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74"/>
              <w:spacing w:after="0" w:line="142" w:lineRule="exact"/>
              <w:rPr>
                <w:sz w:val="20"/>
                <w:szCs w:val="20"/>
                <w:color w:val="auto"/>
              </w:rPr>
            </w:pPr>
            <w:r>
              <w:rPr>
                <w:rFonts w:ascii="Arial" w:cs="Arial" w:eastAsia="Arial" w:hAnsi="Arial"/>
                <w:sz w:val="14"/>
                <w:szCs w:val="14"/>
                <w:b w:val="1"/>
                <w:bCs w:val="1"/>
                <w:color w:val="auto"/>
                <w:w w:val="89"/>
              </w:rPr>
              <w:t>(Unaudited)</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34"/>
              <w:spacing w:after="0" w:line="142" w:lineRule="exact"/>
              <w:rPr>
                <w:sz w:val="20"/>
                <w:szCs w:val="20"/>
                <w:color w:val="auto"/>
              </w:rPr>
            </w:pPr>
            <w:r>
              <w:rPr>
                <w:rFonts w:ascii="Arial" w:cs="Arial" w:eastAsia="Arial" w:hAnsi="Arial"/>
                <w:sz w:val="14"/>
                <w:szCs w:val="14"/>
                <w:b w:val="1"/>
                <w:bCs w:val="1"/>
                <w:color w:val="auto"/>
                <w:w w:val="91"/>
              </w:rPr>
              <w:t>(Audited)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D6F3E8"/>
          </w:tcPr>
          <w:p>
            <w:pPr>
              <w:spacing w:after="0"/>
              <w:rPr>
                <w:sz w:val="20"/>
                <w:szCs w:val="20"/>
                <w:color w:val="auto"/>
              </w:rPr>
            </w:pPr>
            <w:r>
              <w:rPr>
                <w:rFonts w:ascii="Arial" w:cs="Arial" w:eastAsia="Arial" w:hAnsi="Arial"/>
                <w:sz w:val="18"/>
                <w:szCs w:val="18"/>
                <w:b w:val="1"/>
                <w:bCs w:val="1"/>
                <w:color w:val="auto"/>
              </w:rPr>
              <w:t>ASSETS</w:t>
            </w:r>
          </w:p>
        </w:tc>
        <w:tc>
          <w:tcPr>
            <w:tcW w:w="738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1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84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47,914</w:t>
            </w:r>
          </w:p>
        </w:tc>
        <w:tc>
          <w:tcPr>
            <w:tcW w:w="320" w:type="dxa"/>
            <w:vAlign w:val="bottom"/>
            <w:shd w:val="clear" w:color="auto" w:fill="D6F3E8"/>
          </w:tcPr>
          <w:p>
            <w:pPr>
              <w:spacing w:after="0"/>
              <w:rPr>
                <w:sz w:val="18"/>
                <w:szCs w:val="18"/>
                <w:color w:val="auto"/>
              </w:rPr>
            </w:pPr>
          </w:p>
        </w:tc>
        <w:tc>
          <w:tcPr>
            <w:tcW w:w="22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18,772</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Investments available-for-sale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15,321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Trade receivables - less allowance for doubtful accounts:</w:t>
            </w:r>
          </w:p>
        </w:tc>
        <w:tc>
          <w:tcPr>
            <w:tcW w:w="160" w:type="dxa"/>
            <w:vAlign w:val="bottom"/>
            <w:shd w:val="clear" w:color="auto" w:fill="D6F3E8"/>
          </w:tcPr>
          <w:p>
            <w:pPr>
              <w:spacing w:after="0"/>
              <w:rPr>
                <w:sz w:val="18"/>
                <w:szCs w:val="18"/>
                <w:color w:val="auto"/>
              </w:rPr>
            </w:pPr>
          </w:p>
        </w:tc>
        <w:tc>
          <w:tcPr>
            <w:tcW w:w="11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2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$325 as of December 31, 2010 and $300 as of March 28, 2010</w:t>
            </w:r>
          </w:p>
        </w:tc>
        <w:tc>
          <w:tcPr>
            <w:tcW w:w="160" w:type="dxa"/>
            <w:vAlign w:val="bottom"/>
            <w:shd w:val="clear" w:color="auto" w:fill="D6F3E8"/>
          </w:tcPr>
          <w:p>
            <w:pPr>
              <w:spacing w:after="0"/>
              <w:rPr>
                <w:sz w:val="19"/>
                <w:szCs w:val="19"/>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26,847</w:t>
            </w:r>
          </w:p>
        </w:tc>
        <w:tc>
          <w:tcPr>
            <w:tcW w:w="320" w:type="dxa"/>
            <w:vAlign w:val="bottom"/>
            <w:shd w:val="clear" w:color="auto" w:fill="D6F3E8"/>
          </w:tcPr>
          <w:p>
            <w:pPr>
              <w:spacing w:after="0"/>
              <w:rPr>
                <w:sz w:val="19"/>
                <w:szCs w:val="19"/>
                <w:color w:val="auto"/>
              </w:rPr>
            </w:pPr>
          </w:p>
        </w:tc>
        <w:tc>
          <w:tcPr>
            <w:tcW w:w="220" w:type="dxa"/>
            <w:vAlign w:val="bottom"/>
            <w:shd w:val="clear" w:color="auto" w:fill="D6F3E8"/>
          </w:tcPr>
          <w:p>
            <w:pPr>
              <w:spacing w:after="0"/>
              <w:rPr>
                <w:sz w:val="19"/>
                <w:szCs w:val="19"/>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24,832</w:t>
            </w:r>
          </w:p>
        </w:tc>
        <w:tc>
          <w:tcPr>
            <w:tcW w:w="1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140"/>
              <w:spacing w:after="0"/>
              <w:rPr>
                <w:sz w:val="20"/>
                <w:szCs w:val="20"/>
                <w:color w:val="auto"/>
              </w:rPr>
            </w:pPr>
            <w:r>
              <w:rPr>
                <w:rFonts w:ascii="Arial" w:cs="Arial" w:eastAsia="Arial" w:hAnsi="Arial"/>
                <w:sz w:val="18"/>
                <w:szCs w:val="18"/>
                <w:color w:val="auto"/>
                <w:w w:val="99"/>
              </w:rPr>
              <w:t>Inventories</w:t>
            </w:r>
          </w:p>
        </w:tc>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24,414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Income taxes receivable</w:t>
            </w:r>
          </w:p>
        </w:tc>
        <w:tc>
          <w:tcPr>
            <w:tcW w:w="160" w:type="dxa"/>
            <w:vAlign w:val="bottom"/>
            <w:shd w:val="clear" w:color="auto" w:fill="D6F3E8"/>
          </w:tcPr>
          <w:p>
            <w:pPr>
              <w:spacing w:after="0"/>
              <w:rPr>
                <w:sz w:val="18"/>
                <w:szCs w:val="18"/>
                <w:color w:val="auto"/>
              </w:rPr>
            </w:pPr>
          </w:p>
        </w:tc>
        <w:tc>
          <w:tcPr>
            <w:tcW w:w="14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4,430</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gridSpan w:val="2"/>
            <w:shd w:val="clear" w:color="auto" w:fill="D6F3E8"/>
          </w:tcPr>
          <w:p>
            <w:pPr>
              <w:ind w:left="46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117,223</w:t>
            </w:r>
          </w:p>
        </w:tc>
        <w:tc>
          <w:tcPr>
            <w:tcW w:w="3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97,498</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8440" w:type="dxa"/>
            <w:vAlign w:val="bottom"/>
            <w:gridSpan w:val="3"/>
          </w:tcPr>
          <w:p>
            <w:pPr>
              <w:spacing w:after="0"/>
              <w:rPr>
                <w:sz w:val="20"/>
                <w:szCs w:val="20"/>
                <w:color w:val="auto"/>
              </w:rPr>
            </w:pPr>
            <w:r>
              <w:rPr>
                <w:rFonts w:ascii="Arial" w:cs="Arial" w:eastAsia="Arial" w:hAnsi="Arial"/>
                <w:sz w:val="18"/>
                <w:szCs w:val="18"/>
                <w:color w:val="auto"/>
              </w:rPr>
              <w:t>PROPERTY, PLANT, AND EQUIPMENT - net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49,682</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47,756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842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GOODWILL AND INTANGIBLE ASSETS</w:t>
            </w:r>
          </w:p>
        </w:tc>
        <w:tc>
          <w:tcPr>
            <w:tcW w:w="16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4,657</w:t>
            </w:r>
          </w:p>
        </w:tc>
        <w:tc>
          <w:tcPr>
            <w:tcW w:w="3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4,839</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8440" w:type="dxa"/>
            <w:vAlign w:val="bottom"/>
            <w:gridSpan w:val="3"/>
          </w:tcPr>
          <w:p>
            <w:pPr>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8,972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4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OTHER</w:t>
            </w:r>
          </w:p>
        </w:tc>
        <w:tc>
          <w:tcPr>
            <w:tcW w:w="7380" w:type="dxa"/>
            <w:vAlign w:val="bottom"/>
            <w:tcBorders>
              <w:bottom w:val="single" w:sz="8" w:color="D6F3E8"/>
            </w:tcBorders>
            <w:shd w:val="clear" w:color="auto" w:fill="D6F3E8"/>
          </w:tcPr>
          <w:p>
            <w:pPr>
              <w:spacing w:after="0"/>
              <w:rPr>
                <w:sz w:val="18"/>
                <w:szCs w:val="18"/>
                <w:color w:val="auto"/>
              </w:rPr>
            </w:pPr>
          </w:p>
        </w:tc>
        <w:tc>
          <w:tcPr>
            <w:tcW w:w="160" w:type="dxa"/>
            <w:vAlign w:val="bottom"/>
            <w:tcBorders>
              <w:bottom w:val="single" w:sz="8" w:color="auto"/>
            </w:tcBorders>
            <w:shd w:val="clear" w:color="auto" w:fill="D6F3E8"/>
          </w:tcPr>
          <w:p>
            <w:pPr>
              <w:spacing w:after="0"/>
              <w:rPr>
                <w:sz w:val="18"/>
                <w:szCs w:val="18"/>
                <w:color w:val="auto"/>
              </w:rPr>
            </w:pPr>
          </w:p>
        </w:tc>
        <w:tc>
          <w:tcPr>
            <w:tcW w:w="11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172</w:t>
            </w:r>
          </w:p>
        </w:tc>
        <w:tc>
          <w:tcPr>
            <w:tcW w:w="320" w:type="dxa"/>
            <w:vAlign w:val="bottom"/>
            <w:tcBorders>
              <w:bottom w:val="single" w:sz="8" w:color="D6F3E8"/>
            </w:tcBorders>
            <w:shd w:val="clear" w:color="auto" w:fill="D6F3E8"/>
          </w:tcPr>
          <w:p>
            <w:pPr>
              <w:spacing w:after="0"/>
              <w:rPr>
                <w:sz w:val="18"/>
                <w:szCs w:val="18"/>
                <w:color w:val="auto"/>
              </w:rPr>
            </w:pPr>
          </w:p>
        </w:tc>
        <w:tc>
          <w:tcPr>
            <w:tcW w:w="220" w:type="dxa"/>
            <w:vAlign w:val="bottom"/>
            <w:tcBorders>
              <w:bottom w:val="single" w:sz="8" w:color="auto"/>
            </w:tcBorders>
            <w:shd w:val="clear" w:color="auto" w:fill="D6F3E8"/>
          </w:tcPr>
          <w:p>
            <w:pPr>
              <w:spacing w:after="0"/>
              <w:rPr>
                <w:sz w:val="18"/>
                <w:szCs w:val="18"/>
                <w:color w:val="auto"/>
              </w:rPr>
            </w:pPr>
          </w:p>
        </w:tc>
        <w:tc>
          <w:tcPr>
            <w:tcW w:w="10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1,228</w:t>
            </w:r>
          </w:p>
        </w:tc>
        <w:tc>
          <w:tcPr>
            <w:tcW w:w="12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171,734</w:t>
            </w:r>
          </w:p>
        </w:tc>
        <w:tc>
          <w:tcPr>
            <w:tcW w:w="32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842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D6F3E8"/>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D6F3E8"/>
          </w:tcPr>
          <w:p>
            <w:pPr>
              <w:spacing w:after="0"/>
              <w:rPr>
                <w:sz w:val="18"/>
                <w:szCs w:val="18"/>
                <w:color w:val="auto"/>
              </w:rPr>
            </w:pPr>
          </w:p>
        </w:tc>
        <w:tc>
          <w:tcPr>
            <w:tcW w:w="11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844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Accounts payable – trade</w:t>
            </w: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14,513</w:t>
            </w:r>
          </w:p>
        </w:tc>
        <w:tc>
          <w:tcPr>
            <w:tcW w:w="320" w:type="dxa"/>
            <w:vAlign w:val="bottom"/>
            <w:shd w:val="clear" w:color="auto" w:fill="D6F3E8"/>
          </w:tcPr>
          <w:p>
            <w:pPr>
              <w:spacing w:after="0"/>
              <w:rPr>
                <w:sz w:val="18"/>
                <w:szCs w:val="18"/>
                <w:color w:val="auto"/>
              </w:rPr>
            </w:pPr>
          </w:p>
        </w:tc>
        <w:tc>
          <w:tcPr>
            <w:tcW w:w="22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13,940</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Dividends payable</w:t>
            </w: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Accrued payroll and employee benefits</w:t>
            </w:r>
          </w:p>
        </w:tc>
        <w:tc>
          <w:tcPr>
            <w:tcW w:w="16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5,721</w:t>
            </w:r>
          </w:p>
        </w:tc>
        <w:tc>
          <w:tcPr>
            <w:tcW w:w="3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7,908</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3,664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Container deposits</w:t>
            </w:r>
          </w:p>
        </w:tc>
        <w:tc>
          <w:tcPr>
            <w:tcW w:w="16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984</w:t>
            </w:r>
          </w:p>
        </w:tc>
        <w:tc>
          <w:tcPr>
            <w:tcW w:w="3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924</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Borders>
              <w:bottom w:val="single" w:sz="8" w:color="D6F3E8"/>
            </w:tcBorders>
            <w:gridSpan w:val="2"/>
            <w:shd w:val="clear" w:color="auto" w:fill="D6F3E8"/>
          </w:tcPr>
          <w:p>
            <w:pPr>
              <w:ind w:left="140"/>
              <w:spacing w:after="0"/>
              <w:rPr>
                <w:sz w:val="20"/>
                <w:szCs w:val="20"/>
                <w:color w:val="auto"/>
              </w:rPr>
            </w:pPr>
            <w:r>
              <w:rPr>
                <w:rFonts w:ascii="Arial" w:cs="Arial" w:eastAsia="Arial" w:hAnsi="Arial"/>
                <w:sz w:val="18"/>
                <w:szCs w:val="18"/>
                <w:color w:val="auto"/>
              </w:rPr>
              <w:t>Other accruals</w:t>
            </w:r>
          </w:p>
        </w:tc>
        <w:tc>
          <w:tcPr>
            <w:tcW w:w="160" w:type="dxa"/>
            <w:vAlign w:val="bottom"/>
            <w:tcBorders>
              <w:bottom w:val="single" w:sz="8" w:color="auto"/>
            </w:tcBorders>
            <w:shd w:val="clear" w:color="auto" w:fill="D6F3E8"/>
          </w:tcPr>
          <w:p>
            <w:pPr>
              <w:spacing w:after="0"/>
              <w:rPr>
                <w:sz w:val="18"/>
                <w:szCs w:val="18"/>
                <w:color w:val="auto"/>
              </w:rPr>
            </w:pPr>
          </w:p>
        </w:tc>
        <w:tc>
          <w:tcPr>
            <w:tcW w:w="11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1,381</w:t>
            </w:r>
          </w:p>
        </w:tc>
        <w:tc>
          <w:tcPr>
            <w:tcW w:w="320" w:type="dxa"/>
            <w:vAlign w:val="bottom"/>
            <w:tcBorders>
              <w:bottom w:val="single" w:sz="8" w:color="D6F3E8"/>
            </w:tcBorders>
            <w:shd w:val="clear" w:color="auto" w:fill="D6F3E8"/>
          </w:tcPr>
          <w:p>
            <w:pPr>
              <w:spacing w:after="0"/>
              <w:rPr>
                <w:sz w:val="18"/>
                <w:szCs w:val="18"/>
                <w:color w:val="auto"/>
              </w:rPr>
            </w:pPr>
          </w:p>
        </w:tc>
        <w:tc>
          <w:tcPr>
            <w:tcW w:w="220" w:type="dxa"/>
            <w:vAlign w:val="bottom"/>
            <w:tcBorders>
              <w:bottom w:val="single" w:sz="8" w:color="auto"/>
            </w:tcBorders>
            <w:shd w:val="clear" w:color="auto" w:fill="D6F3E8"/>
          </w:tcPr>
          <w:p>
            <w:pPr>
              <w:spacing w:after="0"/>
              <w:rPr>
                <w:sz w:val="18"/>
                <w:szCs w:val="18"/>
                <w:color w:val="auto"/>
              </w:rPr>
            </w:pPr>
          </w:p>
        </w:tc>
        <w:tc>
          <w:tcPr>
            <w:tcW w:w="10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1,592</w:t>
            </w:r>
          </w:p>
        </w:tc>
        <w:tc>
          <w:tcPr>
            <w:tcW w:w="12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46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26,717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4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566</w:t>
            </w:r>
          </w:p>
        </w:tc>
        <w:tc>
          <w:tcPr>
            <w:tcW w:w="3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844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7,563</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7,555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842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D6F3E8"/>
          </w:tcPr>
          <w:p>
            <w:pPr>
              <w:spacing w:after="0"/>
              <w:rPr>
                <w:sz w:val="18"/>
                <w:szCs w:val="18"/>
                <w:color w:val="auto"/>
              </w:rPr>
            </w:pPr>
          </w:p>
        </w:tc>
        <w:tc>
          <w:tcPr>
            <w:tcW w:w="11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844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w w:val="92"/>
              </w:rPr>
              <w:t>Common stock, par value $0.05; 10,259,458 and 10,253,458 shares issued and outstanding as of December 31,</w:t>
            </w:r>
          </w:p>
        </w:tc>
        <w:tc>
          <w:tcPr>
            <w:tcW w:w="160" w:type="dxa"/>
            <w:vAlign w:val="bottom"/>
            <w:shd w:val="clear" w:color="auto" w:fill="D6F3E8"/>
          </w:tcPr>
          <w:p>
            <w:pPr>
              <w:spacing w:after="0"/>
              <w:rPr>
                <w:sz w:val="18"/>
                <w:szCs w:val="18"/>
                <w:color w:val="auto"/>
              </w:rPr>
            </w:pPr>
          </w:p>
        </w:tc>
        <w:tc>
          <w:tcPr>
            <w:tcW w:w="11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2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2010 and March 28, 2010, respectively</w:t>
            </w:r>
          </w:p>
        </w:tc>
        <w:tc>
          <w:tcPr>
            <w:tcW w:w="160" w:type="dxa"/>
            <w:vAlign w:val="bottom"/>
            <w:shd w:val="clear" w:color="auto" w:fill="D6F3E8"/>
          </w:tcPr>
          <w:p>
            <w:pPr>
              <w:spacing w:after="0"/>
              <w:rPr>
                <w:sz w:val="19"/>
                <w:szCs w:val="19"/>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513</w:t>
            </w:r>
          </w:p>
        </w:tc>
        <w:tc>
          <w:tcPr>
            <w:tcW w:w="320" w:type="dxa"/>
            <w:vAlign w:val="bottom"/>
            <w:shd w:val="clear" w:color="auto" w:fill="D6F3E8"/>
          </w:tcPr>
          <w:p>
            <w:pPr>
              <w:spacing w:after="0"/>
              <w:rPr>
                <w:sz w:val="19"/>
                <w:szCs w:val="19"/>
                <w:color w:val="auto"/>
              </w:rPr>
            </w:pPr>
          </w:p>
        </w:tc>
        <w:tc>
          <w:tcPr>
            <w:tcW w:w="220" w:type="dxa"/>
            <w:vAlign w:val="bottom"/>
            <w:shd w:val="clear" w:color="auto" w:fill="D6F3E8"/>
          </w:tcPr>
          <w:p>
            <w:pPr>
              <w:spacing w:after="0"/>
              <w:rPr>
                <w:sz w:val="19"/>
                <w:szCs w:val="19"/>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40,157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39,027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96,217</w:t>
            </w:r>
          </w:p>
        </w:tc>
        <w:tc>
          <w:tcPr>
            <w:tcW w:w="3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81,921</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bottom w:val="single" w:sz="8" w:color="D6F3E8"/>
            </w:tcBorders>
            <w:gridSpan w:val="2"/>
            <w:shd w:val="clear" w:color="auto" w:fill="D6F3E8"/>
          </w:tcPr>
          <w:p>
            <w:pPr>
              <w:ind w:left="30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shd w:val="clear" w:color="auto" w:fill="D6F3E8"/>
          </w:tcPr>
          <w:p>
            <w:pPr>
              <w:spacing w:after="0"/>
              <w:rPr>
                <w:sz w:val="18"/>
                <w:szCs w:val="18"/>
                <w:color w:val="auto"/>
              </w:rPr>
            </w:pPr>
          </w:p>
        </w:tc>
        <w:tc>
          <w:tcPr>
            <w:tcW w:w="11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136,888</w:t>
            </w:r>
          </w:p>
        </w:tc>
        <w:tc>
          <w:tcPr>
            <w:tcW w:w="320" w:type="dxa"/>
            <w:vAlign w:val="bottom"/>
            <w:tcBorders>
              <w:bottom w:val="single" w:sz="8" w:color="D6F3E8"/>
            </w:tcBorders>
            <w:shd w:val="clear" w:color="auto" w:fill="D6F3E8"/>
          </w:tcPr>
          <w:p>
            <w:pPr>
              <w:spacing w:after="0"/>
              <w:rPr>
                <w:sz w:val="18"/>
                <w:szCs w:val="18"/>
                <w:color w:val="auto"/>
              </w:rPr>
            </w:pPr>
          </w:p>
        </w:tc>
        <w:tc>
          <w:tcPr>
            <w:tcW w:w="220" w:type="dxa"/>
            <w:vAlign w:val="bottom"/>
            <w:tcBorders>
              <w:bottom w:val="single" w:sz="8" w:color="auto"/>
            </w:tcBorders>
            <w:shd w:val="clear" w:color="auto" w:fill="D6F3E8"/>
          </w:tcPr>
          <w:p>
            <w:pPr>
              <w:spacing w:after="0"/>
              <w:rPr>
                <w:sz w:val="18"/>
                <w:szCs w:val="18"/>
                <w:color w:val="auto"/>
              </w:rPr>
            </w:pPr>
          </w:p>
        </w:tc>
        <w:tc>
          <w:tcPr>
            <w:tcW w:w="10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121,498</w:t>
            </w:r>
          </w:p>
        </w:tc>
        <w:tc>
          <w:tcPr>
            <w:tcW w:w="12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171,734</w:t>
            </w:r>
          </w:p>
        </w:tc>
        <w:tc>
          <w:tcPr>
            <w:tcW w:w="32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 (UNAUDITED)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43"/>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 except share and per-share data)</w:t>
            </w: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w w:val="96"/>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1180" w:type="dxa"/>
            <w:vAlign w:val="bottom"/>
            <w:gridSpan w:val="2"/>
          </w:tcPr>
          <w:p>
            <w:pPr>
              <w:spacing w:after="0"/>
              <w:rPr>
                <w:sz w:val="12"/>
                <w:szCs w:val="12"/>
                <w:color w:val="auto"/>
              </w:rPr>
            </w:pPr>
          </w:p>
        </w:tc>
        <w:tc>
          <w:tcPr>
            <w:tcW w:w="58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70,620</w:t>
            </w:r>
          </w:p>
        </w:tc>
        <w:tc>
          <w:tcPr>
            <w:tcW w:w="340" w:type="dxa"/>
            <w:vAlign w:val="bottom"/>
            <w:shd w:val="clear" w:color="auto" w:fill="D6F3E8"/>
          </w:tcPr>
          <w:p>
            <w:pPr>
              <w:spacing w:after="0"/>
              <w:rPr>
                <w:sz w:val="18"/>
                <w:szCs w:val="18"/>
                <w:color w:val="auto"/>
              </w:rPr>
            </w:pPr>
          </w:p>
        </w:tc>
        <w:tc>
          <w:tcPr>
            <w:tcW w:w="460" w:type="dxa"/>
            <w:vAlign w:val="bottom"/>
            <w:shd w:val="clear" w:color="auto" w:fill="D6F3E8"/>
          </w:tcPr>
          <w:p>
            <w:pPr>
              <w:jc w:val="right"/>
              <w:ind w:right="30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60,627</w:t>
            </w:r>
          </w:p>
        </w:tc>
        <w:tc>
          <w:tcPr>
            <w:tcW w:w="180" w:type="dxa"/>
            <w:vAlign w:val="bottom"/>
            <w:shd w:val="clear" w:color="auto" w:fill="D6F3E8"/>
          </w:tcPr>
          <w:p>
            <w:pPr>
              <w:spacing w:after="0"/>
              <w:rPr>
                <w:sz w:val="18"/>
                <w:szCs w:val="18"/>
                <w:color w:val="auto"/>
              </w:rPr>
            </w:pPr>
          </w:p>
        </w:tc>
        <w:tc>
          <w:tcPr>
            <w:tcW w:w="440" w:type="dxa"/>
            <w:vAlign w:val="bottom"/>
            <w:gridSpan w:val="2"/>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215,684</w:t>
            </w:r>
          </w:p>
        </w:tc>
        <w:tc>
          <w:tcPr>
            <w:tcW w:w="580" w:type="dxa"/>
            <w:vAlign w:val="bottom"/>
            <w:gridSpan w:val="2"/>
            <w:shd w:val="clear" w:color="auto" w:fill="D6F3E8"/>
          </w:tcPr>
          <w:p>
            <w:pPr>
              <w:jc w:val="right"/>
              <w:ind w:right="283"/>
              <w:spacing w:after="0"/>
              <w:rPr>
                <w:sz w:val="20"/>
                <w:szCs w:val="20"/>
                <w:color w:val="auto"/>
              </w:rPr>
            </w:pPr>
            <w:r>
              <w:rPr>
                <w:rFonts w:ascii="Arial" w:cs="Arial" w:eastAsia="Arial" w:hAnsi="Arial"/>
                <w:sz w:val="18"/>
                <w:szCs w:val="18"/>
                <w:color w:val="auto"/>
              </w:rPr>
              <w:t>$</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199,189</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52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4"/>
                <w:szCs w:val="2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(56,894)</w:t>
            </w:r>
          </w:p>
        </w:tc>
        <w:tc>
          <w:tcPr>
            <w:tcW w:w="4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(44,772)</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(165,768)</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(150,062)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1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D6F3E8"/>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13,726</w:t>
            </w:r>
          </w:p>
        </w:tc>
        <w:tc>
          <w:tcPr>
            <w:tcW w:w="34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15,855</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49,916</w:t>
            </w:r>
          </w:p>
        </w:tc>
        <w:tc>
          <w:tcPr>
            <w:tcW w:w="14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49,127</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520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4"/>
                <w:szCs w:val="2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(6,893)</w:t>
            </w:r>
          </w:p>
        </w:tc>
        <w:tc>
          <w:tcPr>
            <w:tcW w:w="4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(6,447)</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(20,368)</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(19,370)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1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6,833</w:t>
            </w:r>
          </w:p>
        </w:tc>
        <w:tc>
          <w:tcPr>
            <w:tcW w:w="34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9,408</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29,548</w:t>
            </w:r>
          </w:p>
        </w:tc>
        <w:tc>
          <w:tcPr>
            <w:tcW w:w="14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29,757</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520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6,904</w:t>
            </w:r>
          </w:p>
        </w:tc>
        <w:tc>
          <w:tcPr>
            <w:tcW w:w="34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9,507</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29,820</w:t>
            </w:r>
          </w:p>
        </w:tc>
        <w:tc>
          <w:tcPr>
            <w:tcW w:w="14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29,945</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52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4"/>
                <w:szCs w:val="2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(2,650)</w:t>
            </w:r>
          </w:p>
        </w:tc>
        <w:tc>
          <w:tcPr>
            <w:tcW w:w="4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(3,912)</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(11,397)</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(11,741)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1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4,254</w:t>
            </w:r>
          </w:p>
        </w:tc>
        <w:tc>
          <w:tcPr>
            <w:tcW w:w="34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5,595</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18,423</w:t>
            </w:r>
          </w:p>
        </w:tc>
        <w:tc>
          <w:tcPr>
            <w:tcW w:w="14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18,204</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520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280" w:type="dxa"/>
            <w:vAlign w:val="bottom"/>
          </w:tcPr>
          <w:p>
            <w:pPr>
              <w:spacing w:after="0"/>
              <w:rPr>
                <w:sz w:val="24"/>
                <w:szCs w:val="2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1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518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4,254</w:t>
            </w:r>
          </w:p>
        </w:tc>
        <w:tc>
          <w:tcPr>
            <w:tcW w:w="340" w:type="dxa"/>
            <w:vAlign w:val="bottom"/>
            <w:shd w:val="clear" w:color="auto" w:fill="D6F3E8"/>
          </w:tcPr>
          <w:p>
            <w:pPr>
              <w:spacing w:after="0"/>
              <w:rPr>
                <w:sz w:val="20"/>
                <w:szCs w:val="20"/>
                <w:color w:val="auto"/>
              </w:rPr>
            </w:pPr>
          </w:p>
        </w:tc>
        <w:tc>
          <w:tcPr>
            <w:tcW w:w="460" w:type="dxa"/>
            <w:vAlign w:val="bottom"/>
            <w:shd w:val="clear" w:color="auto" w:fill="D6F3E8"/>
          </w:tcPr>
          <w:p>
            <w:pPr>
              <w:jc w:val="right"/>
              <w:ind w:right="30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5,595</w:t>
            </w:r>
          </w:p>
        </w:tc>
        <w:tc>
          <w:tcPr>
            <w:tcW w:w="180" w:type="dxa"/>
            <w:vAlign w:val="bottom"/>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3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18,423</w:t>
            </w:r>
          </w:p>
        </w:tc>
        <w:tc>
          <w:tcPr>
            <w:tcW w:w="200" w:type="dxa"/>
            <w:vAlign w:val="bottom"/>
            <w:shd w:val="clear" w:color="auto" w:fill="D6F3E8"/>
          </w:tcPr>
          <w:p>
            <w:pPr>
              <w:spacing w:after="0"/>
              <w:rPr>
                <w:sz w:val="20"/>
                <w:szCs w:val="20"/>
                <w:color w:val="auto"/>
              </w:rPr>
            </w:pPr>
          </w:p>
        </w:tc>
        <w:tc>
          <w:tcPr>
            <w:tcW w:w="580" w:type="dxa"/>
            <w:vAlign w:val="bottom"/>
            <w:gridSpan w:val="2"/>
            <w:shd w:val="clear" w:color="auto" w:fill="D6F3E8"/>
          </w:tcPr>
          <w:p>
            <w:pPr>
              <w:jc w:val="right"/>
              <w:ind w:right="283"/>
              <w:spacing w:after="0"/>
              <w:rPr>
                <w:sz w:val="20"/>
                <w:szCs w:val="20"/>
                <w:color w:val="auto"/>
              </w:rPr>
            </w:pPr>
            <w:r>
              <w:rPr>
                <w:rFonts w:ascii="Arial" w:cs="Arial" w:eastAsia="Arial" w:hAnsi="Arial"/>
                <w:sz w:val="18"/>
                <w:szCs w:val="18"/>
                <w:color w:val="auto"/>
              </w:rPr>
              <w:t>$</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18,313</w:t>
            </w:r>
          </w:p>
        </w:tc>
        <w:tc>
          <w:tcPr>
            <w:tcW w:w="120" w:type="dxa"/>
            <w:vAlign w:val="bottom"/>
            <w:shd w:val="clear" w:color="auto" w:fill="D6F3E8"/>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D6F3E8"/>
            </w:tcBorders>
            <w:shd w:val="clear" w:color="auto" w:fill="D6F3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tcBorders>
            <w:shd w:val="clear" w:color="auto" w:fill="D6F3E8"/>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D6F3E8"/>
            </w:tcBorders>
            <w:shd w:val="clear" w:color="auto" w:fill="D6F3E8"/>
          </w:tcPr>
          <w:p>
            <w:pPr>
              <w:spacing w:after="0" w:line="20" w:lineRule="exact"/>
              <w:rPr>
                <w:sz w:val="1"/>
                <w:szCs w:val="1"/>
                <w:color w:val="auto"/>
              </w:rPr>
            </w:pPr>
          </w:p>
        </w:tc>
        <w:tc>
          <w:tcPr>
            <w:tcW w:w="140" w:type="dxa"/>
            <w:vAlign w:val="bottom"/>
            <w:tcBorders>
              <w:top w:val="single" w:sz="8" w:color="D6F3E8"/>
            </w:tcBorders>
            <w:shd w:val="clear" w:color="auto" w:fill="D6F3E8"/>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D6F3E8"/>
            </w:tcBorders>
            <w:shd w:val="clear" w:color="auto" w:fill="D6F3E8"/>
          </w:tcPr>
          <w:p>
            <w:pPr>
              <w:spacing w:after="0" w:line="20" w:lineRule="exact"/>
              <w:rPr>
                <w:sz w:val="1"/>
                <w:szCs w:val="1"/>
                <w:color w:val="auto"/>
              </w:rPr>
            </w:pPr>
          </w:p>
        </w:tc>
        <w:tc>
          <w:tcPr>
            <w:tcW w:w="140" w:type="dxa"/>
            <w:vAlign w:val="bottom"/>
            <w:tcBorders>
              <w:top w:val="single" w:sz="8" w:color="D6F3E8"/>
            </w:tcBorders>
            <w:shd w:val="clear" w:color="auto" w:fill="D6F3E8"/>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6F3E8"/>
            </w:tcBorders>
            <w:shd w:val="clear" w:color="auto" w:fill="D6F3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20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outstanding-basic</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10,259,458</w:t>
            </w:r>
          </w:p>
        </w:tc>
        <w:tc>
          <w:tcPr>
            <w:tcW w:w="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10,253,458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10,256,674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10,250,198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restart"/>
          </w:tcPr>
          <w:p>
            <w:pPr>
              <w:spacing w:after="0"/>
              <w:rPr>
                <w:sz w:val="11"/>
                <w:szCs w:val="11"/>
                <w:color w:val="auto"/>
              </w:rPr>
            </w:pPr>
          </w:p>
        </w:tc>
        <w:tc>
          <w:tcPr>
            <w:tcW w:w="5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18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outstanding-diluted</w:t>
            </w:r>
          </w:p>
        </w:tc>
        <w:tc>
          <w:tcPr>
            <w:tcW w:w="280" w:type="dxa"/>
            <w:vAlign w:val="bottom"/>
            <w:tcBorders>
              <w:bottom w:val="single" w:sz="8" w:color="auto"/>
            </w:tcBorders>
            <w:shd w:val="clear" w:color="auto" w:fill="D6F3E8"/>
          </w:tcPr>
          <w:p>
            <w:pPr>
              <w:spacing w:after="0"/>
              <w:rPr>
                <w:sz w:val="22"/>
                <w:szCs w:val="22"/>
                <w:color w:val="auto"/>
              </w:rPr>
            </w:pPr>
          </w:p>
        </w:tc>
        <w:tc>
          <w:tcPr>
            <w:tcW w:w="9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10,355,888</w:t>
            </w:r>
          </w:p>
        </w:tc>
        <w:tc>
          <w:tcPr>
            <w:tcW w:w="340" w:type="dxa"/>
            <w:vAlign w:val="bottom"/>
            <w:tcBorders>
              <w:bottom w:val="single" w:sz="8" w:color="D6F3E8"/>
            </w:tcBorders>
            <w:shd w:val="clear" w:color="auto" w:fill="D6F3E8"/>
          </w:tcPr>
          <w:p>
            <w:pPr>
              <w:spacing w:after="0"/>
              <w:rPr>
                <w:sz w:val="22"/>
                <w:szCs w:val="22"/>
                <w:color w:val="auto"/>
              </w:rPr>
            </w:pPr>
          </w:p>
        </w:tc>
        <w:tc>
          <w:tcPr>
            <w:tcW w:w="460" w:type="dxa"/>
            <w:vAlign w:val="bottom"/>
            <w:tcBorders>
              <w:bottom w:val="single" w:sz="8" w:color="auto"/>
            </w:tcBorders>
            <w:shd w:val="clear" w:color="auto" w:fill="D6F3E8"/>
          </w:tcPr>
          <w:p>
            <w:pPr>
              <w:spacing w:after="0"/>
              <w:rPr>
                <w:sz w:val="22"/>
                <w:szCs w:val="22"/>
                <w:color w:val="auto"/>
              </w:rPr>
            </w:pPr>
          </w:p>
        </w:tc>
        <w:tc>
          <w:tcPr>
            <w:tcW w:w="8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88"/>
              </w:rPr>
              <w:t>10,283,206</w:t>
            </w:r>
          </w:p>
        </w:tc>
        <w:tc>
          <w:tcPr>
            <w:tcW w:w="180" w:type="dxa"/>
            <w:vAlign w:val="bottom"/>
            <w:tcBorders>
              <w:bottom w:val="single" w:sz="8" w:color="D6F3E8"/>
            </w:tcBorders>
            <w:shd w:val="clear" w:color="auto" w:fill="D6F3E8"/>
          </w:tcPr>
          <w:p>
            <w:pPr>
              <w:spacing w:after="0"/>
              <w:rPr>
                <w:sz w:val="22"/>
                <w:szCs w:val="22"/>
                <w:color w:val="auto"/>
              </w:rPr>
            </w:pPr>
          </w:p>
        </w:tc>
        <w:tc>
          <w:tcPr>
            <w:tcW w:w="140" w:type="dxa"/>
            <w:vAlign w:val="bottom"/>
            <w:tcBorders>
              <w:bottom w:val="single" w:sz="8" w:color="D6F3E8"/>
            </w:tcBorders>
            <w:shd w:val="clear" w:color="auto" w:fill="D6F3E8"/>
          </w:tcPr>
          <w:p>
            <w:pPr>
              <w:spacing w:after="0"/>
              <w:rPr>
                <w:sz w:val="22"/>
                <w:szCs w:val="22"/>
                <w:color w:val="auto"/>
              </w:rPr>
            </w:pPr>
          </w:p>
        </w:tc>
        <w:tc>
          <w:tcPr>
            <w:tcW w:w="300" w:type="dxa"/>
            <w:vAlign w:val="bottom"/>
            <w:tcBorders>
              <w:bottom w:val="single" w:sz="8" w:color="auto"/>
            </w:tcBorders>
            <w:shd w:val="clear" w:color="auto" w:fill="D6F3E8"/>
          </w:tcPr>
          <w:p>
            <w:pPr>
              <w:spacing w:after="0"/>
              <w:rPr>
                <w:sz w:val="22"/>
                <w:szCs w:val="22"/>
                <w:color w:val="auto"/>
              </w:rPr>
            </w:pPr>
          </w:p>
        </w:tc>
        <w:tc>
          <w:tcPr>
            <w:tcW w:w="9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10,336,169</w:t>
            </w:r>
          </w:p>
        </w:tc>
        <w:tc>
          <w:tcPr>
            <w:tcW w:w="200" w:type="dxa"/>
            <w:vAlign w:val="bottom"/>
            <w:tcBorders>
              <w:bottom w:val="single" w:sz="8" w:color="D6F3E8"/>
            </w:tcBorders>
            <w:shd w:val="clear" w:color="auto" w:fill="D6F3E8"/>
          </w:tcPr>
          <w:p>
            <w:pPr>
              <w:spacing w:after="0"/>
              <w:rPr>
                <w:sz w:val="22"/>
                <w:szCs w:val="22"/>
                <w:color w:val="auto"/>
              </w:rPr>
            </w:pPr>
          </w:p>
        </w:tc>
        <w:tc>
          <w:tcPr>
            <w:tcW w:w="140" w:type="dxa"/>
            <w:vAlign w:val="bottom"/>
            <w:tcBorders>
              <w:bottom w:val="single" w:sz="8" w:color="D6F3E8"/>
            </w:tcBorders>
            <w:shd w:val="clear" w:color="auto" w:fill="D6F3E8"/>
          </w:tcPr>
          <w:p>
            <w:pPr>
              <w:spacing w:after="0"/>
              <w:rPr>
                <w:sz w:val="22"/>
                <w:szCs w:val="22"/>
                <w:color w:val="auto"/>
              </w:rPr>
            </w:pPr>
          </w:p>
        </w:tc>
        <w:tc>
          <w:tcPr>
            <w:tcW w:w="440" w:type="dxa"/>
            <w:vAlign w:val="bottom"/>
            <w:tcBorders>
              <w:bottom w:val="single" w:sz="8" w:color="auto"/>
            </w:tcBorders>
            <w:shd w:val="clear" w:color="auto" w:fill="D6F3E8"/>
          </w:tcPr>
          <w:p>
            <w:pPr>
              <w:spacing w:after="0"/>
              <w:rPr>
                <w:sz w:val="22"/>
                <w:szCs w:val="22"/>
                <w:color w:val="auto"/>
              </w:rPr>
            </w:pPr>
          </w:p>
        </w:tc>
        <w:tc>
          <w:tcPr>
            <w:tcW w:w="8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90"/>
              </w:rPr>
              <w:t>10,279,417</w:t>
            </w:r>
          </w:p>
        </w:tc>
        <w:tc>
          <w:tcPr>
            <w:tcW w:w="120" w:type="dxa"/>
            <w:vAlign w:val="bottom"/>
            <w:tcBorders>
              <w:bottom w:val="single" w:sz="8" w:color="D6F3E8"/>
            </w:tcBorders>
            <w:shd w:val="clear" w:color="auto" w:fill="D6F3E8"/>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520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shd w:val="clear" w:color="auto" w:fill="D6F3E8"/>
          </w:tcPr>
          <w:p>
            <w:pPr>
              <w:ind w:left="300"/>
              <w:spacing w:after="0"/>
              <w:rPr>
                <w:sz w:val="20"/>
                <w:szCs w:val="20"/>
                <w:color w:val="auto"/>
              </w:rPr>
            </w:pPr>
            <w:r>
              <w:rPr>
                <w:rFonts w:ascii="Arial" w:cs="Arial" w:eastAsia="Arial" w:hAnsi="Arial"/>
                <w:sz w:val="18"/>
                <w:szCs w:val="18"/>
                <w:color w:val="auto"/>
              </w:rPr>
              <w:t>Earnings per share from continuing operations</w:t>
            </w: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0.41</w:t>
            </w:r>
          </w:p>
        </w:tc>
        <w:tc>
          <w:tcPr>
            <w:tcW w:w="340" w:type="dxa"/>
            <w:vAlign w:val="bottom"/>
            <w:shd w:val="clear" w:color="auto" w:fill="D6F3E8"/>
          </w:tcPr>
          <w:p>
            <w:pPr>
              <w:spacing w:after="0"/>
              <w:rPr>
                <w:sz w:val="18"/>
                <w:szCs w:val="18"/>
                <w:color w:val="auto"/>
              </w:rPr>
            </w:pPr>
          </w:p>
        </w:tc>
        <w:tc>
          <w:tcPr>
            <w:tcW w:w="460" w:type="dxa"/>
            <w:vAlign w:val="bottom"/>
            <w:shd w:val="clear" w:color="auto" w:fill="D6F3E8"/>
          </w:tcPr>
          <w:p>
            <w:pPr>
              <w:jc w:val="right"/>
              <w:ind w:right="30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0.55</w:t>
            </w:r>
          </w:p>
        </w:tc>
        <w:tc>
          <w:tcPr>
            <w:tcW w:w="180" w:type="dxa"/>
            <w:vAlign w:val="bottom"/>
            <w:shd w:val="clear" w:color="auto" w:fill="D6F3E8"/>
          </w:tcPr>
          <w:p>
            <w:pPr>
              <w:spacing w:after="0"/>
              <w:rPr>
                <w:sz w:val="18"/>
                <w:szCs w:val="18"/>
                <w:color w:val="auto"/>
              </w:rPr>
            </w:pPr>
          </w:p>
        </w:tc>
        <w:tc>
          <w:tcPr>
            <w:tcW w:w="440" w:type="dxa"/>
            <w:vAlign w:val="bottom"/>
            <w:gridSpan w:val="2"/>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1.80</w:t>
            </w:r>
          </w:p>
        </w:tc>
        <w:tc>
          <w:tcPr>
            <w:tcW w:w="580" w:type="dxa"/>
            <w:vAlign w:val="bottom"/>
            <w:gridSpan w:val="2"/>
            <w:shd w:val="clear" w:color="auto" w:fill="D6F3E8"/>
          </w:tcPr>
          <w:p>
            <w:pPr>
              <w:jc w:val="right"/>
              <w:ind w:right="283"/>
              <w:spacing w:after="0"/>
              <w:rPr>
                <w:sz w:val="20"/>
                <w:szCs w:val="20"/>
                <w:color w:val="auto"/>
              </w:rPr>
            </w:pPr>
            <w:r>
              <w:rPr>
                <w:rFonts w:ascii="Arial" w:cs="Arial" w:eastAsia="Arial" w:hAnsi="Arial"/>
                <w:sz w:val="18"/>
                <w:szCs w:val="18"/>
                <w:color w:val="auto"/>
              </w:rPr>
              <w:t>$</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rPr>
              <w:t>Earnings per share from discontinued operations</w:t>
            </w:r>
          </w:p>
        </w:tc>
        <w:tc>
          <w:tcPr>
            <w:tcW w:w="2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80" w:type="dxa"/>
            <w:vAlign w:val="bottom"/>
            <w:tcBorders>
              <w:bottom w:val="single" w:sz="8" w:color="D6F3E8"/>
            </w:tcBorders>
            <w:shd w:val="clear" w:color="auto" w:fill="D6F3E8"/>
          </w:tcPr>
          <w:p>
            <w:pPr>
              <w:ind w:left="30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top w:val="single" w:sz="8" w:color="auto"/>
              <w:bottom w:val="single" w:sz="8" w:color="auto"/>
            </w:tcBorders>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0.41</w:t>
            </w:r>
          </w:p>
        </w:tc>
        <w:tc>
          <w:tcPr>
            <w:tcW w:w="340" w:type="dxa"/>
            <w:vAlign w:val="bottom"/>
            <w:tcBorders>
              <w:bottom w:val="single" w:sz="8" w:color="D6F3E8"/>
            </w:tcBorders>
            <w:shd w:val="clear" w:color="auto" w:fill="D6F3E8"/>
          </w:tcPr>
          <w:p>
            <w:pPr>
              <w:spacing w:after="0"/>
              <w:rPr>
                <w:sz w:val="21"/>
                <w:szCs w:val="21"/>
                <w:color w:val="auto"/>
              </w:rPr>
            </w:pPr>
          </w:p>
        </w:tc>
        <w:tc>
          <w:tcPr>
            <w:tcW w:w="460" w:type="dxa"/>
            <w:vAlign w:val="bottom"/>
            <w:tcBorders>
              <w:top w:val="single" w:sz="8" w:color="auto"/>
              <w:bottom w:val="single" w:sz="8" w:color="auto"/>
            </w:tcBorders>
            <w:shd w:val="clear" w:color="auto" w:fill="D6F3E8"/>
          </w:tcPr>
          <w:p>
            <w:pPr>
              <w:jc w:val="right"/>
              <w:ind w:right="30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0.55</w:t>
            </w:r>
          </w:p>
        </w:tc>
        <w:tc>
          <w:tcPr>
            <w:tcW w:w="180" w:type="dxa"/>
            <w:vAlign w:val="bottom"/>
            <w:tcBorders>
              <w:bottom w:val="single" w:sz="8" w:color="D6F3E8"/>
            </w:tcBorders>
            <w:shd w:val="clear" w:color="auto" w:fill="D6F3E8"/>
          </w:tcPr>
          <w:p>
            <w:pPr>
              <w:spacing w:after="0"/>
              <w:rPr>
                <w:sz w:val="21"/>
                <w:szCs w:val="21"/>
                <w:color w:val="auto"/>
              </w:rPr>
            </w:pPr>
          </w:p>
        </w:tc>
        <w:tc>
          <w:tcPr>
            <w:tcW w:w="140" w:type="dxa"/>
            <w:vAlign w:val="bottom"/>
            <w:tcBorders>
              <w:bottom w:val="single" w:sz="8" w:color="D6F3E8"/>
            </w:tcBorders>
            <w:shd w:val="clear" w:color="auto" w:fill="D6F3E8"/>
          </w:tcPr>
          <w:p>
            <w:pPr>
              <w:spacing w:after="0"/>
              <w:rPr>
                <w:sz w:val="21"/>
                <w:szCs w:val="21"/>
                <w:color w:val="auto"/>
              </w:rPr>
            </w:pPr>
          </w:p>
        </w:tc>
        <w:tc>
          <w:tcPr>
            <w:tcW w:w="300" w:type="dxa"/>
            <w:vAlign w:val="bottom"/>
            <w:tcBorders>
              <w:top w:val="single" w:sz="8" w:color="auto"/>
              <w:bottom w:val="single" w:sz="8" w:color="auto"/>
            </w:tcBorders>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Borders>
              <w:bottom w:val="single" w:sz="8" w:color="D6F3E8"/>
            </w:tcBorders>
            <w:shd w:val="clear" w:color="auto" w:fill="D6F3E8"/>
          </w:tcPr>
          <w:p>
            <w:pPr>
              <w:spacing w:after="0"/>
              <w:rPr>
                <w:sz w:val="21"/>
                <w:szCs w:val="21"/>
                <w:color w:val="auto"/>
              </w:rPr>
            </w:pPr>
          </w:p>
        </w:tc>
        <w:tc>
          <w:tcPr>
            <w:tcW w:w="140" w:type="dxa"/>
            <w:vAlign w:val="bottom"/>
            <w:tcBorders>
              <w:bottom w:val="single" w:sz="8" w:color="D6F3E8"/>
            </w:tcBorders>
            <w:shd w:val="clear" w:color="auto" w:fill="D6F3E8"/>
          </w:tcPr>
          <w:p>
            <w:pPr>
              <w:spacing w:after="0"/>
              <w:rPr>
                <w:sz w:val="21"/>
                <w:szCs w:val="21"/>
                <w:color w:val="auto"/>
              </w:rPr>
            </w:pPr>
          </w:p>
        </w:tc>
        <w:tc>
          <w:tcPr>
            <w:tcW w:w="440" w:type="dxa"/>
            <w:vAlign w:val="bottom"/>
            <w:tcBorders>
              <w:top w:val="single" w:sz="8" w:color="auto"/>
              <w:bottom w:val="single" w:sz="8" w:color="auto"/>
            </w:tcBorders>
            <w:shd w:val="clear" w:color="auto" w:fill="D6F3E8"/>
          </w:tcPr>
          <w:p>
            <w:pPr>
              <w:jc w:val="right"/>
              <w:ind w:right="28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D6F3E8"/>
            </w:tcBorders>
            <w:shd w:val="clear" w:color="auto" w:fill="D6F3E8"/>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520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shd w:val="clear" w:color="auto" w:fill="D6F3E8"/>
          </w:tcPr>
          <w:p>
            <w:pPr>
              <w:ind w:left="300"/>
              <w:spacing w:after="0"/>
              <w:rPr>
                <w:sz w:val="20"/>
                <w:szCs w:val="20"/>
                <w:color w:val="auto"/>
              </w:rPr>
            </w:pPr>
            <w:r>
              <w:rPr>
                <w:rFonts w:ascii="Arial" w:cs="Arial" w:eastAsia="Arial" w:hAnsi="Arial"/>
                <w:sz w:val="18"/>
                <w:szCs w:val="18"/>
                <w:color w:val="auto"/>
              </w:rPr>
              <w:t>Earnings per share from continuing operations</w:t>
            </w: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0.41</w:t>
            </w:r>
          </w:p>
        </w:tc>
        <w:tc>
          <w:tcPr>
            <w:tcW w:w="340" w:type="dxa"/>
            <w:vAlign w:val="bottom"/>
            <w:shd w:val="clear" w:color="auto" w:fill="D6F3E8"/>
          </w:tcPr>
          <w:p>
            <w:pPr>
              <w:spacing w:after="0"/>
              <w:rPr>
                <w:sz w:val="18"/>
                <w:szCs w:val="18"/>
                <w:color w:val="auto"/>
              </w:rPr>
            </w:pPr>
          </w:p>
        </w:tc>
        <w:tc>
          <w:tcPr>
            <w:tcW w:w="460" w:type="dxa"/>
            <w:vAlign w:val="bottom"/>
            <w:shd w:val="clear" w:color="auto" w:fill="D6F3E8"/>
          </w:tcPr>
          <w:p>
            <w:pPr>
              <w:jc w:val="right"/>
              <w:ind w:right="30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0.54</w:t>
            </w:r>
          </w:p>
        </w:tc>
        <w:tc>
          <w:tcPr>
            <w:tcW w:w="180" w:type="dxa"/>
            <w:vAlign w:val="bottom"/>
            <w:shd w:val="clear" w:color="auto" w:fill="D6F3E8"/>
          </w:tcPr>
          <w:p>
            <w:pPr>
              <w:spacing w:after="0"/>
              <w:rPr>
                <w:sz w:val="18"/>
                <w:szCs w:val="18"/>
                <w:color w:val="auto"/>
              </w:rPr>
            </w:pPr>
          </w:p>
        </w:tc>
        <w:tc>
          <w:tcPr>
            <w:tcW w:w="440" w:type="dxa"/>
            <w:vAlign w:val="bottom"/>
            <w:gridSpan w:val="2"/>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1.78</w:t>
            </w:r>
          </w:p>
        </w:tc>
        <w:tc>
          <w:tcPr>
            <w:tcW w:w="580" w:type="dxa"/>
            <w:vAlign w:val="bottom"/>
            <w:gridSpan w:val="2"/>
            <w:shd w:val="clear" w:color="auto" w:fill="D6F3E8"/>
          </w:tcPr>
          <w:p>
            <w:pPr>
              <w:jc w:val="right"/>
              <w:ind w:right="283"/>
              <w:spacing w:after="0"/>
              <w:rPr>
                <w:sz w:val="20"/>
                <w:szCs w:val="20"/>
                <w:color w:val="auto"/>
              </w:rPr>
            </w:pPr>
            <w:r>
              <w:rPr>
                <w:rFonts w:ascii="Arial" w:cs="Arial" w:eastAsia="Arial" w:hAnsi="Arial"/>
                <w:sz w:val="18"/>
                <w:szCs w:val="18"/>
                <w:color w:val="auto"/>
              </w:rPr>
              <w:t>$</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rPr>
              <w:t>Earnings per share from discontinued operations</w:t>
            </w:r>
          </w:p>
        </w:tc>
        <w:tc>
          <w:tcPr>
            <w:tcW w:w="2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80" w:type="dxa"/>
            <w:vAlign w:val="bottom"/>
            <w:tcBorders>
              <w:bottom w:val="single" w:sz="8" w:color="D6F3E8"/>
            </w:tcBorders>
            <w:shd w:val="clear" w:color="auto" w:fill="D6F3E8"/>
          </w:tcPr>
          <w:p>
            <w:pPr>
              <w:ind w:left="30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top w:val="single" w:sz="8" w:color="auto"/>
              <w:bottom w:val="single" w:sz="8" w:color="auto"/>
            </w:tcBorders>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0.41</w:t>
            </w:r>
          </w:p>
        </w:tc>
        <w:tc>
          <w:tcPr>
            <w:tcW w:w="340" w:type="dxa"/>
            <w:vAlign w:val="bottom"/>
            <w:tcBorders>
              <w:bottom w:val="single" w:sz="8" w:color="D6F3E8"/>
            </w:tcBorders>
            <w:shd w:val="clear" w:color="auto" w:fill="D6F3E8"/>
          </w:tcPr>
          <w:p>
            <w:pPr>
              <w:spacing w:after="0"/>
              <w:rPr>
                <w:sz w:val="21"/>
                <w:szCs w:val="21"/>
                <w:color w:val="auto"/>
              </w:rPr>
            </w:pPr>
          </w:p>
        </w:tc>
        <w:tc>
          <w:tcPr>
            <w:tcW w:w="460" w:type="dxa"/>
            <w:vAlign w:val="bottom"/>
            <w:tcBorders>
              <w:top w:val="single" w:sz="8" w:color="auto"/>
              <w:bottom w:val="single" w:sz="8" w:color="auto"/>
            </w:tcBorders>
            <w:shd w:val="clear" w:color="auto" w:fill="D6F3E8"/>
          </w:tcPr>
          <w:p>
            <w:pPr>
              <w:jc w:val="right"/>
              <w:ind w:right="30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0.54</w:t>
            </w:r>
          </w:p>
        </w:tc>
        <w:tc>
          <w:tcPr>
            <w:tcW w:w="180" w:type="dxa"/>
            <w:vAlign w:val="bottom"/>
            <w:tcBorders>
              <w:bottom w:val="single" w:sz="8" w:color="D6F3E8"/>
            </w:tcBorders>
            <w:shd w:val="clear" w:color="auto" w:fill="D6F3E8"/>
          </w:tcPr>
          <w:p>
            <w:pPr>
              <w:spacing w:after="0"/>
              <w:rPr>
                <w:sz w:val="21"/>
                <w:szCs w:val="21"/>
                <w:color w:val="auto"/>
              </w:rPr>
            </w:pPr>
          </w:p>
        </w:tc>
        <w:tc>
          <w:tcPr>
            <w:tcW w:w="140" w:type="dxa"/>
            <w:vAlign w:val="bottom"/>
            <w:tcBorders>
              <w:bottom w:val="single" w:sz="8" w:color="D6F3E8"/>
            </w:tcBorders>
            <w:shd w:val="clear" w:color="auto" w:fill="D6F3E8"/>
          </w:tcPr>
          <w:p>
            <w:pPr>
              <w:spacing w:after="0"/>
              <w:rPr>
                <w:sz w:val="21"/>
                <w:szCs w:val="21"/>
                <w:color w:val="auto"/>
              </w:rPr>
            </w:pPr>
          </w:p>
        </w:tc>
        <w:tc>
          <w:tcPr>
            <w:tcW w:w="300" w:type="dxa"/>
            <w:vAlign w:val="bottom"/>
            <w:tcBorders>
              <w:top w:val="single" w:sz="8" w:color="auto"/>
              <w:bottom w:val="single" w:sz="8" w:color="auto"/>
            </w:tcBorders>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Borders>
              <w:bottom w:val="single" w:sz="8" w:color="D6F3E8"/>
            </w:tcBorders>
            <w:shd w:val="clear" w:color="auto" w:fill="D6F3E8"/>
          </w:tcPr>
          <w:p>
            <w:pPr>
              <w:spacing w:after="0"/>
              <w:rPr>
                <w:sz w:val="21"/>
                <w:szCs w:val="21"/>
                <w:color w:val="auto"/>
              </w:rPr>
            </w:pPr>
          </w:p>
        </w:tc>
        <w:tc>
          <w:tcPr>
            <w:tcW w:w="140" w:type="dxa"/>
            <w:vAlign w:val="bottom"/>
            <w:tcBorders>
              <w:bottom w:val="single" w:sz="8" w:color="D6F3E8"/>
            </w:tcBorders>
            <w:shd w:val="clear" w:color="auto" w:fill="D6F3E8"/>
          </w:tcPr>
          <w:p>
            <w:pPr>
              <w:spacing w:after="0"/>
              <w:rPr>
                <w:sz w:val="21"/>
                <w:szCs w:val="21"/>
                <w:color w:val="auto"/>
              </w:rPr>
            </w:pPr>
          </w:p>
        </w:tc>
        <w:tc>
          <w:tcPr>
            <w:tcW w:w="440" w:type="dxa"/>
            <w:vAlign w:val="bottom"/>
            <w:tcBorders>
              <w:top w:val="single" w:sz="8" w:color="auto"/>
              <w:bottom w:val="single" w:sz="8" w:color="auto"/>
            </w:tcBorders>
            <w:shd w:val="clear" w:color="auto" w:fill="D6F3E8"/>
          </w:tcPr>
          <w:p>
            <w:pPr>
              <w:jc w:val="right"/>
              <w:ind w:right="28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D6F3E8"/>
            </w:tcBorders>
            <w:shd w:val="clear" w:color="auto" w:fill="D6F3E8"/>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3"/>
        </w:trPr>
        <w:tc>
          <w:tcPr>
            <w:tcW w:w="520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0.40</w:t>
            </w:r>
          </w:p>
        </w:tc>
        <w:tc>
          <w:tcPr>
            <w:tcW w:w="580" w:type="dxa"/>
            <w:vAlign w:val="bottom"/>
            <w:gridSpan w:val="2"/>
          </w:tcPr>
          <w:p>
            <w:pPr>
              <w:jc w:val="right"/>
              <w:ind w:right="283"/>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condensed financial statements.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615"/>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808080"/>
            </w:tcBorders>
          </w:tcPr>
          <w:p>
            <w:pPr>
              <w:spacing w:after="0"/>
              <w:rPr>
                <w:sz w:val="21"/>
                <w:szCs w:val="21"/>
                <w:color w:val="auto"/>
              </w:rPr>
            </w:pPr>
          </w:p>
        </w:tc>
        <w:tc>
          <w:tcPr>
            <w:tcW w:w="518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98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460" w:type="dxa"/>
            <w:vAlign w:val="bottom"/>
            <w:tcBorders>
              <w:bottom w:val="single" w:sz="8" w:color="808080"/>
            </w:tcBorders>
          </w:tcPr>
          <w:p>
            <w:pPr>
              <w:spacing w:after="0"/>
              <w:rPr>
                <w:sz w:val="21"/>
                <w:szCs w:val="21"/>
                <w:color w:val="auto"/>
              </w:rPr>
            </w:pPr>
          </w:p>
        </w:tc>
        <w:tc>
          <w:tcPr>
            <w:tcW w:w="82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98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440" w:type="dxa"/>
            <w:vAlign w:val="bottom"/>
            <w:tcBorders>
              <w:bottom w:val="single" w:sz="8" w:color="808080"/>
            </w:tcBorders>
          </w:tcPr>
          <w:p>
            <w:pPr>
              <w:spacing w:after="0"/>
              <w:rPr>
                <w:sz w:val="21"/>
                <w:szCs w:val="21"/>
                <w:color w:val="auto"/>
              </w:rPr>
            </w:pPr>
          </w:p>
        </w:tc>
        <w:tc>
          <w:tcPr>
            <w:tcW w:w="84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4"/>
              </w:rPr>
              <w:t>Nine Months Ended December 31,</w:t>
            </w:r>
          </w:p>
        </w:tc>
        <w:tc>
          <w:tcPr>
            <w:tcW w:w="0" w:type="dxa"/>
            <w:vAlign w:val="bottom"/>
          </w:tcPr>
          <w:p>
            <w:pPr>
              <w:spacing w:after="0"/>
              <w:rPr>
                <w:sz w:val="1"/>
                <w:szCs w:val="1"/>
                <w:color w:val="auto"/>
              </w:rPr>
            </w:pPr>
          </w:p>
        </w:tc>
      </w:tr>
      <w:tr>
        <w:trPr>
          <w:trHeight w:val="142"/>
        </w:trPr>
        <w:tc>
          <w:tcPr>
            <w:tcW w:w="8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D6F3E8"/>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18,423</w:t>
            </w:r>
          </w:p>
        </w:tc>
        <w:tc>
          <w:tcPr>
            <w:tcW w:w="320" w:type="dxa"/>
            <w:vAlign w:val="bottom"/>
          </w:tcPr>
          <w:p>
            <w:pPr>
              <w:spacing w:after="0"/>
              <w:rPr>
                <w:sz w:val="18"/>
                <w:szCs w:val="18"/>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18,313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D6F3E8"/>
          </w:tcPr>
          <w:p>
            <w:pPr>
              <w:ind w:left="140"/>
              <w:spacing w:after="0"/>
              <w:rPr>
                <w:sz w:val="20"/>
                <w:szCs w:val="20"/>
                <w:color w:val="auto"/>
              </w:rPr>
            </w:pPr>
            <w:r>
              <w:rPr>
                <w:rFonts w:ascii="Arial" w:cs="Arial" w:eastAsia="Arial" w:hAnsi="Arial"/>
                <w:sz w:val="18"/>
                <w:szCs w:val="18"/>
                <w:color w:val="auto"/>
              </w:rPr>
              <w:t>Reconciliation to cash flows:</w:t>
            </w:r>
          </w:p>
        </w:tc>
        <w:tc>
          <w:tcPr>
            <w:tcW w:w="26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5,106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D6F3E8"/>
          </w:tcPr>
          <w:p>
            <w:pPr>
              <w:ind w:left="30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333</w:t>
            </w:r>
          </w:p>
        </w:tc>
        <w:tc>
          <w:tcPr>
            <w:tcW w:w="32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00"/>
              <w:spacing w:after="0"/>
              <w:rPr>
                <w:sz w:val="20"/>
                <w:szCs w:val="20"/>
                <w:color w:val="auto"/>
              </w:rPr>
            </w:pPr>
            <w:r>
              <w:rPr>
                <w:rFonts w:ascii="Arial" w:cs="Arial" w:eastAsia="Arial" w:hAnsi="Arial"/>
                <w:sz w:val="18"/>
                <w:szCs w:val="18"/>
                <w:color w:val="auto"/>
              </w:rPr>
              <w:t>Stock compensation expense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D6F3E8"/>
          </w:tcPr>
          <w:p>
            <w:pPr>
              <w:ind w:left="300"/>
              <w:spacing w:after="0"/>
              <w:rPr>
                <w:sz w:val="20"/>
                <w:szCs w:val="20"/>
                <w:color w:val="auto"/>
              </w:rPr>
            </w:pPr>
            <w:r>
              <w:rPr>
                <w:rFonts w:ascii="Arial" w:cs="Arial" w:eastAsia="Arial" w:hAnsi="Arial"/>
                <w:sz w:val="18"/>
                <w:szCs w:val="18"/>
                <w:color w:val="auto"/>
              </w:rPr>
              <w:t>Loss (gain) from property disposals</w:t>
            </w:r>
          </w:p>
        </w:tc>
        <w:tc>
          <w:tcPr>
            <w:tcW w:w="26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00"/>
              <w:spacing w:after="0"/>
              <w:rPr>
                <w:sz w:val="20"/>
                <w:szCs w:val="20"/>
                <w:color w:val="auto"/>
              </w:rPr>
            </w:pPr>
            <w:r>
              <w:rPr>
                <w:rFonts w:ascii="Arial" w:cs="Arial" w:eastAsia="Arial" w:hAnsi="Arial"/>
                <w:sz w:val="18"/>
                <w:szCs w:val="18"/>
                <w:color w:val="auto"/>
              </w:rPr>
              <w:t>Changes in operating accounts (using) providing cash:</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D6F3E8"/>
          </w:tcPr>
          <w:p>
            <w:pPr>
              <w:ind w:left="460"/>
              <w:spacing w:after="0"/>
              <w:rPr>
                <w:sz w:val="20"/>
                <w:szCs w:val="20"/>
                <w:color w:val="auto"/>
              </w:rPr>
            </w:pPr>
            <w:r>
              <w:rPr>
                <w:rFonts w:ascii="Arial" w:cs="Arial" w:eastAsia="Arial" w:hAnsi="Arial"/>
                <w:sz w:val="18"/>
                <w:szCs w:val="18"/>
                <w:color w:val="auto"/>
              </w:rPr>
              <w:t>Trade receivables</w:t>
            </w:r>
          </w:p>
        </w:tc>
        <w:tc>
          <w:tcPr>
            <w:tcW w:w="26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(2,015)</w:t>
            </w:r>
          </w:p>
        </w:tc>
        <w:tc>
          <w:tcPr>
            <w:tcW w:w="30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5,038</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6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(3,087)</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D6F3E8"/>
          </w:tcPr>
          <w:p>
            <w:pPr>
              <w:ind w:left="4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1,437</w:t>
            </w:r>
          </w:p>
        </w:tc>
        <w:tc>
          <w:tcPr>
            <w:tcW w:w="32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6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(2,406)</w:t>
            </w: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D6F3E8"/>
          </w:tcPr>
          <w:p>
            <w:pPr>
              <w:ind w:left="460"/>
              <w:spacing w:after="0"/>
              <w:rPr>
                <w:sz w:val="20"/>
                <w:szCs w:val="20"/>
                <w:color w:val="auto"/>
              </w:rPr>
            </w:pPr>
            <w:r>
              <w:rPr>
                <w:rFonts w:ascii="Arial" w:cs="Arial" w:eastAsia="Arial" w:hAnsi="Arial"/>
                <w:sz w:val="18"/>
                <w:szCs w:val="18"/>
                <w:color w:val="auto"/>
              </w:rPr>
              <w:t>Income taxes</w:t>
            </w:r>
          </w:p>
        </w:tc>
        <w:tc>
          <w:tcPr>
            <w:tcW w:w="26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4,882</w:t>
            </w:r>
          </w:p>
        </w:tc>
        <w:tc>
          <w:tcPr>
            <w:tcW w:w="32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2,172</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D6F3E8"/>
          </w:tcPr>
          <w:p>
            <w:pPr>
              <w:ind w:left="6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shd w:val="clear" w:color="auto" w:fill="D6F3E8"/>
          </w:tcPr>
          <w:p>
            <w:pPr>
              <w:spacing w:after="0"/>
              <w:rPr>
                <w:sz w:val="18"/>
                <w:szCs w:val="18"/>
                <w:color w:val="auto"/>
              </w:rPr>
            </w:pPr>
          </w:p>
        </w:tc>
        <w:tc>
          <w:tcPr>
            <w:tcW w:w="10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24,311</w:t>
            </w:r>
          </w:p>
        </w:tc>
        <w:tc>
          <w:tcPr>
            <w:tcW w:w="320" w:type="dxa"/>
            <w:vAlign w:val="bottom"/>
            <w:shd w:val="clear" w:color="auto" w:fill="D6F3E8"/>
          </w:tcPr>
          <w:p>
            <w:pPr>
              <w:spacing w:after="0"/>
              <w:rPr>
                <w:sz w:val="18"/>
                <w:szCs w:val="18"/>
                <w:color w:val="auto"/>
              </w:rPr>
            </w:pPr>
          </w:p>
        </w:tc>
        <w:tc>
          <w:tcPr>
            <w:tcW w:w="300" w:type="dxa"/>
            <w:vAlign w:val="bottom"/>
            <w:tcBorders>
              <w:top w:val="single" w:sz="8" w:color="auto"/>
            </w:tcBorders>
            <w:shd w:val="clear" w:color="auto" w:fill="D6F3E8"/>
          </w:tcPr>
          <w:p>
            <w:pPr>
              <w:spacing w:after="0"/>
              <w:rPr>
                <w:sz w:val="18"/>
                <w:szCs w:val="18"/>
                <w:color w:val="auto"/>
              </w:rPr>
            </w:pPr>
          </w:p>
        </w:tc>
        <w:tc>
          <w:tcPr>
            <w:tcW w:w="9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29,666</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84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D6F3E8"/>
          </w:tcPr>
          <w:p>
            <w:pPr>
              <w:ind w:left="140"/>
              <w:spacing w:after="0"/>
              <w:rPr>
                <w:sz w:val="20"/>
                <w:szCs w:val="20"/>
                <w:color w:val="auto"/>
              </w:rPr>
            </w:pPr>
            <w:r>
              <w:rPr>
                <w:rFonts w:ascii="Arial" w:cs="Arial" w:eastAsia="Arial" w:hAnsi="Arial"/>
                <w:sz w:val="18"/>
                <w:szCs w:val="18"/>
                <w:color w:val="auto"/>
              </w:rPr>
              <w:t>Additions to property, plant, and equipment</w:t>
            </w:r>
          </w:p>
        </w:tc>
        <w:tc>
          <w:tcPr>
            <w:tcW w:w="26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(7,764)</w:t>
            </w:r>
          </w:p>
        </w:tc>
        <w:tc>
          <w:tcPr>
            <w:tcW w:w="30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(6,591)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40"/>
              <w:spacing w:after="0"/>
              <w:rPr>
                <w:sz w:val="20"/>
                <w:szCs w:val="20"/>
                <w:color w:val="auto"/>
              </w:rPr>
            </w:pPr>
            <w:r>
              <w:rPr>
                <w:rFonts w:ascii="Arial" w:cs="Arial" w:eastAsia="Arial" w:hAnsi="Arial"/>
                <w:sz w:val="18"/>
                <w:szCs w:val="18"/>
                <w:color w:val="auto"/>
              </w:rPr>
              <w:t>Purchases of investments</w:t>
            </w:r>
          </w:p>
        </w:tc>
        <w:tc>
          <w:tcPr>
            <w:tcW w:w="2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(4,410)</w:t>
            </w: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(37,320)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D6F3E8"/>
          </w:tcPr>
          <w:p>
            <w:pPr>
              <w:ind w:left="140"/>
              <w:spacing w:after="0"/>
              <w:rPr>
                <w:sz w:val="20"/>
                <w:szCs w:val="20"/>
                <w:color w:val="auto"/>
              </w:rPr>
            </w:pPr>
            <w:r>
              <w:rPr>
                <w:rFonts w:ascii="Arial" w:cs="Arial" w:eastAsia="Arial" w:hAnsi="Arial"/>
                <w:sz w:val="18"/>
                <w:szCs w:val="18"/>
                <w:color w:val="auto"/>
              </w:rPr>
              <w:t>Sale and maturities of investments</w:t>
            </w:r>
          </w:p>
        </w:tc>
        <w:tc>
          <w:tcPr>
            <w:tcW w:w="26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23,930</w:t>
            </w:r>
          </w:p>
        </w:tc>
        <w:tc>
          <w:tcPr>
            <w:tcW w:w="32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40"/>
              <w:spacing w:after="0"/>
              <w:rPr>
                <w:sz w:val="20"/>
                <w:szCs w:val="20"/>
                <w:color w:val="auto"/>
              </w:rPr>
            </w:pPr>
            <w:r>
              <w:rPr>
                <w:rFonts w:ascii="Arial" w:cs="Arial" w:eastAsia="Arial" w:hAnsi="Arial"/>
                <w:sz w:val="18"/>
                <w:szCs w:val="18"/>
                <w:color w:val="auto"/>
              </w:rPr>
              <w:t>Proceeds from property disposals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D6F3E8"/>
          </w:tcPr>
          <w:p>
            <w:pPr>
              <w:ind w:left="62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11,836</w:t>
            </w:r>
          </w:p>
        </w:tc>
        <w:tc>
          <w:tcPr>
            <w:tcW w:w="32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(39,775)</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84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Cash dividends paid</w:t>
            </w:r>
          </w:p>
        </w:tc>
        <w:tc>
          <w:tcPr>
            <w:tcW w:w="26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(7,005)</w:t>
            </w:r>
          </w:p>
        </w:tc>
        <w:tc>
          <w:tcPr>
            <w:tcW w:w="30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(6,573)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shd w:val="clear" w:color="auto" w:fill="D6F3E8"/>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ind w:left="62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(7,005)</w:t>
            </w: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(6,573)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4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D6F3E8"/>
          </w:tcPr>
          <w:p>
            <w:pPr>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29,142</w:t>
            </w:r>
          </w:p>
        </w:tc>
        <w:tc>
          <w:tcPr>
            <w:tcW w:w="32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(16,682)</w:t>
            </w:r>
          </w:p>
        </w:tc>
        <w:tc>
          <w:tcPr>
            <w:tcW w:w="0" w:type="dxa"/>
            <w:vAlign w:val="bottom"/>
          </w:tcPr>
          <w:p>
            <w:pPr>
              <w:spacing w:after="0"/>
              <w:rPr>
                <w:sz w:val="1"/>
                <w:szCs w:val="1"/>
                <w:color w:val="auto"/>
              </w:rPr>
            </w:pPr>
          </w:p>
        </w:tc>
      </w:tr>
      <w:tr>
        <w:trPr>
          <w:trHeight w:val="391"/>
        </w:trPr>
        <w:tc>
          <w:tcPr>
            <w:tcW w:w="844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18,772</w:t>
            </w:r>
          </w:p>
        </w:tc>
        <w:tc>
          <w:tcPr>
            <w:tcW w:w="3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8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42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bottom w:val="single" w:sz="8" w:color="auto"/>
            </w:tcBorders>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47,914</w:t>
            </w:r>
          </w:p>
        </w:tc>
        <w:tc>
          <w:tcPr>
            <w:tcW w:w="320" w:type="dxa"/>
            <w:vAlign w:val="bottom"/>
            <w:tcBorders>
              <w:bottom w:val="single" w:sz="8" w:color="D6F3E8"/>
            </w:tcBorders>
            <w:shd w:val="clear" w:color="auto" w:fill="D6F3E8"/>
          </w:tcPr>
          <w:p>
            <w:pPr>
              <w:spacing w:after="0"/>
              <w:rPr>
                <w:sz w:val="22"/>
                <w:szCs w:val="22"/>
                <w:color w:val="auto"/>
              </w:rPr>
            </w:pPr>
          </w:p>
        </w:tc>
        <w:tc>
          <w:tcPr>
            <w:tcW w:w="300" w:type="dxa"/>
            <w:vAlign w:val="bottom"/>
            <w:tcBorders>
              <w:bottom w:val="single" w:sz="8" w:color="auto"/>
            </w:tcBorders>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12,854</w:t>
            </w:r>
          </w:p>
        </w:tc>
        <w:tc>
          <w:tcPr>
            <w:tcW w:w="120" w:type="dxa"/>
            <w:vAlign w:val="bottom"/>
            <w:tcBorders>
              <w:bottom w:val="single" w:sz="8" w:color="D6F3E8"/>
            </w:tcBorders>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8440" w:type="dxa"/>
            <w:vAlign w:val="bottom"/>
            <w:gridSpan w:val="2"/>
          </w:tcPr>
          <w:p>
            <w:pPr>
              <w:spacing w:after="0"/>
              <w:rPr>
                <w:sz w:val="20"/>
                <w:szCs w:val="20"/>
                <w:color w:val="auto"/>
              </w:rPr>
            </w:pPr>
            <w:r>
              <w:rPr>
                <w:rFonts w:ascii="Arial" w:cs="Arial" w:eastAsia="Arial" w:hAnsi="Arial"/>
                <w:sz w:val="18"/>
                <w:szCs w:val="18"/>
                <w:color w:val="auto"/>
              </w:rPr>
              <w:t>SUPPLEMENTAL DISCLOSURES OF CASH FLOW INFORMATION</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20" w:type="dxa"/>
            <w:vAlign w:val="bottom"/>
            <w:tcBorders>
              <w:bottom w:val="single" w:sz="8" w:color="D6F3E8"/>
            </w:tcBorders>
            <w:shd w:val="clear" w:color="auto" w:fill="D6F3E8"/>
          </w:tcPr>
          <w:p>
            <w:pPr>
              <w:ind w:left="140"/>
              <w:spacing w:after="0"/>
              <w:rPr>
                <w:sz w:val="20"/>
                <w:szCs w:val="20"/>
                <w:color w:val="auto"/>
              </w:rPr>
            </w:pPr>
            <w:r>
              <w:rPr>
                <w:rFonts w:ascii="Arial" w:cs="Arial" w:eastAsia="Arial" w:hAnsi="Arial"/>
                <w:sz w:val="18"/>
                <w:szCs w:val="18"/>
                <w:color w:val="auto"/>
              </w:rPr>
              <w:t>Cash paid for income taxes</w:t>
            </w:r>
          </w:p>
        </w:tc>
        <w:tc>
          <w:tcPr>
            <w:tcW w:w="260" w:type="dxa"/>
            <w:vAlign w:val="bottom"/>
            <w:tcBorders>
              <w:bottom w:val="single" w:sz="8" w:color="auto"/>
            </w:tcBorders>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6,181</w:t>
            </w:r>
          </w:p>
        </w:tc>
        <w:tc>
          <w:tcPr>
            <w:tcW w:w="320" w:type="dxa"/>
            <w:vAlign w:val="bottom"/>
            <w:tcBorders>
              <w:bottom w:val="single" w:sz="8" w:color="D6F3E8"/>
            </w:tcBorders>
            <w:shd w:val="clear" w:color="auto" w:fill="D6F3E8"/>
          </w:tcPr>
          <w:p>
            <w:pPr>
              <w:spacing w:after="0"/>
              <w:rPr>
                <w:sz w:val="22"/>
                <w:szCs w:val="22"/>
                <w:color w:val="auto"/>
              </w:rPr>
            </w:pPr>
          </w:p>
        </w:tc>
        <w:tc>
          <w:tcPr>
            <w:tcW w:w="300" w:type="dxa"/>
            <w:vAlign w:val="bottom"/>
            <w:tcBorders>
              <w:bottom w:val="single" w:sz="8" w:color="auto"/>
            </w:tcBorders>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9,439</w:t>
            </w:r>
          </w:p>
        </w:tc>
        <w:tc>
          <w:tcPr>
            <w:tcW w:w="120" w:type="dxa"/>
            <w:vAlign w:val="bottom"/>
            <w:tcBorders>
              <w:bottom w:val="single" w:sz="8" w:color="D6F3E8"/>
            </w:tcBorders>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8420" w:type="dxa"/>
            <w:vAlign w:val="bottom"/>
          </w:tcPr>
          <w:p>
            <w:pPr>
              <w:ind w:left="140"/>
              <w:spacing w:after="0"/>
              <w:rPr>
                <w:sz w:val="20"/>
                <w:szCs w:val="20"/>
                <w:color w:val="auto"/>
              </w:rPr>
            </w:pPr>
            <w:r>
              <w:rPr>
                <w:rFonts w:ascii="Arial" w:cs="Arial" w:eastAsia="Arial" w:hAnsi="Arial"/>
                <w:sz w:val="18"/>
                <w:szCs w:val="18"/>
                <w:color w:val="auto"/>
              </w:rPr>
              <w:t>Noncash investing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300"/>
              <w:spacing w:after="0"/>
              <w:rPr>
                <w:sz w:val="20"/>
                <w:szCs w:val="20"/>
                <w:color w:val="auto"/>
              </w:rPr>
            </w:pPr>
            <w:r>
              <w:rPr>
                <w:rFonts w:ascii="Arial" w:cs="Arial" w:eastAsia="Arial" w:hAnsi="Arial"/>
                <w:sz w:val="18"/>
                <w:szCs w:val="18"/>
                <w:color w:val="auto"/>
              </w:rPr>
              <w:t>Capital expenditures in accounts payable</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254</w:t>
            </w:r>
          </w:p>
        </w:tc>
        <w:tc>
          <w:tcPr>
            <w:tcW w:w="3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3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our Annual Report on Form 10-K for the fiscal year ended March 28, 2010, previously filed with the Securities and Exchange Commission (“SEC”). In the opinion of management, the accompanying unaudited condensed financial statements contain all adjustments necessary to present fairly our financial position and the results of our operations and cash flows for the periods presented. All adjustments made to the interim financial statements were of a normal recurring nature.</w:t>
      </w:r>
    </w:p>
    <w:p>
      <w:pPr>
        <w:spacing w:after="0" w:line="1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accounting policies we follow are set forth in “Item 8. Financial Statements and Supplementary Data, Note 1 – Nature of Business and Significant Accounting Policies” to our financial statements in our Annual Report on Form 10-K for the fiscal year ended March 28, 2010 (“fiscal 2010”) filed with the SEC on June 4, 2010.</w:t>
      </w:r>
    </w:p>
    <w:p>
      <w:pPr>
        <w:spacing w:after="0" w:line="19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results of operations for the period ended December 31, 2010 are not necessarily indicative of the results that may be expected for the full fiscal year ending April 3, 2011 (“fiscal 2011”).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Earnings per Share</w:t>
      </w:r>
    </w:p>
    <w:p>
      <w:pPr>
        <w:spacing w:after="0" w:line="23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Basic earnings per share (“EPS”) are computed by dividing net earnings by the weighted-average number of common shares outstanding. Diluted EPS includes the incremental shares assumed to be issued upon the exercise of stock options and the incremental shares assumed to be issued as performance units and restricted stock. Basic and diluted EPS were calculated using the following: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Three months ended</w:t>
            </w:r>
          </w:p>
        </w:tc>
        <w:tc>
          <w:tcPr>
            <w:tcW w:w="320" w:type="dxa"/>
            <w:vAlign w:val="bottom"/>
          </w:tcPr>
          <w:p>
            <w:pPr>
              <w:spacing w:after="0"/>
              <w:rPr>
                <w:sz w:val="14"/>
                <w:szCs w:val="14"/>
                <w:color w:val="auto"/>
              </w:rPr>
            </w:pPr>
          </w:p>
        </w:tc>
        <w:tc>
          <w:tcPr>
            <w:tcW w:w="2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4"/>
              </w:rPr>
              <w:t>Nine months ended</w:t>
            </w:r>
          </w:p>
        </w:tc>
      </w:tr>
      <w:tr>
        <w:trPr>
          <w:trHeight w:val="149"/>
        </w:trPr>
        <w:tc>
          <w:tcPr>
            <w:tcW w:w="6180" w:type="dxa"/>
            <w:vAlign w:val="bottom"/>
          </w:tcPr>
          <w:p>
            <w:pPr>
              <w:spacing w:after="0"/>
              <w:rPr>
                <w:sz w:val="12"/>
                <w:szCs w:val="12"/>
                <w:color w:val="auto"/>
              </w:rPr>
            </w:pPr>
          </w:p>
        </w:tc>
        <w:tc>
          <w:tcPr>
            <w:tcW w:w="1620" w:type="dxa"/>
            <w:vAlign w:val="bottom"/>
            <w:gridSpan w:val="3"/>
          </w:tcPr>
          <w:p>
            <w:pPr>
              <w:jc w:val="center"/>
              <w:ind w:left="72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6180" w:type="dxa"/>
            <w:vAlign w:val="bottom"/>
          </w:tcPr>
          <w:p>
            <w:pPr>
              <w:spacing w:after="0"/>
              <w:rPr>
                <w:sz w:val="14"/>
                <w:szCs w:val="14"/>
                <w:color w:val="auto"/>
              </w:rPr>
            </w:pPr>
          </w:p>
        </w:tc>
        <w:tc>
          <w:tcPr>
            <w:tcW w:w="1040" w:type="dxa"/>
            <w:vAlign w:val="bottom"/>
          </w:tcPr>
          <w:p>
            <w:pPr>
              <w:jc w:val="right"/>
              <w:ind w:right="302"/>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17"/>
              <w:spacing w:after="0"/>
              <w:rPr>
                <w:sz w:val="20"/>
                <w:szCs w:val="20"/>
                <w:color w:val="auto"/>
              </w:rPr>
            </w:pPr>
            <w:r>
              <w:rPr>
                <w:rFonts w:ascii="Arial" w:cs="Arial" w:eastAsia="Arial" w:hAnsi="Arial"/>
                <w:sz w:val="14"/>
                <w:szCs w:val="14"/>
                <w:b w:val="1"/>
                <w:bCs w:val="1"/>
                <w:color w:val="auto"/>
              </w:rPr>
              <w:t>2009</w:t>
            </w:r>
          </w:p>
        </w:tc>
        <w:tc>
          <w:tcPr>
            <w:tcW w:w="134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1020" w:type="dxa"/>
            <w:vAlign w:val="bottom"/>
          </w:tcPr>
          <w:p>
            <w:pPr>
              <w:jc w:val="right"/>
              <w:ind w:right="29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618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common shares outstanding – basic</w:t>
            </w: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10,259,458</w:t>
            </w:r>
          </w:p>
        </w:tc>
        <w:tc>
          <w:tcPr>
            <w:tcW w:w="360" w:type="dxa"/>
            <w:vAlign w:val="bottom"/>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spacing w:after="0"/>
              <w:rPr>
                <w:sz w:val="18"/>
                <w:szCs w:val="18"/>
                <w:color w:val="auto"/>
              </w:rPr>
            </w:pPr>
          </w:p>
        </w:tc>
        <w:tc>
          <w:tcPr>
            <w:tcW w:w="8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88"/>
              </w:rPr>
              <w:t>10,253,458</w:t>
            </w:r>
          </w:p>
        </w:tc>
        <w:tc>
          <w:tcPr>
            <w:tcW w:w="32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10,256,674</w:t>
            </w:r>
          </w:p>
        </w:tc>
        <w:tc>
          <w:tcPr>
            <w:tcW w:w="34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10,250,198</w:t>
            </w:r>
          </w:p>
        </w:tc>
        <w:tc>
          <w:tcPr>
            <w:tcW w:w="100" w:type="dxa"/>
            <w:vAlign w:val="bottom"/>
            <w:shd w:val="clear" w:color="auto" w:fill="D6F3E8"/>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Dilutive impact of stock options, performance units, and restricted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96,430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29,748</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79,495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29,219</w:t>
            </w:r>
          </w:p>
        </w:tc>
      </w:tr>
      <w:tr>
        <w:trPr>
          <w:trHeight w:val="250"/>
        </w:trPr>
        <w:tc>
          <w:tcPr>
            <w:tcW w:w="618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0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10,355,888</w:t>
            </w:r>
          </w:p>
        </w:tc>
        <w:tc>
          <w:tcPr>
            <w:tcW w:w="360" w:type="dxa"/>
            <w:vAlign w:val="bottom"/>
            <w:tcBorders>
              <w:bottom w:val="single" w:sz="8" w:color="D6F3E8"/>
            </w:tcBorders>
            <w:shd w:val="clear" w:color="auto" w:fill="D6F3E8"/>
          </w:tcPr>
          <w:p>
            <w:pPr>
              <w:spacing w:after="0"/>
              <w:rPr>
                <w:sz w:val="21"/>
                <w:szCs w:val="21"/>
                <w:color w:val="auto"/>
              </w:rPr>
            </w:pPr>
          </w:p>
        </w:tc>
        <w:tc>
          <w:tcPr>
            <w:tcW w:w="220" w:type="dxa"/>
            <w:vAlign w:val="bottom"/>
            <w:tcBorders>
              <w:top w:val="single" w:sz="8" w:color="auto"/>
              <w:bottom w:val="single" w:sz="8" w:color="auto"/>
            </w:tcBorders>
            <w:shd w:val="clear" w:color="auto" w:fill="D6F3E8"/>
          </w:tcPr>
          <w:p>
            <w:pPr>
              <w:spacing w:after="0"/>
              <w:rPr>
                <w:sz w:val="21"/>
                <w:szCs w:val="21"/>
                <w:color w:val="auto"/>
              </w:rPr>
            </w:pPr>
          </w:p>
        </w:tc>
        <w:tc>
          <w:tcPr>
            <w:tcW w:w="8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88"/>
              </w:rPr>
              <w:t>10,283,206</w:t>
            </w:r>
          </w:p>
        </w:tc>
        <w:tc>
          <w:tcPr>
            <w:tcW w:w="320" w:type="dxa"/>
            <w:vAlign w:val="bottom"/>
            <w:tcBorders>
              <w:bottom w:val="single" w:sz="8" w:color="D6F3E8"/>
            </w:tcBorders>
            <w:shd w:val="clear" w:color="auto" w:fill="D6F3E8"/>
          </w:tcPr>
          <w:p>
            <w:pPr>
              <w:spacing w:after="0"/>
              <w:rPr>
                <w:sz w:val="21"/>
                <w:szCs w:val="21"/>
                <w:color w:val="auto"/>
              </w:rPr>
            </w:pPr>
          </w:p>
        </w:tc>
        <w:tc>
          <w:tcPr>
            <w:tcW w:w="10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10,336,169</w:t>
            </w:r>
          </w:p>
        </w:tc>
        <w:tc>
          <w:tcPr>
            <w:tcW w:w="340" w:type="dxa"/>
            <w:vAlign w:val="bottom"/>
            <w:tcBorders>
              <w:bottom w:val="single" w:sz="8" w:color="D6F3E8"/>
            </w:tcBorders>
            <w:shd w:val="clear" w:color="auto" w:fill="D6F3E8"/>
          </w:tcPr>
          <w:p>
            <w:pPr>
              <w:spacing w:after="0"/>
              <w:rPr>
                <w:sz w:val="21"/>
                <w:szCs w:val="21"/>
                <w:color w:val="auto"/>
              </w:rPr>
            </w:pPr>
          </w:p>
        </w:tc>
        <w:tc>
          <w:tcPr>
            <w:tcW w:w="10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10,279,417</w:t>
            </w:r>
          </w:p>
        </w:tc>
        <w:tc>
          <w:tcPr>
            <w:tcW w:w="100" w:type="dxa"/>
            <w:vAlign w:val="bottom"/>
            <w:tcBorders>
              <w:bottom w:val="single" w:sz="8" w:color="D6F3E8"/>
            </w:tcBorders>
            <w:shd w:val="clear" w:color="auto" w:fill="D6F3E8"/>
          </w:tcPr>
          <w:p>
            <w:pPr>
              <w:spacing w:after="0"/>
              <w:rPr>
                <w:sz w:val="21"/>
                <w:szCs w:val="21"/>
                <w:color w:val="auto"/>
              </w:rPr>
            </w:pPr>
          </w:p>
        </w:tc>
      </w:tr>
    </w:tbl>
    <w:p>
      <w:pPr>
        <w:spacing w:after="0" w:line="2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period ended December 31, 2010, there were no shares or stock options excluded from the calculation of weighted average common shares for diluted EPS. For the three and nine months ended December 31, 2009, 70,665 stock options were excluded from the calculation of weighted average common shares for diluted EPS because their effects were antidilutive.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and Cash Equivalents and Investments</w:t>
      </w:r>
    </w:p>
    <w:p>
      <w:pPr>
        <w:spacing w:after="0" w:line="23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Estimates of fair value for financial assets and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 and the cost approach (cost to replace the service capacity of an asset or replacement cost). The framework utilizes a fair value hierarchy that prioritizes the inputs to valuation techniques used to measure fair value into three broad levels. The following is a brief description of those three levels:</w:t>
      </w:r>
    </w:p>
    <w:p>
      <w:pPr>
        <w:spacing w:after="0" w:line="183" w:lineRule="exact"/>
        <w:rPr>
          <w:sz w:val="20"/>
          <w:szCs w:val="20"/>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Level 1: Observable inputs such as quoted prices (unadjusted) in active markets for identical assets or liabilities.</w:t>
      </w:r>
    </w:p>
    <w:p>
      <w:pPr>
        <w:spacing w:after="0" w:line="157" w:lineRule="exact"/>
        <w:rPr>
          <w:rFonts w:ascii="Arial" w:cs="Arial" w:eastAsia="Arial" w:hAnsi="Arial"/>
          <w:sz w:val="18"/>
          <w:szCs w:val="18"/>
          <w:color w:val="auto"/>
        </w:rPr>
      </w:pPr>
    </w:p>
    <w:p>
      <w:pPr>
        <w:ind w:left="1160" w:right="180" w:hanging="571"/>
        <w:spacing w:after="0" w:line="332" w:lineRule="auto"/>
        <w:tabs>
          <w:tab w:leader="none" w:pos="1160" w:val="left"/>
        </w:tabs>
        <w:numPr>
          <w:ilvl w:val="0"/>
          <w:numId w:val="1"/>
        </w:numPr>
        <w:rPr>
          <w:rFonts w:ascii="Arial" w:cs="Arial" w:eastAsia="Arial" w:hAnsi="Arial"/>
          <w:sz w:val="16"/>
          <w:szCs w:val="16"/>
          <w:color w:val="auto"/>
        </w:rPr>
      </w:pPr>
      <w:r>
        <w:rPr>
          <w:rFonts w:ascii="Arial" w:cs="Arial" w:eastAsia="Arial" w:hAnsi="Arial"/>
          <w:sz w:val="16"/>
          <w:szCs w:val="16"/>
          <w:color w:val="auto"/>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71" w:lineRule="exact"/>
        <w:rPr>
          <w:rFonts w:ascii="Arial" w:cs="Arial" w:eastAsia="Arial" w:hAnsi="Arial"/>
          <w:sz w:val="16"/>
          <w:szCs w:val="16"/>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Level 3: Unobservable inputs that reflect the reporting entity’s own assumptions.</w:t>
      </w:r>
    </w:p>
    <w:p>
      <w:pPr>
        <w:spacing w:after="0" w:line="15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table presents information about our financial assets and liabilities that are measured at fair value on a recurring basis as of December 31, 2010, and indicates the fair value hierarchy of the valuation techniques utilized to determine such fair value.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6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10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line="20" w:lineRule="exact"/>
              <w:rPr>
                <w:sz w:val="1"/>
                <w:szCs w:val="1"/>
                <w:color w:val="auto"/>
              </w:rPr>
            </w:pPr>
          </w:p>
        </w:tc>
      </w:tr>
      <w:tr>
        <w:trPr>
          <w:trHeight w:val="156"/>
        </w:trPr>
        <w:tc>
          <w:tcPr>
            <w:tcW w:w="46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6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D6F3E8"/>
          </w:tcPr>
          <w:p>
            <w:pPr>
              <w:spacing w:after="0"/>
              <w:rPr>
                <w:sz w:val="18"/>
                <w:szCs w:val="18"/>
                <w:color w:val="auto"/>
              </w:rPr>
            </w:pPr>
          </w:p>
        </w:tc>
        <w:tc>
          <w:tcPr>
            <w:tcW w:w="900" w:type="dxa"/>
            <w:vAlign w:val="bottom"/>
            <w:tcBorders>
              <w:top w:val="single" w:sz="8" w:color="auto"/>
            </w:tcBorders>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00" w:type="dxa"/>
            <w:vAlign w:val="bottom"/>
            <w:tcBorders>
              <w:top w:val="single" w:sz="8" w:color="auto"/>
            </w:tcBorders>
            <w:shd w:val="clear" w:color="auto" w:fill="D6F3E8"/>
          </w:tcPr>
          <w:p>
            <w:pPr>
              <w:spacing w:after="0"/>
              <w:rPr>
                <w:sz w:val="18"/>
                <w:szCs w:val="18"/>
                <w:color w:val="auto"/>
              </w:rPr>
            </w:pPr>
          </w:p>
        </w:tc>
        <w:tc>
          <w:tcPr>
            <w:tcW w:w="800" w:type="dxa"/>
            <w:vAlign w:val="bottom"/>
            <w:tcBorders>
              <w:top w:val="single" w:sz="8" w:color="auto"/>
            </w:tcBorders>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200" w:type="dxa"/>
            <w:vAlign w:val="bottom"/>
            <w:tcBorders>
              <w:top w:val="single" w:sz="8" w:color="auto"/>
            </w:tcBorders>
            <w:shd w:val="clear" w:color="auto" w:fill="D6F3E8"/>
          </w:tcPr>
          <w:p>
            <w:pPr>
              <w:spacing w:after="0"/>
              <w:rPr>
                <w:sz w:val="18"/>
                <w:szCs w:val="18"/>
                <w:color w:val="auto"/>
              </w:rPr>
            </w:pPr>
          </w:p>
        </w:tc>
        <w:tc>
          <w:tcPr>
            <w:tcW w:w="820" w:type="dxa"/>
            <w:vAlign w:val="bottom"/>
            <w:tcBorders>
              <w:top w:val="single" w:sz="8" w:color="auto"/>
            </w:tcBorders>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tcBorders>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20"/>
              <w:spacing w:after="0"/>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47,514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47,514</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D6F3E8"/>
          </w:tcPr>
          <w:p>
            <w:pPr>
              <w:ind w:left="320"/>
              <w:spacing w:after="0"/>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15,321</w:t>
            </w:r>
          </w:p>
        </w:tc>
        <w:tc>
          <w:tcPr>
            <w:tcW w:w="1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15,321</w:t>
            </w:r>
          </w:p>
        </w:tc>
        <w:tc>
          <w:tcPr>
            <w:tcW w:w="3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940" w:type="dxa"/>
            <w:vAlign w:val="bottom"/>
            <w:gridSpan w:val="2"/>
            <w:shd w:val="clear" w:color="auto" w:fill="D6F3E8"/>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660" w:type="dxa"/>
            <w:vAlign w:val="bottom"/>
            <w:gridSpan w:val="2"/>
          </w:tcPr>
          <w:p>
            <w:pPr>
              <w:ind w:left="320"/>
              <w:spacing w:after="0"/>
              <w:rPr>
                <w:sz w:val="20"/>
                <w:szCs w:val="20"/>
                <w:color w:val="auto"/>
              </w:rPr>
            </w:pPr>
            <w:r>
              <w:rPr>
                <w:rFonts w:ascii="Arial" w:cs="Arial" w:eastAsia="Arial" w:hAnsi="Arial"/>
                <w:sz w:val="18"/>
                <w:szCs w:val="18"/>
                <w:color w:val="auto"/>
              </w:rPr>
              <w:t>Money market securities</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Our financial assets that are measured at fair value on a recurring basis are certificates of deposit (“CD’s”), with maturities ranging from three months to one year which fall within valuation technique Level 2. The CD’s are classified as investments in current assets on the Condensed Balance Sheets.</w:t>
      </w:r>
    </w:p>
    <w:p>
      <w:pPr>
        <w:spacing w:after="0" w:line="13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carrying value of cash and cash equivalents approximate fair value, as maturities are three months or less. We did not have any financial liability instruments subject to recurring fair value measurements as of December 31, 2010.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December 31, 2010 and March 28, 2010 consisted of the following:</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March 28,</w:t>
            </w:r>
          </w:p>
        </w:tc>
        <w:tc>
          <w:tcPr>
            <w:tcW w:w="0" w:type="dxa"/>
            <w:vAlign w:val="bottom"/>
          </w:tcPr>
          <w:p>
            <w:pPr>
              <w:spacing w:after="0"/>
              <w:rPr>
                <w:sz w:val="1"/>
                <w:szCs w:val="1"/>
                <w:color w:val="auto"/>
              </w:rPr>
            </w:pPr>
          </w:p>
        </w:tc>
      </w:tr>
      <w:tr>
        <w:trPr>
          <w:trHeight w:val="161"/>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D6F3E8"/>
          </w:tcPr>
          <w:p>
            <w:pPr>
              <w:spacing w:after="0"/>
              <w:rPr>
                <w:sz w:val="20"/>
                <w:szCs w:val="20"/>
                <w:color w:val="auto"/>
              </w:rPr>
            </w:pPr>
            <w:r>
              <w:rPr>
                <w:rFonts w:ascii="Arial" w:cs="Arial" w:eastAsia="Arial" w:hAnsi="Arial"/>
                <w:sz w:val="18"/>
                <w:szCs w:val="18"/>
                <w:color w:val="auto"/>
              </w:rPr>
              <w:t>Finished goods (FIFO basis)</w:t>
            </w: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27,698</w:t>
            </w:r>
          </w:p>
        </w:tc>
        <w:tc>
          <w:tcPr>
            <w:tcW w:w="300" w:type="dxa"/>
            <w:vAlign w:val="bottom"/>
            <w:shd w:val="clear" w:color="auto" w:fill="D6F3E8"/>
          </w:tcPr>
          <w:p>
            <w:pPr>
              <w:spacing w:after="0"/>
              <w:rPr>
                <w:sz w:val="18"/>
                <w:szCs w:val="18"/>
                <w:color w:val="auto"/>
              </w:rPr>
            </w:pP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23,258</w:t>
            </w: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LIFO reserve</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(3,284)</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inventory</w:t>
            </w:r>
          </w:p>
        </w:tc>
        <w:tc>
          <w:tcPr>
            <w:tcW w:w="1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24,414</w:t>
            </w:r>
          </w:p>
        </w:tc>
        <w:tc>
          <w:tcPr>
            <w:tcW w:w="300" w:type="dxa"/>
            <w:vAlign w:val="bottom"/>
            <w:tcBorders>
              <w:bottom w:val="single" w:sz="8" w:color="D6F3E8"/>
            </w:tcBorders>
            <w:shd w:val="clear" w:color="auto" w:fill="D6F3E8"/>
          </w:tcPr>
          <w:p>
            <w:pPr>
              <w:spacing w:after="0"/>
              <w:rPr>
                <w:sz w:val="21"/>
                <w:szCs w:val="21"/>
                <w:color w:val="auto"/>
              </w:rPr>
            </w:pPr>
          </w:p>
        </w:tc>
        <w:tc>
          <w:tcPr>
            <w:tcW w:w="160" w:type="dxa"/>
            <w:vAlign w:val="bottom"/>
            <w:tcBorders>
              <w:top w:val="single" w:sz="8" w:color="auto"/>
              <w:bottom w:val="single" w:sz="8" w:color="auto"/>
            </w:tcBorders>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21,327</w:t>
            </w:r>
          </w:p>
        </w:tc>
        <w:tc>
          <w:tcPr>
            <w:tcW w:w="140" w:type="dxa"/>
            <w:vAlign w:val="bottom"/>
            <w:tcBorders>
              <w:bottom w:val="single" w:sz="8" w:color="D6F3E8"/>
            </w:tcBorders>
            <w:shd w:val="clear" w:color="auto" w:fill="D6F3E8"/>
          </w:tcPr>
          <w:p>
            <w:pPr>
              <w:spacing w:after="0"/>
              <w:rPr>
                <w:sz w:val="21"/>
                <w:szCs w:val="2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first in, first out (“FIFO”) value of inventories accounted for under the last in, first out (“LIFO”) method was $27.6 million at December 31, 2010 and $23.1 million at March 28, 2010. The remainder of the inventory was valued and accounted for under the FIFO method. The LIFO reserve increased $0.6 million during the three months ended December 31, 2010 compared to a decrease of $2.1 million the three months ended December 31, 2009. During the nine months ended December 31, 2010, the LIFO reserve increased $1.4 million while the LIFO reserve decreased $9.1 million in the nine months ended December 31, 2009 as a result of the changes in inventory costs and inventory product mix. The valuation of LIFO inventory for interim periods is based on our estimates of year-end inventory levels and costs.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Intangible Assets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as of December 31, 2010 and March 28, 2010 was $1.2 million.</w:t>
      </w:r>
    </w:p>
    <w:p>
      <w:pPr>
        <w:spacing w:after="0" w:line="225"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Intangible assets consist primarily of customer lists, trade secrets and non-compete agreements classified as finite life and trademarks and trade names classified as indefinite life, related to previous business acquisitions. A summary of our intangible assets as of December 31, 2010 and March 28, 2010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5"/>
              </w:rPr>
              <w:t>December 31, 2010</w:t>
            </w: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8"/>
              </w:rPr>
              <w:t>Gross Carrying</w:t>
            </w:r>
          </w:p>
        </w:tc>
        <w:tc>
          <w:tcPr>
            <w:tcW w:w="120" w:type="dxa"/>
            <w:vAlign w:val="bottom"/>
          </w:tcPr>
          <w:p>
            <w:pPr>
              <w:spacing w:after="0"/>
              <w:rPr>
                <w:sz w:val="11"/>
                <w:szCs w:val="11"/>
                <w:color w:val="auto"/>
              </w:rPr>
            </w:pPr>
          </w:p>
        </w:tc>
        <w:tc>
          <w:tcPr>
            <w:tcW w:w="130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8"/>
              </w:rPr>
              <w:t>Accumulated</w:t>
            </w: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Amortization</w:t>
            </w:r>
          </w:p>
        </w:tc>
        <w:tc>
          <w:tcPr>
            <w:tcW w:w="300" w:type="dxa"/>
            <w:vAlign w:val="bottom"/>
          </w:tcPr>
          <w:p>
            <w:pPr>
              <w:spacing w:after="0"/>
              <w:rPr>
                <w:sz w:val="14"/>
                <w:szCs w:val="14"/>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2"/>
        </w:trPr>
        <w:tc>
          <w:tcPr>
            <w:tcW w:w="33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D6F3E8"/>
          </w:tcPr>
          <w:p>
            <w:pPr>
              <w:spacing w:after="0"/>
              <w:rPr>
                <w:sz w:val="20"/>
                <w:szCs w:val="20"/>
                <w:color w:val="auto"/>
              </w:rPr>
            </w:pPr>
            <w:r>
              <w:rPr>
                <w:rFonts w:ascii="Arial" w:cs="Arial" w:eastAsia="Arial" w:hAnsi="Arial"/>
                <w:sz w:val="18"/>
                <w:szCs w:val="18"/>
                <w:color w:val="auto"/>
              </w:rPr>
              <w:t>Finite-life intangible assets</w:t>
            </w:r>
          </w:p>
        </w:tc>
        <w:tc>
          <w:tcPr>
            <w:tcW w:w="12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3,259</w:t>
            </w:r>
          </w:p>
        </w:tc>
        <w:tc>
          <w:tcPr>
            <w:tcW w:w="240" w:type="dxa"/>
            <w:vAlign w:val="bottom"/>
            <w:shd w:val="clear" w:color="auto" w:fill="D6F3E8"/>
          </w:tcPr>
          <w:p>
            <w:pPr>
              <w:spacing w:after="0"/>
              <w:rPr>
                <w:sz w:val="18"/>
                <w:szCs w:val="18"/>
                <w:color w:val="auto"/>
              </w:rPr>
            </w:pP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(1,032)</w:t>
            </w:r>
          </w:p>
        </w:tc>
        <w:tc>
          <w:tcPr>
            <w:tcW w:w="3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Indefinite-life intangible assets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 intangible assets, net</w:t>
            </w:r>
          </w:p>
        </w:tc>
        <w:tc>
          <w:tcPr>
            <w:tcW w:w="1140" w:type="dxa"/>
            <w:vAlign w:val="bottom"/>
            <w:tcBorders>
              <w:bottom w:val="single" w:sz="8" w:color="D6F3E8"/>
            </w:tcBorders>
            <w:shd w:val="clear" w:color="auto" w:fill="D6F3E8"/>
          </w:tcPr>
          <w:p>
            <w:pPr>
              <w:spacing w:after="0"/>
              <w:rPr>
                <w:sz w:val="21"/>
                <w:szCs w:val="21"/>
                <w:color w:val="auto"/>
              </w:rPr>
            </w:pPr>
          </w:p>
        </w:tc>
        <w:tc>
          <w:tcPr>
            <w:tcW w:w="1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4,486</w:t>
            </w:r>
          </w:p>
        </w:tc>
        <w:tc>
          <w:tcPr>
            <w:tcW w:w="240" w:type="dxa"/>
            <w:vAlign w:val="bottom"/>
            <w:tcBorders>
              <w:bottom w:val="single" w:sz="8" w:color="D6F3E8"/>
            </w:tcBorders>
            <w:shd w:val="clear" w:color="auto" w:fill="D6F3E8"/>
          </w:tcPr>
          <w:p>
            <w:pPr>
              <w:spacing w:after="0"/>
              <w:rPr>
                <w:sz w:val="21"/>
                <w:szCs w:val="21"/>
                <w:color w:val="auto"/>
              </w:rPr>
            </w:pPr>
          </w:p>
        </w:tc>
        <w:tc>
          <w:tcPr>
            <w:tcW w:w="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(1,032)</w:t>
            </w:r>
          </w:p>
        </w:tc>
        <w:tc>
          <w:tcPr>
            <w:tcW w:w="240" w:type="dxa"/>
            <w:vAlign w:val="bottom"/>
            <w:tcBorders>
              <w:bottom w:val="single" w:sz="8" w:color="D6F3E8"/>
            </w:tcBorders>
            <w:shd w:val="clear" w:color="auto" w:fill="D6F3E8"/>
          </w:tcPr>
          <w:p>
            <w:pPr>
              <w:spacing w:after="0"/>
              <w:rPr>
                <w:sz w:val="21"/>
                <w:szCs w:val="21"/>
                <w:color w:val="auto"/>
              </w:rPr>
            </w:pPr>
          </w:p>
        </w:tc>
        <w:tc>
          <w:tcPr>
            <w:tcW w:w="300" w:type="dxa"/>
            <w:vAlign w:val="bottom"/>
            <w:tcBorders>
              <w:top w:val="single" w:sz="8" w:color="auto"/>
              <w:bottom w:val="single" w:sz="8" w:color="auto"/>
            </w:tcBorders>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3,454</w:t>
            </w:r>
          </w:p>
        </w:tc>
        <w:tc>
          <w:tcPr>
            <w:tcW w:w="100" w:type="dxa"/>
            <w:vAlign w:val="bottom"/>
            <w:tcBorders>
              <w:bottom w:val="single" w:sz="8" w:color="D6F3E8"/>
            </w:tcBorders>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3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March 28, 2010</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8"/>
              </w:rPr>
              <w:t>Gross Carrying</w:t>
            </w:r>
          </w:p>
        </w:tc>
        <w:tc>
          <w:tcPr>
            <w:tcW w:w="120" w:type="dxa"/>
            <w:vAlign w:val="bottom"/>
          </w:tcPr>
          <w:p>
            <w:pPr>
              <w:spacing w:after="0"/>
              <w:rPr>
                <w:sz w:val="11"/>
                <w:szCs w:val="11"/>
                <w:color w:val="auto"/>
              </w:rPr>
            </w:pPr>
          </w:p>
        </w:tc>
        <w:tc>
          <w:tcPr>
            <w:tcW w:w="130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8"/>
              </w:rPr>
              <w:t>Accumulated</w:t>
            </w: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Amortization</w:t>
            </w:r>
          </w:p>
        </w:tc>
        <w:tc>
          <w:tcPr>
            <w:tcW w:w="300" w:type="dxa"/>
            <w:vAlign w:val="bottom"/>
          </w:tcPr>
          <w:p>
            <w:pPr>
              <w:spacing w:after="0"/>
              <w:rPr>
                <w:sz w:val="14"/>
                <w:szCs w:val="14"/>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2"/>
        </w:trPr>
        <w:tc>
          <w:tcPr>
            <w:tcW w:w="33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D6F3E8"/>
          </w:tcPr>
          <w:p>
            <w:pPr>
              <w:spacing w:after="0"/>
              <w:rPr>
                <w:sz w:val="20"/>
                <w:szCs w:val="20"/>
                <w:color w:val="auto"/>
              </w:rPr>
            </w:pPr>
            <w:r>
              <w:rPr>
                <w:rFonts w:ascii="Arial" w:cs="Arial" w:eastAsia="Arial" w:hAnsi="Arial"/>
                <w:sz w:val="18"/>
                <w:szCs w:val="18"/>
                <w:color w:val="auto"/>
              </w:rPr>
              <w:t>Finite-life intangible assets</w:t>
            </w:r>
          </w:p>
        </w:tc>
        <w:tc>
          <w:tcPr>
            <w:tcW w:w="12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3,259</w:t>
            </w:r>
          </w:p>
        </w:tc>
        <w:tc>
          <w:tcPr>
            <w:tcW w:w="240" w:type="dxa"/>
            <w:vAlign w:val="bottom"/>
            <w:shd w:val="clear" w:color="auto" w:fill="D6F3E8"/>
          </w:tcPr>
          <w:p>
            <w:pPr>
              <w:spacing w:after="0"/>
              <w:rPr>
                <w:sz w:val="18"/>
                <w:szCs w:val="18"/>
                <w:color w:val="auto"/>
              </w:rPr>
            </w:pP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(851)</w:t>
            </w:r>
          </w:p>
        </w:tc>
        <w:tc>
          <w:tcPr>
            <w:tcW w:w="3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Indefinite-life intangible assets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 intangible assets, net</w:t>
            </w:r>
          </w:p>
        </w:tc>
        <w:tc>
          <w:tcPr>
            <w:tcW w:w="1140" w:type="dxa"/>
            <w:vAlign w:val="bottom"/>
            <w:tcBorders>
              <w:bottom w:val="single" w:sz="8" w:color="D6F3E8"/>
            </w:tcBorders>
            <w:shd w:val="clear" w:color="auto" w:fill="D6F3E8"/>
          </w:tcPr>
          <w:p>
            <w:pPr>
              <w:spacing w:after="0"/>
              <w:rPr>
                <w:sz w:val="21"/>
                <w:szCs w:val="21"/>
                <w:color w:val="auto"/>
              </w:rPr>
            </w:pPr>
          </w:p>
        </w:tc>
        <w:tc>
          <w:tcPr>
            <w:tcW w:w="1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4,486</w:t>
            </w:r>
          </w:p>
        </w:tc>
        <w:tc>
          <w:tcPr>
            <w:tcW w:w="240" w:type="dxa"/>
            <w:vAlign w:val="bottom"/>
            <w:tcBorders>
              <w:bottom w:val="single" w:sz="8" w:color="D6F3E8"/>
            </w:tcBorders>
            <w:shd w:val="clear" w:color="auto" w:fill="D6F3E8"/>
          </w:tcPr>
          <w:p>
            <w:pPr>
              <w:spacing w:after="0"/>
              <w:rPr>
                <w:sz w:val="21"/>
                <w:szCs w:val="21"/>
                <w:color w:val="auto"/>
              </w:rPr>
            </w:pPr>
          </w:p>
        </w:tc>
        <w:tc>
          <w:tcPr>
            <w:tcW w:w="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(851)</w:t>
            </w:r>
          </w:p>
        </w:tc>
        <w:tc>
          <w:tcPr>
            <w:tcW w:w="240" w:type="dxa"/>
            <w:vAlign w:val="bottom"/>
            <w:tcBorders>
              <w:bottom w:val="single" w:sz="8" w:color="D6F3E8"/>
            </w:tcBorders>
            <w:shd w:val="clear" w:color="auto" w:fill="D6F3E8"/>
          </w:tcPr>
          <w:p>
            <w:pPr>
              <w:spacing w:after="0"/>
              <w:rPr>
                <w:sz w:val="21"/>
                <w:szCs w:val="21"/>
                <w:color w:val="auto"/>
              </w:rPr>
            </w:pPr>
          </w:p>
        </w:tc>
        <w:tc>
          <w:tcPr>
            <w:tcW w:w="300" w:type="dxa"/>
            <w:vAlign w:val="bottom"/>
            <w:tcBorders>
              <w:top w:val="single" w:sz="8" w:color="auto"/>
              <w:bottom w:val="single" w:sz="8" w:color="auto"/>
            </w:tcBorders>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3,635</w:t>
            </w:r>
          </w:p>
        </w:tc>
        <w:tc>
          <w:tcPr>
            <w:tcW w:w="100" w:type="dxa"/>
            <w:vAlign w:val="bottom"/>
            <w:tcBorders>
              <w:bottom w:val="single" w:sz="8" w:color="D6F3E8"/>
            </w:tcBorders>
            <w:shd w:val="clear" w:color="auto" w:fill="D6F3E8"/>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231"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In the preparation of our financial statements, management calculates income taxes based upon the estimated effective rate applicable to operating results for the full fiscal year. This includes estimating the current tax liability as well as assessing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We record any interest and penalties related to income taxes as income tax expense in the statements of income.</w:t>
      </w:r>
    </w:p>
    <w:p>
      <w:pPr>
        <w:spacing w:after="0" w:line="17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recognize the effect of income tax positions only if those positions are more likely than not of being sustained. Changes in recognition or measurement are reflected in the period in which the change in judgment occurs.</w:t>
      </w:r>
    </w:p>
    <w:p>
      <w:pPr>
        <w:spacing w:after="0" w:line="18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beginning with 2006 remain open to examination by the Internal Revenue Service, and with few exceptions, state and local income tax jurisdictions.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Accumulated Other Comprehensive Income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income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March 28,</w:t>
            </w: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D6F3E8"/>
          </w:tcPr>
          <w:p>
            <w:pPr>
              <w:spacing w:after="0"/>
              <w:rPr>
                <w:sz w:val="20"/>
                <w:szCs w:val="20"/>
                <w:color w:val="auto"/>
              </w:rPr>
            </w:pPr>
            <w:r>
              <w:rPr>
                <w:rFonts w:ascii="Arial" w:cs="Arial" w:eastAsia="Arial" w:hAnsi="Arial"/>
                <w:sz w:val="18"/>
                <w:szCs w:val="18"/>
                <w:color w:val="auto"/>
              </w:rPr>
              <w:t>Unrealized gain (loss) on:</w:t>
            </w:r>
          </w:p>
        </w:tc>
        <w:tc>
          <w:tcPr>
            <w:tcW w:w="16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9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40"/>
              <w:spacing w:after="0"/>
              <w:rPr>
                <w:sz w:val="20"/>
                <w:szCs w:val="20"/>
                <w:color w:val="auto"/>
              </w:rPr>
            </w:pPr>
            <w:r>
              <w:rPr>
                <w:rFonts w:ascii="Arial" w:cs="Arial" w:eastAsia="Arial" w:hAnsi="Arial"/>
                <w:sz w:val="18"/>
                <w:szCs w:val="18"/>
                <w:color w:val="auto"/>
              </w:rPr>
              <w:t>Available-for-sale investments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2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Post-retirement plan liability adjustments</w:t>
            </w:r>
          </w:p>
        </w:tc>
        <w:tc>
          <w:tcPr>
            <w:tcW w:w="16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(29)</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shd w:val="clear" w:color="auto" w:fill="D6F3E8"/>
          </w:tcPr>
          <w:p>
            <w:pPr>
              <w:spacing w:after="0" w:line="20" w:lineRule="exact"/>
              <w:rPr>
                <w:sz w:val="1"/>
                <w:szCs w:val="1"/>
                <w:color w:val="auto"/>
              </w:rPr>
            </w:pPr>
          </w:p>
        </w:tc>
        <w:tc>
          <w:tcPr>
            <w:tcW w:w="168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D6F3E8"/>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80" w:type="dxa"/>
            <w:vAlign w:val="bottom"/>
            <w:vMerge w:val="restart"/>
          </w:tcPr>
          <w:p>
            <w:pPr>
              <w:jc w:val="right"/>
              <w:ind w:right="192"/>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808080"/>
            </w:tcBorders>
          </w:tcPr>
          <w:p>
            <w:pPr>
              <w:spacing w:after="0"/>
              <w:rPr>
                <w:sz w:val="21"/>
                <w:szCs w:val="21"/>
                <w:color w:val="auto"/>
              </w:rPr>
            </w:pPr>
          </w:p>
        </w:tc>
        <w:tc>
          <w:tcPr>
            <w:tcW w:w="4340" w:type="dxa"/>
            <w:vAlign w:val="bottom"/>
            <w:tcBorders>
              <w:bottom w:val="single" w:sz="8" w:color="808080"/>
            </w:tcBorders>
          </w:tcPr>
          <w:p>
            <w:pPr>
              <w:spacing w:after="0"/>
              <w:rPr>
                <w:sz w:val="21"/>
                <w:szCs w:val="21"/>
                <w:color w:val="auto"/>
              </w:rPr>
            </w:pPr>
          </w:p>
        </w:tc>
        <w:tc>
          <w:tcPr>
            <w:tcW w:w="168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96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92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290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 Based Compensation</w:t>
      </w:r>
    </w:p>
    <w:p>
      <w:pPr>
        <w:spacing w:after="0" w:line="23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i w:val="1"/>
          <w:iCs w:val="1"/>
          <w:color w:val="auto"/>
        </w:rPr>
        <w:t xml:space="preserve">Stock Option Awards. </w:t>
      </w:r>
      <w:r>
        <w:rPr>
          <w:rFonts w:ascii="Arial" w:cs="Arial" w:eastAsia="Arial" w:hAnsi="Arial"/>
          <w:sz w:val="18"/>
          <w:szCs w:val="18"/>
          <w:color w:val="auto"/>
        </w:rPr>
        <w:t>Our Board of Directors approved a long-term incentive equity compensation arrangement for our executive officers during the first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fiscal 2009. This long-term incentive arrangement provides for the grant of nonqualified stock options that vest at the end of a three-year period and expire no later than 10 years after the grant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stock option activity for the nine months ended December 31, 2010:</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Weighted-</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4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Average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4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Exercise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4200" w:type="dxa"/>
            <w:vAlign w:val="bottom"/>
          </w:tcPr>
          <w:p>
            <w:pPr>
              <w:spacing w:after="0"/>
              <w:rPr>
                <w:sz w:val="14"/>
                <w:szCs w:val="14"/>
                <w:color w:val="auto"/>
              </w:rPr>
            </w:pPr>
          </w:p>
        </w:tc>
        <w:tc>
          <w:tcPr>
            <w:tcW w:w="1540" w:type="dxa"/>
            <w:vAlign w:val="bottom"/>
            <w:gridSpan w:val="2"/>
          </w:tcPr>
          <w:p>
            <w:pPr>
              <w:ind w:left="4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Price</w:t>
            </w:r>
          </w:p>
        </w:tc>
        <w:tc>
          <w:tcPr>
            <w:tcW w:w="1200" w:type="dxa"/>
            <w:vAlign w:val="bottom"/>
          </w:tcPr>
          <w:p>
            <w:pPr>
              <w:ind w:left="260"/>
              <w:spacing w:after="0"/>
              <w:rPr>
                <w:sz w:val="20"/>
                <w:szCs w:val="20"/>
                <w:color w:val="auto"/>
              </w:rPr>
            </w:pPr>
            <w:r>
              <w:rPr>
                <w:rFonts w:ascii="Arial" w:cs="Arial" w:eastAsia="Arial" w:hAnsi="Arial"/>
                <w:sz w:val="14"/>
                <w:szCs w:val="14"/>
                <w:b w:val="1"/>
                <w:bCs w:val="1"/>
                <w:color w:val="auto"/>
              </w:rPr>
              <w:t>Exercisable</w:t>
            </w:r>
          </w:p>
        </w:tc>
        <w:tc>
          <w:tcPr>
            <w:tcW w:w="80" w:type="dxa"/>
            <w:vAlign w:val="bottom"/>
          </w:tcPr>
          <w:p>
            <w:pPr>
              <w:spacing w:after="0"/>
              <w:rPr>
                <w:sz w:val="14"/>
                <w:szCs w:val="14"/>
                <w:color w:val="auto"/>
              </w:rPr>
            </w:pPr>
          </w:p>
        </w:tc>
      </w:tr>
      <w:tr>
        <w:trPr>
          <w:trHeight w:val="210"/>
        </w:trPr>
        <w:tc>
          <w:tcPr>
            <w:tcW w:w="4200" w:type="dxa"/>
            <w:vAlign w:val="bottom"/>
            <w:shd w:val="clear" w:color="auto" w:fill="D6F3E8"/>
          </w:tcPr>
          <w:p>
            <w:pPr>
              <w:spacing w:after="0"/>
              <w:rPr>
                <w:sz w:val="20"/>
                <w:szCs w:val="20"/>
                <w:color w:val="auto"/>
              </w:rPr>
            </w:pPr>
            <w:r>
              <w:rPr>
                <w:rFonts w:ascii="Arial" w:cs="Arial" w:eastAsia="Arial" w:hAnsi="Arial"/>
                <w:sz w:val="18"/>
                <w:szCs w:val="18"/>
                <w:color w:val="auto"/>
              </w:rPr>
              <w:t>Outstanding at beginning of period</w:t>
            </w:r>
          </w:p>
        </w:tc>
        <w:tc>
          <w:tcPr>
            <w:tcW w:w="12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131,997</w:t>
            </w:r>
          </w:p>
        </w:tc>
        <w:tc>
          <w:tcPr>
            <w:tcW w:w="320" w:type="dxa"/>
            <w:vAlign w:val="bottom"/>
            <w:shd w:val="clear" w:color="auto" w:fill="D6F3E8"/>
          </w:tcPr>
          <w:p>
            <w:pPr>
              <w:spacing w:after="0"/>
              <w:rPr>
                <w:sz w:val="18"/>
                <w:szCs w:val="18"/>
                <w:color w:val="auto"/>
              </w:rPr>
            </w:pPr>
          </w:p>
        </w:tc>
        <w:tc>
          <w:tcPr>
            <w:tcW w:w="200" w:type="dxa"/>
            <w:vAlign w:val="bottom"/>
            <w:tcBorders>
              <w:top w:val="single" w:sz="8" w:color="auto"/>
            </w:tcBorders>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17.82</w:t>
            </w:r>
          </w:p>
        </w:tc>
        <w:tc>
          <w:tcPr>
            <w:tcW w:w="340" w:type="dxa"/>
            <w:vAlign w:val="bottom"/>
            <w:shd w:val="clear" w:color="auto" w:fill="D6F3E8"/>
          </w:tcPr>
          <w:p>
            <w:pPr>
              <w:spacing w:after="0"/>
              <w:rPr>
                <w:sz w:val="18"/>
                <w:szCs w:val="18"/>
                <w:color w:val="auto"/>
              </w:rPr>
            </w:pPr>
          </w:p>
        </w:tc>
        <w:tc>
          <w:tcPr>
            <w:tcW w:w="1200" w:type="dxa"/>
            <w:vAlign w:val="bottom"/>
            <w:tcBorders>
              <w:top w:val="single" w:sz="8" w:color="auto"/>
            </w:tcBorders>
            <w:shd w:val="clear" w:color="auto" w:fill="D6F3E8"/>
          </w:tcPr>
          <w:p>
            <w:pPr>
              <w:ind w:left="10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D6F3E8"/>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tcPr>
          <w:p>
            <w:pPr>
              <w:ind w:left="10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r>
      <w:tr>
        <w:trPr>
          <w:trHeight w:val="216"/>
        </w:trPr>
        <w:tc>
          <w:tcPr>
            <w:tcW w:w="4200" w:type="dxa"/>
            <w:vAlign w:val="bottom"/>
            <w:shd w:val="clear" w:color="auto" w:fill="D6F3E8"/>
          </w:tcPr>
          <w:p>
            <w:pPr>
              <w:spacing w:after="0"/>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6F3E8"/>
          </w:tcPr>
          <w:p>
            <w:pPr>
              <w:ind w:left="10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D6F3E8"/>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Forfeited or expired</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tcPr>
          <w:p>
            <w:pPr>
              <w:ind w:left="102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r>
      <w:tr>
        <w:trPr>
          <w:trHeight w:val="250"/>
        </w:trPr>
        <w:tc>
          <w:tcPr>
            <w:tcW w:w="420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Outstanding at end of period</w:t>
            </w:r>
          </w:p>
        </w:tc>
        <w:tc>
          <w:tcPr>
            <w:tcW w:w="12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131,997</w:t>
            </w:r>
          </w:p>
        </w:tc>
        <w:tc>
          <w:tcPr>
            <w:tcW w:w="320" w:type="dxa"/>
            <w:vAlign w:val="bottom"/>
            <w:tcBorders>
              <w:bottom w:val="single" w:sz="8" w:color="D6F3E8"/>
            </w:tcBorders>
            <w:shd w:val="clear" w:color="auto" w:fill="D6F3E8"/>
          </w:tcPr>
          <w:p>
            <w:pPr>
              <w:spacing w:after="0"/>
              <w:rPr>
                <w:sz w:val="21"/>
                <w:szCs w:val="21"/>
                <w:color w:val="auto"/>
              </w:rPr>
            </w:pPr>
          </w:p>
        </w:tc>
        <w:tc>
          <w:tcPr>
            <w:tcW w:w="200" w:type="dxa"/>
            <w:vAlign w:val="bottom"/>
            <w:tcBorders>
              <w:top w:val="single" w:sz="8" w:color="auto"/>
              <w:bottom w:val="single" w:sz="8" w:color="auto"/>
            </w:tcBorders>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17.82</w:t>
            </w:r>
          </w:p>
        </w:tc>
        <w:tc>
          <w:tcPr>
            <w:tcW w:w="340" w:type="dxa"/>
            <w:vAlign w:val="bottom"/>
            <w:tcBorders>
              <w:bottom w:val="single" w:sz="8" w:color="D6F3E8"/>
            </w:tcBorders>
            <w:shd w:val="clear" w:color="auto" w:fill="D6F3E8"/>
          </w:tcPr>
          <w:p>
            <w:pPr>
              <w:spacing w:after="0"/>
              <w:rPr>
                <w:sz w:val="21"/>
                <w:szCs w:val="21"/>
                <w:color w:val="auto"/>
              </w:rPr>
            </w:pPr>
          </w:p>
        </w:tc>
        <w:tc>
          <w:tcPr>
            <w:tcW w:w="1200" w:type="dxa"/>
            <w:vAlign w:val="bottom"/>
            <w:tcBorders>
              <w:top w:val="single" w:sz="8" w:color="auto"/>
              <w:bottom w:val="single" w:sz="8" w:color="auto"/>
            </w:tcBorders>
            <w:shd w:val="clear" w:color="auto" w:fill="D6F3E8"/>
          </w:tcPr>
          <w:p>
            <w:pPr>
              <w:ind w:left="102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D6F3E8"/>
            </w:tcBorders>
            <w:shd w:val="clear" w:color="auto" w:fill="D6F3E8"/>
          </w:tcPr>
          <w:p>
            <w:pPr>
              <w:spacing w:after="0"/>
              <w:rPr>
                <w:sz w:val="21"/>
                <w:szCs w:val="21"/>
                <w:color w:val="auto"/>
              </w:rPr>
            </w:pPr>
          </w:p>
        </w:tc>
      </w:tr>
    </w:tbl>
    <w:p>
      <w:pPr>
        <w:spacing w:after="0" w:line="208"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Compensation expense for the three months ended December 31, 2010 and 2009 related to stock options was not material. We recorded $0.1 million in compensation expense related to stock options in each of the nine month periods ended December 31, 2010 and 2009.</w:t>
      </w:r>
    </w:p>
    <w:p>
      <w:pPr>
        <w:spacing w:after="0" w:line="139"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Performance-Based Restricted Stock Units. </w:t>
      </w:r>
      <w:r>
        <w:rPr>
          <w:rFonts w:ascii="Arial" w:cs="Arial" w:eastAsia="Arial" w:hAnsi="Arial"/>
          <w:sz w:val="16"/>
          <w:szCs w:val="16"/>
          <w:color w:val="auto"/>
        </w:rPr>
        <w:t>Our Board of Directors approved a performance-based equity compensation arrangement for our executive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first quarter of fiscal 2009. This performance-based arrangement provides for the grant of performance-based restricted stock units that represent a possible future issuance of restricted shares of our common stock based on our pre-tax income target for the applicable fiscal year. The actual number of restricted shares to be issued to each executive officer will be determined when our final financial information becomes available after the applicable fiscal year and will be between zero shares and 73,387 shares in the aggregate for fiscal 2011. The restricted shares issued will fully vest two years after the last day of the fiscal year on which the performance is based. We are recording the compensation expense for the outstanding performance share units and then-converted restricted stock over the life of the awards.</w:t>
      </w:r>
    </w:p>
    <w:p>
      <w:pPr>
        <w:spacing w:after="0" w:line="17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On June 10, 2009 and June 2, 2010, we awarded performance-based restricted stock units to our executive officers under this arrangement. The following table represents the restricted stock activity for the nine months ended December 31, 2010: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60"/>
              <w:spacing w:after="0"/>
              <w:rPr>
                <w:sz w:val="20"/>
                <w:szCs w:val="20"/>
                <w:color w:val="auto"/>
              </w:rPr>
            </w:pPr>
            <w:r>
              <w:rPr>
                <w:rFonts w:ascii="Arial" w:cs="Arial" w:eastAsia="Arial" w:hAnsi="Arial"/>
                <w:sz w:val="14"/>
                <w:szCs w:val="14"/>
                <w:b w:val="1"/>
                <w:bCs w:val="1"/>
                <w:color w:val="auto"/>
                <w:w w:val="88"/>
              </w:rPr>
              <w:t>Weighted-</w:t>
            </w:r>
          </w:p>
        </w:tc>
        <w:tc>
          <w:tcPr>
            <w:tcW w:w="80" w:type="dxa"/>
            <w:vAlign w:val="bottom"/>
          </w:tcPr>
          <w:p>
            <w:pPr>
              <w:spacing w:after="0"/>
              <w:rPr>
                <w:sz w:val="14"/>
                <w:szCs w:val="14"/>
                <w:color w:val="auto"/>
              </w:rPr>
            </w:pPr>
          </w:p>
        </w:tc>
      </w:tr>
      <w:tr>
        <w:trPr>
          <w:trHeight w:val="149"/>
        </w:trPr>
        <w:tc>
          <w:tcPr>
            <w:tcW w:w="5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Average Grant</w:t>
            </w:r>
          </w:p>
        </w:tc>
        <w:tc>
          <w:tcPr>
            <w:tcW w:w="80" w:type="dxa"/>
            <w:vAlign w:val="bottom"/>
          </w:tcPr>
          <w:p>
            <w:pPr>
              <w:spacing w:after="0"/>
              <w:rPr>
                <w:sz w:val="12"/>
                <w:szCs w:val="12"/>
                <w:color w:val="auto"/>
              </w:rPr>
            </w:pPr>
          </w:p>
        </w:tc>
      </w:tr>
      <w:tr>
        <w:trPr>
          <w:trHeight w:val="161"/>
        </w:trPr>
        <w:tc>
          <w:tcPr>
            <w:tcW w:w="5580" w:type="dxa"/>
            <w:vAlign w:val="bottom"/>
          </w:tcPr>
          <w:p>
            <w:pPr>
              <w:spacing w:after="0"/>
              <w:rPr>
                <w:sz w:val="14"/>
                <w:szCs w:val="14"/>
                <w:color w:val="auto"/>
              </w:rPr>
            </w:pPr>
          </w:p>
        </w:tc>
        <w:tc>
          <w:tcPr>
            <w:tcW w:w="1540" w:type="dxa"/>
            <w:vAlign w:val="bottom"/>
            <w:gridSpan w:val="2"/>
          </w:tcPr>
          <w:p>
            <w:pPr>
              <w:ind w:left="4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220" w:type="dxa"/>
            <w:vAlign w:val="bottom"/>
          </w:tcPr>
          <w:p>
            <w:pPr>
              <w:jc w:val="center"/>
              <w:ind w:right="80"/>
              <w:spacing w:after="0"/>
              <w:rPr>
                <w:sz w:val="20"/>
                <w:szCs w:val="20"/>
                <w:color w:val="auto"/>
              </w:rPr>
            </w:pPr>
            <w:r>
              <w:rPr>
                <w:rFonts w:ascii="Arial" w:cs="Arial" w:eastAsia="Arial" w:hAnsi="Arial"/>
                <w:sz w:val="14"/>
                <w:szCs w:val="14"/>
                <w:b w:val="1"/>
                <w:bCs w:val="1"/>
                <w:color w:val="auto"/>
                <w:w w:val="88"/>
              </w:rPr>
              <w:t>Date Fair Value</w:t>
            </w:r>
          </w:p>
        </w:tc>
        <w:tc>
          <w:tcPr>
            <w:tcW w:w="80" w:type="dxa"/>
            <w:vAlign w:val="bottom"/>
          </w:tcPr>
          <w:p>
            <w:pPr>
              <w:spacing w:after="0"/>
              <w:rPr>
                <w:sz w:val="14"/>
                <w:szCs w:val="14"/>
                <w:color w:val="auto"/>
              </w:rPr>
            </w:pPr>
          </w:p>
        </w:tc>
      </w:tr>
      <w:tr>
        <w:trPr>
          <w:trHeight w:val="210"/>
        </w:trPr>
        <w:tc>
          <w:tcPr>
            <w:tcW w:w="5580" w:type="dxa"/>
            <w:vAlign w:val="bottom"/>
            <w:shd w:val="clear" w:color="auto" w:fill="D6F3E8"/>
          </w:tcPr>
          <w:p>
            <w:pPr>
              <w:spacing w:after="0"/>
              <w:rPr>
                <w:sz w:val="20"/>
                <w:szCs w:val="20"/>
                <w:color w:val="auto"/>
              </w:rPr>
            </w:pPr>
            <w:r>
              <w:rPr>
                <w:rFonts w:ascii="Arial" w:cs="Arial" w:eastAsia="Arial" w:hAnsi="Arial"/>
                <w:sz w:val="18"/>
                <w:szCs w:val="18"/>
                <w:color w:val="auto"/>
              </w:rPr>
              <w:t>Outstanding at beginning of period</w:t>
            </w:r>
          </w:p>
        </w:tc>
        <w:tc>
          <w:tcPr>
            <w:tcW w:w="12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23,000</w:t>
            </w:r>
          </w:p>
        </w:tc>
        <w:tc>
          <w:tcPr>
            <w:tcW w:w="340" w:type="dxa"/>
            <w:vAlign w:val="bottom"/>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19.90</w:t>
            </w:r>
          </w:p>
        </w:tc>
        <w:tc>
          <w:tcPr>
            <w:tcW w:w="80" w:type="dxa"/>
            <w:vAlign w:val="bottom"/>
            <w:shd w:val="clear" w:color="auto" w:fill="D6F3E8"/>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26,500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25.81</w:t>
            </w:r>
          </w:p>
        </w:tc>
        <w:tc>
          <w:tcPr>
            <w:tcW w:w="80" w:type="dxa"/>
            <w:vAlign w:val="bottom"/>
          </w:tcPr>
          <w:p>
            <w:pPr>
              <w:spacing w:after="0"/>
              <w:rPr>
                <w:sz w:val="18"/>
                <w:szCs w:val="18"/>
                <w:color w:val="auto"/>
              </w:rPr>
            </w:pPr>
          </w:p>
        </w:tc>
      </w:tr>
      <w:tr>
        <w:trPr>
          <w:trHeight w:val="216"/>
        </w:trPr>
        <w:tc>
          <w:tcPr>
            <w:tcW w:w="5580" w:type="dxa"/>
            <w:vAlign w:val="bottom"/>
            <w:shd w:val="clear" w:color="auto" w:fill="D6F3E8"/>
          </w:tcPr>
          <w:p>
            <w:pPr>
              <w:spacing w:after="0"/>
              <w:rPr>
                <w:sz w:val="20"/>
                <w:szCs w:val="20"/>
                <w:color w:val="auto"/>
              </w:rPr>
            </w:pPr>
            <w:r>
              <w:rPr>
                <w:rFonts w:ascii="Arial" w:cs="Arial" w:eastAsia="Arial" w:hAnsi="Arial"/>
                <w:sz w:val="18"/>
                <w:szCs w:val="18"/>
                <w:color w:val="auto"/>
              </w:rPr>
              <w:t>Vested</w:t>
            </w:r>
          </w:p>
        </w:tc>
        <w:tc>
          <w:tcPr>
            <w:tcW w:w="15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D6F3E8"/>
          </w:tcPr>
          <w:p>
            <w:pPr>
              <w:spacing w:after="0"/>
              <w:rPr>
                <w:sz w:val="18"/>
                <w:szCs w:val="18"/>
                <w:color w:val="auto"/>
              </w:rPr>
            </w:pPr>
          </w:p>
        </w:tc>
        <w:tc>
          <w:tcPr>
            <w:tcW w:w="12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6F3E8"/>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Forfeited or expired</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558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Outstanding at end of period</w:t>
            </w:r>
          </w:p>
        </w:tc>
        <w:tc>
          <w:tcPr>
            <w:tcW w:w="12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49,500</w:t>
            </w:r>
          </w:p>
        </w:tc>
        <w:tc>
          <w:tcPr>
            <w:tcW w:w="340" w:type="dxa"/>
            <w:vAlign w:val="bottom"/>
            <w:tcBorders>
              <w:bottom w:val="single" w:sz="8" w:color="D6F3E8"/>
            </w:tcBorders>
            <w:shd w:val="clear" w:color="auto" w:fill="D6F3E8"/>
          </w:tcPr>
          <w:p>
            <w:pPr>
              <w:spacing w:after="0"/>
              <w:rPr>
                <w:sz w:val="21"/>
                <w:szCs w:val="21"/>
                <w:color w:val="auto"/>
              </w:rPr>
            </w:pPr>
          </w:p>
        </w:tc>
        <w:tc>
          <w:tcPr>
            <w:tcW w:w="1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23.06</w:t>
            </w:r>
          </w:p>
        </w:tc>
        <w:tc>
          <w:tcPr>
            <w:tcW w:w="80" w:type="dxa"/>
            <w:vAlign w:val="bottom"/>
            <w:tcBorders>
              <w:bottom w:val="single" w:sz="8" w:color="D6F3E8"/>
            </w:tcBorders>
            <w:shd w:val="clear" w:color="auto" w:fill="D6F3E8"/>
          </w:tcPr>
          <w:p>
            <w:pPr>
              <w:spacing w:after="0"/>
              <w:rPr>
                <w:sz w:val="21"/>
                <w:szCs w:val="21"/>
                <w:color w:val="auto"/>
              </w:rPr>
            </w:pPr>
          </w:p>
        </w:tc>
      </w:tr>
    </w:tbl>
    <w:p>
      <w:pPr>
        <w:spacing w:after="0" w:line="2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recorded compensation expense of $0.4 million and $0.9 million related to performance share units for the three and nine months ended December 31, 2010, respectively. We recorded compensation expense of $0.1 million and $0.3 million related to performance share units for the three and nine months ended December 31, 2009, respectively.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As part of their retainer, each non-employee Director receives restricted stock for their Board services. The restricted stock awards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expensed over the requisite vesting period, which begins on the date of issuance and ends on the date of the next Annual Meeting of Shareholders, based on the market value on the date of grant.</w:t>
      </w:r>
    </w:p>
    <w:p>
      <w:pPr>
        <w:spacing w:after="0" w:line="1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On August 5, 2009 and July 28, 2010 we awarded restricted stock to the Board. The following table represents the Board’s restricted stock activity for the nine months ended December 31, 2010: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20"/>
              <w:spacing w:after="0"/>
              <w:rPr>
                <w:sz w:val="20"/>
                <w:szCs w:val="20"/>
                <w:color w:val="auto"/>
              </w:rPr>
            </w:pPr>
            <w:r>
              <w:rPr>
                <w:rFonts w:ascii="Arial" w:cs="Arial" w:eastAsia="Arial" w:hAnsi="Arial"/>
                <w:sz w:val="14"/>
                <w:szCs w:val="14"/>
                <w:b w:val="1"/>
                <w:bCs w:val="1"/>
                <w:color w:val="auto"/>
                <w:w w:val="88"/>
              </w:rPr>
              <w:t>Weighted-</w:t>
            </w:r>
          </w:p>
        </w:tc>
        <w:tc>
          <w:tcPr>
            <w:tcW w:w="60" w:type="dxa"/>
            <w:vAlign w:val="bottom"/>
          </w:tcPr>
          <w:p>
            <w:pPr>
              <w:spacing w:after="0"/>
              <w:rPr>
                <w:sz w:val="14"/>
                <w:szCs w:val="14"/>
                <w:color w:val="auto"/>
              </w:rPr>
            </w:pPr>
          </w:p>
        </w:tc>
      </w:tr>
      <w:tr>
        <w:trPr>
          <w:trHeight w:val="149"/>
        </w:trPr>
        <w:tc>
          <w:tcPr>
            <w:tcW w:w="4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Average Grant</w:t>
            </w:r>
          </w:p>
        </w:tc>
        <w:tc>
          <w:tcPr>
            <w:tcW w:w="60" w:type="dxa"/>
            <w:vAlign w:val="bottom"/>
          </w:tcPr>
          <w:p>
            <w:pPr>
              <w:spacing w:after="0"/>
              <w:rPr>
                <w:sz w:val="12"/>
                <w:szCs w:val="12"/>
                <w:color w:val="auto"/>
              </w:rPr>
            </w:pPr>
          </w:p>
        </w:tc>
      </w:tr>
      <w:tr>
        <w:trPr>
          <w:trHeight w:val="161"/>
        </w:trPr>
        <w:tc>
          <w:tcPr>
            <w:tcW w:w="4820" w:type="dxa"/>
            <w:vAlign w:val="bottom"/>
          </w:tcPr>
          <w:p>
            <w:pPr>
              <w:spacing w:after="0"/>
              <w:rPr>
                <w:sz w:val="14"/>
                <w:szCs w:val="1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100" w:type="dxa"/>
            <w:vAlign w:val="bottom"/>
          </w:tcPr>
          <w:p>
            <w:pPr>
              <w:jc w:val="center"/>
              <w:ind w:right="40"/>
              <w:spacing w:after="0"/>
              <w:rPr>
                <w:sz w:val="20"/>
                <w:szCs w:val="20"/>
                <w:color w:val="auto"/>
              </w:rPr>
            </w:pPr>
            <w:r>
              <w:rPr>
                <w:rFonts w:ascii="Arial" w:cs="Arial" w:eastAsia="Arial" w:hAnsi="Arial"/>
                <w:sz w:val="14"/>
                <w:szCs w:val="14"/>
                <w:b w:val="1"/>
                <w:bCs w:val="1"/>
                <w:color w:val="auto"/>
                <w:w w:val="88"/>
              </w:rPr>
              <w:t>Date Fair Value</w:t>
            </w:r>
          </w:p>
        </w:tc>
        <w:tc>
          <w:tcPr>
            <w:tcW w:w="60" w:type="dxa"/>
            <w:vAlign w:val="bottom"/>
          </w:tcPr>
          <w:p>
            <w:pPr>
              <w:spacing w:after="0"/>
              <w:rPr>
                <w:sz w:val="14"/>
                <w:szCs w:val="14"/>
                <w:color w:val="auto"/>
              </w:rPr>
            </w:pPr>
          </w:p>
        </w:tc>
      </w:tr>
      <w:tr>
        <w:trPr>
          <w:trHeight w:val="210"/>
        </w:trPr>
        <w:tc>
          <w:tcPr>
            <w:tcW w:w="4820" w:type="dxa"/>
            <w:vAlign w:val="bottom"/>
            <w:shd w:val="clear" w:color="auto" w:fill="D6F3E8"/>
          </w:tcPr>
          <w:p>
            <w:pPr>
              <w:spacing w:after="0"/>
              <w:rPr>
                <w:sz w:val="20"/>
                <w:szCs w:val="20"/>
                <w:color w:val="auto"/>
              </w:rPr>
            </w:pPr>
            <w:r>
              <w:rPr>
                <w:rFonts w:ascii="Arial" w:cs="Arial" w:eastAsia="Arial" w:hAnsi="Arial"/>
                <w:sz w:val="18"/>
                <w:szCs w:val="18"/>
                <w:color w:val="auto"/>
              </w:rPr>
              <w:t>Outstanding at beginning of period</w:t>
            </w: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6,000</w:t>
            </w:r>
          </w:p>
        </w:tc>
        <w:tc>
          <w:tcPr>
            <w:tcW w:w="300" w:type="dxa"/>
            <w:vAlign w:val="bottom"/>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18.68</w:t>
            </w:r>
          </w:p>
        </w:tc>
        <w:tc>
          <w:tcPr>
            <w:tcW w:w="60" w:type="dxa"/>
            <w:vAlign w:val="bottom"/>
            <w:shd w:val="clear" w:color="auto" w:fill="D6F3E8"/>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6,996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w:t>
            </w:r>
          </w:p>
        </w:tc>
        <w:tc>
          <w:tcPr>
            <w:tcW w:w="60" w:type="dxa"/>
            <w:vAlign w:val="bottom"/>
          </w:tcPr>
          <w:p>
            <w:pPr>
              <w:spacing w:after="0"/>
              <w:rPr>
                <w:sz w:val="18"/>
                <w:szCs w:val="18"/>
                <w:color w:val="auto"/>
              </w:rPr>
            </w:pPr>
          </w:p>
        </w:tc>
      </w:tr>
      <w:tr>
        <w:trPr>
          <w:trHeight w:val="216"/>
        </w:trPr>
        <w:tc>
          <w:tcPr>
            <w:tcW w:w="4820" w:type="dxa"/>
            <w:vAlign w:val="bottom"/>
            <w:shd w:val="clear" w:color="auto" w:fill="D6F3E8"/>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18.68</w:t>
            </w:r>
          </w:p>
        </w:tc>
        <w:tc>
          <w:tcPr>
            <w:tcW w:w="60" w:type="dxa"/>
            <w:vAlign w:val="bottom"/>
            <w:shd w:val="clear" w:color="auto" w:fill="D6F3E8"/>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Forfeited or expired</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50"/>
        </w:trPr>
        <w:tc>
          <w:tcPr>
            <w:tcW w:w="482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Outstanding at end of period</w:t>
            </w:r>
          </w:p>
        </w:tc>
        <w:tc>
          <w:tcPr>
            <w:tcW w:w="10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6,996</w:t>
            </w:r>
          </w:p>
        </w:tc>
        <w:tc>
          <w:tcPr>
            <w:tcW w:w="300" w:type="dxa"/>
            <w:vAlign w:val="bottom"/>
            <w:tcBorders>
              <w:bottom w:val="single" w:sz="8" w:color="D6F3E8"/>
            </w:tcBorders>
            <w:shd w:val="clear" w:color="auto" w:fill="D6F3E8"/>
          </w:tcPr>
          <w:p>
            <w:pPr>
              <w:spacing w:after="0"/>
              <w:rPr>
                <w:sz w:val="21"/>
                <w:szCs w:val="21"/>
                <w:color w:val="auto"/>
              </w:rPr>
            </w:pPr>
          </w:p>
        </w:tc>
        <w:tc>
          <w:tcPr>
            <w:tcW w:w="1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30.00</w:t>
            </w:r>
          </w:p>
        </w:tc>
        <w:tc>
          <w:tcPr>
            <w:tcW w:w="60" w:type="dxa"/>
            <w:vAlign w:val="bottom"/>
            <w:tcBorders>
              <w:bottom w:val="single" w:sz="8" w:color="D6F3E8"/>
            </w:tcBorders>
            <w:shd w:val="clear" w:color="auto" w:fill="D6F3E8"/>
          </w:tcPr>
          <w:p>
            <w:pPr>
              <w:spacing w:after="0"/>
              <w:rPr>
                <w:sz w:val="21"/>
                <w:szCs w:val="21"/>
                <w:color w:val="auto"/>
              </w:rPr>
            </w:pPr>
          </w:p>
        </w:tc>
      </w:tr>
    </w:tbl>
    <w:p>
      <w:pPr>
        <w:spacing w:after="0" w:line="208"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color w:val="auto"/>
        </w:rPr>
        <w:t>Compensation expense for the three months ended December 31, 2010 and 2009 related to restricted stock awards to the Board was not material. We recorded $0.1 million in compensation expense related to restricted stock awards to the Board in each of the nine month periods ended December 31, 2010 and 2009.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3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—We are a party from time to time in various legal proceedings arising in the ordinary course of our business. None of the pending proceedings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to have a material effect on the Company’s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Discontinued Operations</w:t>
      </w:r>
    </w:p>
    <w:p>
      <w:pPr>
        <w:spacing w:after="0" w:line="231"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In February 2009, we agreed to sell our inventory and entered into a marketing agreement regarding the business of our Pharmaceutical segment, which provided pharmaceutical chemicals to retail pharmacies and small-scale pharmaceutical manufacturers. On May 22, 2009 the majority of the inventory was sold for cash of approximately $1.6 million which approximated its carrying value. The remaining inventory, with a carrying value of approximately $0.1 million, was sold during fiscal 2010. The agreement provides for annual payments based on a percentage of gross profit on future sales up to a maximum of approximately $3.7 million.</w:t>
      </w:r>
    </w:p>
    <w:p>
      <w:pPr>
        <w:spacing w:after="0" w:line="3"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We have no significant remaining obligations to fulfill under the agreement. We initially recorded a receivable of approximately $1.7 million, equal to the carrying value of the assets that were related to this business. The first year payment under the agreement of approximately $0.8 million was received in the second quarter of fiscal 2011. Amounts received in excess of the $0.9 million remaining receivable will be recorded as a gain on sale of discontinued operations in future periods. The results of the Pharmaceutical segment have been reported as discontinued operations for all periods presented.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231"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We have two reportable segments: Industrial and Water Treatment. The accounting policies of the segments are the same as those described in the summary of significant accounting policies. Product costs and expenses for each segment are based on actual costs incurred along with cost allocation of shared and centralized functions. We evaluate performance based on profit or loss from operations before income taxes not including nonrecurring gains and losses. Reportable segments are defined by product and type of customer. Segments are responsible for the sales, marketing and development of their products and services. The segments do not have separate accounting, administration, customer service or purchasing functions. There are no intersegment sales and no operating segments have been aggregated. Given our nature, it is not practical to disclose revenues from external customers for each product or each group of similar products. No single customer represents 10 percent or more of our revenue. Sales are primarily within the United States and all assets are located within the United States.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235"/>
              <w:spacing w:after="0"/>
              <w:rPr>
                <w:sz w:val="20"/>
                <w:szCs w:val="20"/>
                <w:color w:val="auto"/>
              </w:rPr>
            </w:pPr>
            <w:r>
              <w:rPr>
                <w:rFonts w:ascii="Arial" w:cs="Arial" w:eastAsia="Arial" w:hAnsi="Arial"/>
                <w:sz w:val="14"/>
                <w:szCs w:val="14"/>
                <w:b w:val="1"/>
                <w:bCs w:val="1"/>
                <w:color w:val="auto"/>
              </w:rPr>
              <w:t>Water</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Reportable Segments</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Industrial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15"/>
              <w:spacing w:after="0"/>
              <w:rPr>
                <w:sz w:val="20"/>
                <w:szCs w:val="20"/>
                <w:color w:val="auto"/>
              </w:rPr>
            </w:pPr>
            <w:r>
              <w:rPr>
                <w:rFonts w:ascii="Arial" w:cs="Arial" w:eastAsia="Arial" w:hAnsi="Arial"/>
                <w:sz w:val="14"/>
                <w:szCs w:val="14"/>
                <w:b w:val="1"/>
                <w:bCs w:val="1"/>
                <w:color w:val="auto"/>
                <w:w w:val="91"/>
              </w:rPr>
              <w:t>Treatment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2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6F3E8"/>
          </w:tcPr>
          <w:p>
            <w:pPr>
              <w:spacing w:after="0"/>
              <w:rPr>
                <w:sz w:val="20"/>
                <w:szCs w:val="20"/>
                <w:color w:val="auto"/>
              </w:rPr>
            </w:pPr>
            <w:r>
              <w:rPr>
                <w:rFonts w:ascii="Arial" w:cs="Arial" w:eastAsia="Arial" w:hAnsi="Arial"/>
                <w:sz w:val="18"/>
                <w:szCs w:val="18"/>
                <w:color w:val="auto"/>
              </w:rPr>
              <w:t>Three Months Ended December 31, 2010:</w:t>
            </w:r>
          </w:p>
        </w:tc>
        <w:tc>
          <w:tcPr>
            <w:tcW w:w="12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00"/>
              <w:spacing w:after="0"/>
              <w:rPr>
                <w:sz w:val="20"/>
                <w:szCs w:val="20"/>
                <w:color w:val="auto"/>
              </w:rPr>
            </w:pPr>
            <w:r>
              <w:rPr>
                <w:rFonts w:ascii="Arial" w:cs="Arial" w:eastAsia="Arial" w:hAnsi="Arial"/>
                <w:sz w:val="18"/>
                <w:szCs w:val="18"/>
                <w:color w:val="auto"/>
              </w:rPr>
              <w:t>Sales</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51,282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19,338</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70,620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6F3E8"/>
          </w:tcPr>
          <w:p>
            <w:pPr>
              <w:ind w:left="300"/>
              <w:spacing w:after="0"/>
              <w:rPr>
                <w:sz w:val="20"/>
                <w:szCs w:val="20"/>
                <w:color w:val="auto"/>
              </w:rPr>
            </w:pPr>
            <w:r>
              <w:rPr>
                <w:rFonts w:ascii="Arial" w:cs="Arial" w:eastAsia="Arial" w:hAnsi="Arial"/>
                <w:sz w:val="18"/>
                <w:szCs w:val="18"/>
                <w:color w:val="auto"/>
              </w:rPr>
              <w:t>Gross profit</w:t>
            </w:r>
          </w:p>
        </w:tc>
        <w:tc>
          <w:tcPr>
            <w:tcW w:w="12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8,627</w:t>
            </w:r>
          </w:p>
        </w:tc>
        <w:tc>
          <w:tcPr>
            <w:tcW w:w="1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5,099</w:t>
            </w:r>
          </w:p>
        </w:tc>
        <w:tc>
          <w:tcPr>
            <w:tcW w:w="2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8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13,726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300"/>
              <w:spacing w:after="0"/>
              <w:rPr>
                <w:sz w:val="20"/>
                <w:szCs w:val="20"/>
                <w:color w:val="auto"/>
              </w:rPr>
            </w:pPr>
            <w:r>
              <w:rPr>
                <w:rFonts w:ascii="Arial" w:cs="Arial" w:eastAsia="Arial" w:hAnsi="Arial"/>
                <w:sz w:val="18"/>
                <w:szCs w:val="18"/>
                <w:color w:val="auto"/>
              </w:rPr>
              <w:t>Operating income</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4,130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2,703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6,833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D6F3E8"/>
          </w:tcPr>
          <w:p>
            <w:pPr>
              <w:spacing w:after="0"/>
              <w:rPr>
                <w:sz w:val="20"/>
                <w:szCs w:val="20"/>
                <w:color w:val="auto"/>
              </w:rPr>
            </w:pPr>
            <w:r>
              <w:rPr>
                <w:rFonts w:ascii="Arial" w:cs="Arial" w:eastAsia="Arial" w:hAnsi="Arial"/>
                <w:sz w:val="18"/>
                <w:szCs w:val="18"/>
                <w:color w:val="auto"/>
              </w:rPr>
              <w:t>Three Months Ended December 31, 2009:</w:t>
            </w:r>
          </w:p>
        </w:tc>
        <w:tc>
          <w:tcPr>
            <w:tcW w:w="12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00"/>
              <w:spacing w:after="0"/>
              <w:rPr>
                <w:sz w:val="20"/>
                <w:szCs w:val="20"/>
                <w:color w:val="auto"/>
              </w:rPr>
            </w:pPr>
            <w:r>
              <w:rPr>
                <w:rFonts w:ascii="Arial" w:cs="Arial" w:eastAsia="Arial" w:hAnsi="Arial"/>
                <w:sz w:val="18"/>
                <w:szCs w:val="18"/>
                <w:color w:val="auto"/>
              </w:rPr>
              <w:t>Sales</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42,336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18,291</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60,627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6F3E8"/>
          </w:tcPr>
          <w:p>
            <w:pPr>
              <w:ind w:left="300"/>
              <w:spacing w:after="0"/>
              <w:rPr>
                <w:sz w:val="20"/>
                <w:szCs w:val="20"/>
                <w:color w:val="auto"/>
              </w:rPr>
            </w:pPr>
            <w:r>
              <w:rPr>
                <w:rFonts w:ascii="Arial" w:cs="Arial" w:eastAsia="Arial" w:hAnsi="Arial"/>
                <w:sz w:val="18"/>
                <w:szCs w:val="18"/>
                <w:color w:val="auto"/>
              </w:rPr>
              <w:t>Gross profit</w:t>
            </w:r>
          </w:p>
        </w:tc>
        <w:tc>
          <w:tcPr>
            <w:tcW w:w="12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10,122</w:t>
            </w:r>
          </w:p>
        </w:tc>
        <w:tc>
          <w:tcPr>
            <w:tcW w:w="1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5,733</w:t>
            </w:r>
          </w:p>
        </w:tc>
        <w:tc>
          <w:tcPr>
            <w:tcW w:w="2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8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15,855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300"/>
              <w:spacing w:after="0"/>
              <w:rPr>
                <w:sz w:val="20"/>
                <w:szCs w:val="20"/>
                <w:color w:val="auto"/>
              </w:rPr>
            </w:pPr>
            <w:r>
              <w:rPr>
                <w:rFonts w:ascii="Arial" w:cs="Arial" w:eastAsia="Arial" w:hAnsi="Arial"/>
                <w:sz w:val="18"/>
                <w:szCs w:val="18"/>
                <w:color w:val="auto"/>
              </w:rPr>
              <w:t>Operating income</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5,834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3,574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9,408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D6F3E8"/>
          </w:tcPr>
          <w:p>
            <w:pPr>
              <w:spacing w:after="0"/>
              <w:rPr>
                <w:sz w:val="20"/>
                <w:szCs w:val="20"/>
                <w:color w:val="auto"/>
              </w:rPr>
            </w:pPr>
            <w:r>
              <w:rPr>
                <w:rFonts w:ascii="Arial" w:cs="Arial" w:eastAsia="Arial" w:hAnsi="Arial"/>
                <w:sz w:val="18"/>
                <w:szCs w:val="18"/>
                <w:color w:val="auto"/>
              </w:rPr>
              <w:t>Nine Months Ended December 31, 2010:</w:t>
            </w:r>
          </w:p>
        </w:tc>
        <w:tc>
          <w:tcPr>
            <w:tcW w:w="12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00"/>
              <w:spacing w:after="0"/>
              <w:rPr>
                <w:sz w:val="20"/>
                <w:szCs w:val="20"/>
                <w:color w:val="auto"/>
              </w:rPr>
            </w:pPr>
            <w:r>
              <w:rPr>
                <w:rFonts w:ascii="Arial" w:cs="Arial" w:eastAsia="Arial" w:hAnsi="Arial"/>
                <w:sz w:val="18"/>
                <w:szCs w:val="18"/>
                <w:color w:val="auto"/>
              </w:rPr>
              <w:t>Sales</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146,016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69,668</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215,684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6F3E8"/>
          </w:tcPr>
          <w:p>
            <w:pPr>
              <w:ind w:left="300"/>
              <w:spacing w:after="0"/>
              <w:rPr>
                <w:sz w:val="20"/>
                <w:szCs w:val="20"/>
                <w:color w:val="auto"/>
              </w:rPr>
            </w:pPr>
            <w:r>
              <w:rPr>
                <w:rFonts w:ascii="Arial" w:cs="Arial" w:eastAsia="Arial" w:hAnsi="Arial"/>
                <w:sz w:val="18"/>
                <w:szCs w:val="18"/>
                <w:color w:val="auto"/>
              </w:rPr>
              <w:t>Gross profit</w:t>
            </w:r>
          </w:p>
        </w:tc>
        <w:tc>
          <w:tcPr>
            <w:tcW w:w="12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28,550</w:t>
            </w:r>
          </w:p>
        </w:tc>
        <w:tc>
          <w:tcPr>
            <w:tcW w:w="1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21,366</w:t>
            </w:r>
          </w:p>
        </w:tc>
        <w:tc>
          <w:tcPr>
            <w:tcW w:w="2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8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49,916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300"/>
              <w:spacing w:after="0"/>
              <w:rPr>
                <w:sz w:val="20"/>
                <w:szCs w:val="20"/>
                <w:color w:val="auto"/>
              </w:rPr>
            </w:pPr>
            <w:r>
              <w:rPr>
                <w:rFonts w:ascii="Arial" w:cs="Arial" w:eastAsia="Arial" w:hAnsi="Arial"/>
                <w:sz w:val="18"/>
                <w:szCs w:val="18"/>
                <w:color w:val="auto"/>
              </w:rPr>
              <w:t>Operating income</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15,894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13,654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29,548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D6F3E8"/>
          </w:tcPr>
          <w:p>
            <w:pPr>
              <w:spacing w:after="0"/>
              <w:rPr>
                <w:sz w:val="20"/>
                <w:szCs w:val="20"/>
                <w:color w:val="auto"/>
              </w:rPr>
            </w:pPr>
            <w:r>
              <w:rPr>
                <w:rFonts w:ascii="Arial" w:cs="Arial" w:eastAsia="Arial" w:hAnsi="Arial"/>
                <w:sz w:val="18"/>
                <w:szCs w:val="18"/>
                <w:color w:val="auto"/>
              </w:rPr>
              <w:t>Nine Months Ended December 31, 2009:</w:t>
            </w:r>
          </w:p>
        </w:tc>
        <w:tc>
          <w:tcPr>
            <w:tcW w:w="12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00"/>
              <w:spacing w:after="0"/>
              <w:rPr>
                <w:sz w:val="20"/>
                <w:szCs w:val="20"/>
                <w:color w:val="auto"/>
              </w:rPr>
            </w:pPr>
            <w:r>
              <w:rPr>
                <w:rFonts w:ascii="Arial" w:cs="Arial" w:eastAsia="Arial" w:hAnsi="Arial"/>
                <w:sz w:val="18"/>
                <w:szCs w:val="18"/>
                <w:color w:val="auto"/>
              </w:rPr>
              <w:t>Sales</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133,460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65,729</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199,189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D6F3E8"/>
          </w:tcPr>
          <w:p>
            <w:pPr>
              <w:ind w:left="300"/>
              <w:spacing w:after="0"/>
              <w:rPr>
                <w:sz w:val="20"/>
                <w:szCs w:val="20"/>
                <w:color w:val="auto"/>
              </w:rPr>
            </w:pPr>
            <w:r>
              <w:rPr>
                <w:rFonts w:ascii="Arial" w:cs="Arial" w:eastAsia="Arial" w:hAnsi="Arial"/>
                <w:sz w:val="18"/>
                <w:szCs w:val="18"/>
                <w:color w:val="auto"/>
              </w:rPr>
              <w:t>Gross profit</w:t>
            </w:r>
          </w:p>
        </w:tc>
        <w:tc>
          <w:tcPr>
            <w:tcW w:w="12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27,386</w:t>
            </w:r>
          </w:p>
        </w:tc>
        <w:tc>
          <w:tcPr>
            <w:tcW w:w="1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21,741</w:t>
            </w:r>
          </w:p>
        </w:tc>
        <w:tc>
          <w:tcPr>
            <w:tcW w:w="2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8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49,127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300"/>
              <w:spacing w:after="0"/>
              <w:rPr>
                <w:sz w:val="20"/>
                <w:szCs w:val="20"/>
                <w:color w:val="auto"/>
              </w:rPr>
            </w:pPr>
            <w:r>
              <w:rPr>
                <w:rFonts w:ascii="Arial" w:cs="Arial" w:eastAsia="Arial" w:hAnsi="Arial"/>
                <w:sz w:val="18"/>
                <w:szCs w:val="18"/>
                <w:color w:val="auto"/>
              </w:rPr>
              <w:t>Operating income</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14,964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14,793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29,757</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Subsequent Event</w:t>
      </w:r>
    </w:p>
    <w:p>
      <w:pPr>
        <w:spacing w:after="0" w:line="23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January 10, 2011, our wholly owned subsidiary (“Acquisition Sub”), and Vertex Chemical Corporation, R.H.A. Corporation, and Novel Wash Co., Inc. (collectively, “Vertex”) entered into an Asset Purchase Agreement (the “Asset Purchase Agreement”) pursuant to which, among other things, Acquisition Sub purchased and acquired from Vertex substantially all of the assets used in Vertex’s business, which is the manufacture and distribution of sodium hypochlorite and the distribution of caustic soda, hydrochloric acid and related products. Pursuant to the Asset Purchase Agreement, Acquisition Sub paid Vertex $25.5 million and assumed certain liabilities of Vertex. We guaranteed the payment and performance by Acquisition Sub of all of its obligations under the Asset Purchase Agreement. The Asset Purchase Agreement contains representations, warranties and covenants of us, Acquisition Sub, and Vertex. The acquisition was completed on January 14, 2011.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total purchase price for Vertex has not been finalized. An estimate of the purchase price allocation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80" w:type="dxa"/>
            <w:vAlign w:val="bottom"/>
          </w:tcPr>
          <w:p>
            <w:pPr>
              <w:spacing w:after="0"/>
              <w:rPr>
                <w:sz w:val="14"/>
                <w:szCs w:val="14"/>
                <w:color w:val="auto"/>
              </w:rPr>
            </w:pPr>
          </w:p>
        </w:tc>
      </w:tr>
      <w:tr>
        <w:trPr>
          <w:trHeight w:val="216"/>
        </w:trPr>
        <w:tc>
          <w:tcPr>
            <w:tcW w:w="4260" w:type="dxa"/>
            <w:vAlign w:val="bottom"/>
            <w:shd w:val="clear" w:color="auto" w:fill="D6F3E8"/>
          </w:tcPr>
          <w:p>
            <w:pPr>
              <w:spacing w:after="0"/>
              <w:rPr>
                <w:sz w:val="20"/>
                <w:szCs w:val="20"/>
                <w:color w:val="auto"/>
              </w:rPr>
            </w:pPr>
            <w:r>
              <w:rPr>
                <w:rFonts w:ascii="Arial" w:cs="Arial" w:eastAsia="Arial" w:hAnsi="Arial"/>
                <w:sz w:val="18"/>
                <w:szCs w:val="18"/>
                <w:color w:val="auto"/>
              </w:rPr>
              <w:t>Net tangible assets acquired</w:t>
            </w:r>
          </w:p>
        </w:tc>
        <w:tc>
          <w:tcPr>
            <w:tcW w:w="2880" w:type="dxa"/>
            <w:vAlign w:val="bottom"/>
            <w:gridSpan w:val="2"/>
            <w:shd w:val="clear" w:color="auto" w:fill="D6F3E8"/>
          </w:tcPr>
          <w:p>
            <w:pPr>
              <w:jc w:val="right"/>
              <w:ind w:right="132"/>
              <w:spacing w:after="0"/>
              <w:rPr>
                <w:sz w:val="20"/>
                <w:szCs w:val="20"/>
                <w:color w:val="auto"/>
              </w:rPr>
            </w:pPr>
            <w:r>
              <w:rPr>
                <w:rFonts w:ascii="Arial" w:cs="Arial" w:eastAsia="Arial" w:hAnsi="Arial"/>
                <w:sz w:val="18"/>
                <w:szCs w:val="18"/>
                <w:color w:val="auto"/>
              </w:rPr>
              <w:t>$</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15,400</w:t>
            </w:r>
          </w:p>
        </w:tc>
        <w:tc>
          <w:tcPr>
            <w:tcW w:w="160" w:type="dxa"/>
            <w:vAlign w:val="bottom"/>
            <w:shd w:val="clear" w:color="auto" w:fill="D6F3E8"/>
          </w:tcPr>
          <w:p>
            <w:pPr>
              <w:spacing w:after="0"/>
              <w:rPr>
                <w:sz w:val="18"/>
                <w:szCs w:val="18"/>
                <w:color w:val="auto"/>
              </w:rPr>
            </w:pPr>
          </w:p>
        </w:tc>
        <w:tc>
          <w:tcPr>
            <w:tcW w:w="348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Identified intangible assets and Goodwill</w:t>
            </w:r>
          </w:p>
        </w:tc>
        <w:tc>
          <w:tcPr>
            <w:tcW w:w="25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10,100</w:t>
            </w:r>
          </w:p>
        </w:tc>
        <w:tc>
          <w:tcPr>
            <w:tcW w:w="16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50"/>
        </w:trPr>
        <w:tc>
          <w:tcPr>
            <w:tcW w:w="426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 purchase price</w:t>
            </w:r>
          </w:p>
        </w:tc>
        <w:tc>
          <w:tcPr>
            <w:tcW w:w="2560" w:type="dxa"/>
            <w:vAlign w:val="bottom"/>
            <w:tcBorders>
              <w:bottom w:val="single" w:sz="8" w:color="D6F3E8"/>
            </w:tcBorders>
            <w:shd w:val="clear" w:color="auto" w:fill="D6F3E8"/>
          </w:tcPr>
          <w:p>
            <w:pPr>
              <w:spacing w:after="0"/>
              <w:rPr>
                <w:sz w:val="21"/>
                <w:szCs w:val="21"/>
                <w:color w:val="auto"/>
              </w:rPr>
            </w:pPr>
          </w:p>
        </w:tc>
        <w:tc>
          <w:tcPr>
            <w:tcW w:w="320" w:type="dxa"/>
            <w:vAlign w:val="bottom"/>
            <w:tcBorders>
              <w:bottom w:val="single" w:sz="8" w:color="auto"/>
            </w:tcBorders>
            <w:shd w:val="clear" w:color="auto" w:fill="D6F3E8"/>
          </w:tcPr>
          <w:p>
            <w:pPr>
              <w:jc w:val="right"/>
              <w:ind w:right="13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25,500</w:t>
            </w:r>
          </w:p>
        </w:tc>
        <w:tc>
          <w:tcPr>
            <w:tcW w:w="160" w:type="dxa"/>
            <w:vAlign w:val="bottom"/>
            <w:tcBorders>
              <w:bottom w:val="single" w:sz="8" w:color="D6F3E8"/>
            </w:tcBorders>
            <w:shd w:val="clear" w:color="auto" w:fill="D6F3E8"/>
          </w:tcPr>
          <w:p>
            <w:pPr>
              <w:spacing w:after="0"/>
              <w:rPr>
                <w:sz w:val="21"/>
                <w:szCs w:val="21"/>
                <w:color w:val="auto"/>
              </w:rPr>
            </w:pPr>
          </w:p>
        </w:tc>
        <w:tc>
          <w:tcPr>
            <w:tcW w:w="3480" w:type="dxa"/>
            <w:vAlign w:val="bottom"/>
          </w:tcPr>
          <w:p>
            <w:pPr>
              <w:spacing w:after="0"/>
              <w:rPr>
                <w:sz w:val="21"/>
                <w:szCs w:val="21"/>
                <w:color w:val="auto"/>
              </w:rPr>
            </w:pPr>
          </w:p>
        </w:tc>
      </w:tr>
      <w:tr>
        <w:trPr>
          <w:trHeight w:val="411"/>
        </w:trPr>
        <w:tc>
          <w:tcPr>
            <w:tcW w:w="4260" w:type="dxa"/>
            <w:vAlign w:val="bottom"/>
          </w:tcPr>
          <w:p>
            <w:pPr>
              <w:spacing w:after="0"/>
              <w:rPr>
                <w:sz w:val="24"/>
                <w:szCs w:val="24"/>
                <w:color w:val="auto"/>
              </w:rPr>
            </w:pPr>
          </w:p>
        </w:tc>
        <w:tc>
          <w:tcPr>
            <w:tcW w:w="2560" w:type="dxa"/>
            <w:vAlign w:val="bottom"/>
          </w:tcPr>
          <w:p>
            <w:pPr>
              <w:jc w:val="right"/>
              <w:ind w:right="932"/>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42"/>
        </w:trPr>
        <w:tc>
          <w:tcPr>
            <w:tcW w:w="4260" w:type="dxa"/>
            <w:vAlign w:val="bottom"/>
            <w:tcBorders>
              <w:bottom w:val="single" w:sz="8" w:color="808080"/>
            </w:tcBorders>
          </w:tcPr>
          <w:p>
            <w:pPr>
              <w:spacing w:after="0"/>
              <w:rPr>
                <w:sz w:val="21"/>
                <w:szCs w:val="21"/>
                <w:color w:val="auto"/>
              </w:rPr>
            </w:pPr>
          </w:p>
        </w:tc>
        <w:tc>
          <w:tcPr>
            <w:tcW w:w="2560" w:type="dxa"/>
            <w:vAlign w:val="bottom"/>
            <w:tcBorders>
              <w:bottom w:val="single" w:sz="8" w:color="808080"/>
            </w:tcBorders>
          </w:tcPr>
          <w:p>
            <w:pPr>
              <w:spacing w:after="0"/>
              <w:rPr>
                <w:sz w:val="21"/>
                <w:szCs w:val="21"/>
                <w:color w:val="auto"/>
              </w:rPr>
            </w:pPr>
          </w:p>
        </w:tc>
        <w:tc>
          <w:tcPr>
            <w:tcW w:w="320" w:type="dxa"/>
            <w:vAlign w:val="bottom"/>
            <w:tcBorders>
              <w:bottom w:val="single" w:sz="8" w:color="808080"/>
            </w:tcBorders>
          </w:tcPr>
          <w:p>
            <w:pPr>
              <w:spacing w:after="0"/>
              <w:rPr>
                <w:sz w:val="21"/>
                <w:szCs w:val="21"/>
                <w:color w:val="auto"/>
              </w:rPr>
            </w:pPr>
          </w:p>
        </w:tc>
        <w:tc>
          <w:tcPr>
            <w:tcW w:w="68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348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unaudited pro forma condensed consolidated financial results of operations for the three and nine months ended December 31, 2010 are presented as if the Vertex acquisition had been completed at the beginning of the each period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43"/>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 except share and per-share data)</w:t>
            </w: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9"/>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D6F3E8"/>
          </w:tcPr>
          <w:p>
            <w:pPr>
              <w:spacing w:after="0"/>
              <w:rPr>
                <w:sz w:val="20"/>
                <w:szCs w:val="20"/>
                <w:color w:val="auto"/>
              </w:rPr>
            </w:pPr>
            <w:r>
              <w:rPr>
                <w:rFonts w:ascii="Arial" w:cs="Arial" w:eastAsia="Arial" w:hAnsi="Arial"/>
                <w:sz w:val="18"/>
                <w:szCs w:val="18"/>
                <w:color w:val="auto"/>
              </w:rPr>
              <w:t>Pro forma net sales</w:t>
            </w: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79,920</w:t>
            </w:r>
          </w:p>
        </w:tc>
        <w:tc>
          <w:tcPr>
            <w:tcW w:w="340" w:type="dxa"/>
            <w:vAlign w:val="bottom"/>
            <w:shd w:val="clear" w:color="auto" w:fill="D6F3E8"/>
          </w:tcPr>
          <w:p>
            <w:pPr>
              <w:spacing w:after="0"/>
              <w:rPr>
                <w:sz w:val="18"/>
                <w:szCs w:val="18"/>
                <w:color w:val="auto"/>
              </w:rPr>
            </w:pPr>
          </w:p>
        </w:tc>
        <w:tc>
          <w:tcPr>
            <w:tcW w:w="460" w:type="dxa"/>
            <w:vAlign w:val="bottom"/>
            <w:shd w:val="clear" w:color="auto" w:fill="D6F3E8"/>
          </w:tcPr>
          <w:p>
            <w:pPr>
              <w:jc w:val="right"/>
              <w:ind w:right="30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67,783</w:t>
            </w:r>
          </w:p>
        </w:tc>
        <w:tc>
          <w:tcPr>
            <w:tcW w:w="320" w:type="dxa"/>
            <w:vAlign w:val="bottom"/>
            <w:shd w:val="clear" w:color="auto" w:fill="D6F3E8"/>
          </w:tcPr>
          <w:p>
            <w:pPr>
              <w:spacing w:after="0"/>
              <w:rPr>
                <w:sz w:val="18"/>
                <w:szCs w:val="18"/>
                <w:color w:val="auto"/>
              </w:rPr>
            </w:pPr>
          </w:p>
        </w:tc>
        <w:tc>
          <w:tcPr>
            <w:tcW w:w="3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245,977</w:t>
            </w:r>
          </w:p>
        </w:tc>
        <w:tc>
          <w:tcPr>
            <w:tcW w:w="16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440" w:type="dxa"/>
            <w:vAlign w:val="bottom"/>
            <w:shd w:val="clear" w:color="auto" w:fill="D6F3E8"/>
          </w:tcPr>
          <w:p>
            <w:pPr>
              <w:jc w:val="right"/>
              <w:ind w:right="2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226,382</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Pro forma net earnings</w:t>
            </w:r>
          </w:p>
        </w:tc>
        <w:tc>
          <w:tcPr>
            <w:tcW w:w="28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4,533</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5,622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19,799</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D6F3E8"/>
          </w:tcPr>
          <w:p>
            <w:pPr>
              <w:spacing w:after="0"/>
              <w:rPr>
                <w:sz w:val="20"/>
                <w:szCs w:val="20"/>
                <w:color w:val="auto"/>
              </w:rPr>
            </w:pPr>
            <w:r>
              <w:rPr>
                <w:rFonts w:ascii="Arial" w:cs="Arial" w:eastAsia="Arial" w:hAnsi="Arial"/>
                <w:sz w:val="18"/>
                <w:szCs w:val="18"/>
                <w:color w:val="auto"/>
              </w:rPr>
              <w:t>Pro forma earnings per share:</w:t>
            </w:r>
          </w:p>
        </w:tc>
        <w:tc>
          <w:tcPr>
            <w:tcW w:w="28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82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0.44</w:t>
            </w: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0.55</w:t>
            </w:r>
          </w:p>
        </w:tc>
        <w:tc>
          <w:tcPr>
            <w:tcW w:w="6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1.93</w:t>
            </w:r>
          </w:p>
        </w:tc>
        <w:tc>
          <w:tcPr>
            <w:tcW w:w="620" w:type="dxa"/>
            <w:vAlign w:val="bottom"/>
            <w:gridSpan w:val="2"/>
          </w:tcPr>
          <w:p>
            <w:pPr>
              <w:jc w:val="right"/>
              <w:ind w:right="283"/>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D6F3E8"/>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0.44</w:t>
            </w:r>
          </w:p>
        </w:tc>
        <w:tc>
          <w:tcPr>
            <w:tcW w:w="46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0.55</w:t>
            </w:r>
          </w:p>
        </w:tc>
        <w:tc>
          <w:tcPr>
            <w:tcW w:w="32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1.92</w:t>
            </w:r>
          </w:p>
        </w:tc>
        <w:tc>
          <w:tcPr>
            <w:tcW w:w="18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520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shd w:val="clear" w:color="auto" w:fill="D6F3E8"/>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10,259,458</w:t>
            </w:r>
          </w:p>
        </w:tc>
        <w:tc>
          <w:tcPr>
            <w:tcW w:w="46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88"/>
              </w:rPr>
              <w:t>10,253,458</w:t>
            </w:r>
          </w:p>
        </w:tc>
        <w:tc>
          <w:tcPr>
            <w:tcW w:w="32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10,256,674</w:t>
            </w:r>
          </w:p>
        </w:tc>
        <w:tc>
          <w:tcPr>
            <w:tcW w:w="18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0"/>
              </w:rPr>
              <w:t>10,250,198</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10,355,888</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10,283,206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10,336,169</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10,279,417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These unaudited pro forma condensed consolidated financial results have been prepared for illustrative purposes only and do not purport to be indicative of the results of operations that actually would have resulted had the acquisition occurred on the first day of each fiscal period presented, or of future results of consolidated entities. The unaudited pro forma condensed consolidated financial information does not reflect any operating efficiencies and cost savings that may be realized from the integration of the acquisition.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1160" w:right="940" w:hanging="1147"/>
        <w:spacing w:after="0" w:line="251" w:lineRule="auto"/>
        <w:tabs>
          <w:tab w:leader="none" w:pos="1140" w:val="left"/>
        </w:tabs>
        <w:rPr>
          <w:sz w:val="20"/>
          <w:szCs w:val="20"/>
          <w:color w:val="auto"/>
        </w:rPr>
      </w:pPr>
      <w:r>
        <w:rPr>
          <w:rFonts w:ascii="Arial" w:cs="Arial" w:eastAsia="Arial" w:hAnsi="Arial"/>
          <w:sz w:val="22"/>
          <w:szCs w:val="22"/>
          <w:color w:val="auto"/>
        </w:rPr>
        <w:t>ITEM 2.</w:t>
      </w:r>
      <w:r>
        <w:rPr>
          <w:sz w:val="20"/>
          <w:szCs w:val="20"/>
          <w:color w:val="auto"/>
        </w:rPr>
        <w:tab/>
      </w:r>
      <w:r>
        <w:rPr>
          <w:rFonts w:ascii="Arial" w:cs="Arial" w:eastAsia="Arial" w:hAnsi="Arial"/>
          <w:sz w:val="22"/>
          <w:szCs w:val="22"/>
          <w:color w:val="auto"/>
        </w:rPr>
        <w:t>MANAGEMENT’S DISCUSSION AND ANALYSIS OF FINANCIAL CONDITION AND RESULTS OF OPERATIONS</w:t>
      </w:r>
    </w:p>
    <w:p>
      <w:pPr>
        <w:spacing w:after="0" w:line="18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following is a discussion and analysis of our financial condition and results of operations for the three and nine months ended December 31, 2010 as compared to December 31, 2009. This discussion should be read in conjunction with the Condensed Financial Statements and Notes to Condensed Financial Statements included in this Form 10-Q and Item 8 of our Annual Report on Form 10-K for the fiscal year ended March 28, 2010 (“fiscal 2010”). References to fiscal 2011 refer to the fiscal year ending April 3,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derive substantially all of our revenues from the sale of bulk and specialty chemicals to our customers in a wide variety of industries. We began our operations primarily as a distributor of bulk chemicals with a strong customer focus. Over the years we have maintained our strong customer focus and have expanded our business by increasing our sales of value-added specialty chemical products, including repackaging, blending and manufacturing certain products. In recent years, we significantly expanded the sales of our higher-margin blended and manufactured products. We expect this specialty chemical portion of our business to continue to grow.</w:t>
      </w:r>
    </w:p>
    <w:p>
      <w:pPr>
        <w:spacing w:after="0" w:line="197"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We have continued to invest in growing our business. In fiscal 2010, we invested in two new facilities, which expanded our ability to service our customers and facilitate growth within our Industrial Group. Our new facility in Centralia, Illinois began operations in July 2009 and primarily serves our food-grade products business. Additionally, our new facility in Minneapolis, Minnesota, built to handle bulk chemicals sold to pharmaceutical manufacturers, became operational in June 2009. We opened two branches for our Water Treatment Group in the first nine months of fiscal 2011 and one in the first nine months of fiscal 2010 and expect to continue to invest in new branches to expand our geographic coverage. The cost of these new branches is not expected to be material.</w:t>
      </w:r>
    </w:p>
    <w:p>
      <w:pPr>
        <w:spacing w:after="0" w:line="17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seek to maintain relatively constant gross profit dollars on each of our products as the cost of our raw materials increase or decrease. Since we expect that we will continue to experience fluctuations in our raw material costs and resulting prices in the future, we believe that gross profit dollars is the best measure of our profitability from the sale of our products. If we maintain relatively stable profit dollars on each of our products, our reported gross profit percentage will decrease when the cost of the product increases and will increase when the cost of the product decreases.</w:t>
      </w:r>
    </w:p>
    <w:p>
      <w:pPr>
        <w:spacing w:after="0" w:line="16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use the last in, first out (“LIFO”) method of valuing inventory,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commodity chemical raw material prices. Our raw material costs have increased slightly through the first nine months of fiscal 2011, and we anticipate these costs to remain at those levels through the end of fiscal 2011. As a result of these cost projections, we have recorded an increase in our LIFO reserve and a corresponding decrease in our reported gross profit of $0.6 million for the three months ended and $1.4 million for the nine months ended December 31, 2010. We anticipate continued competitive pricing pressure, which negatively impacted our margins in the third quarter and may have a negative effect on our margins in the remainder of fiscal 2011. Our raw material costs declined significantly over the first several months of fiscal 2010, stabilizing in the third quarter of fiscal 2010. Our use of LIFO partially offsets the impact of the rapidly changing prices, and our LIFO reserve decreased significantly in fiscal 2010 due to declining costs. This decrease in the reserve increased our reported gross profit in the three months ended December 31, 2009 by $2.1 million and in the nine months ended December 31, 2009 by $9.1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Vertex Chemical Corporation (“Vertex”) Acquisition</w:t>
      </w:r>
    </w:p>
    <w:p>
      <w:pPr>
        <w:spacing w:after="0" w:line="225"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On January 10, 2011, we, through a wholly owned subsidiary, entered into a definitive agreement to acquire substantially all the assets of Vertex for approximately $25.5 million. The acquisition was completed on January 14, 2011. Vertex had revenues of approximately $39 million in calendar 2010. While Vertex’s margins have historically been somewhat lower than ours, we expect that the acquisition will be accretive to earnings.</w:t>
      </w:r>
    </w:p>
    <w:p>
      <w:pPr>
        <w:spacing w:after="0" w:line="16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Vertex has been a manufacturer of sodium hypochlorite in the central Midwest since 1949. In addition to the manufacture of sodium hypochlorite bleaches, Vertex distributes and provides terminal services for bulk liquid inorganic chemicals, and contract and private label packaging for household chemicals. Its corporate headquarters are located in St. Louis, Missouri, with manufacturing sites in Dupo, Illinois; Camanche, Iowa; and Memphis, Tennessee.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7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7"/>
              </w:rPr>
              <w:t>Three months ended</w:t>
            </w:r>
          </w:p>
        </w:tc>
        <w:tc>
          <w:tcPr>
            <w:tcW w:w="25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6"/>
              </w:rPr>
              <w:t>Nine months ended</w:t>
            </w:r>
          </w:p>
        </w:tc>
      </w:tr>
      <w:tr>
        <w:trPr>
          <w:trHeight w:val="149"/>
        </w:trPr>
        <w:tc>
          <w:tcPr>
            <w:tcW w:w="6120" w:type="dxa"/>
            <w:vAlign w:val="bottom"/>
          </w:tcPr>
          <w:p>
            <w:pPr>
              <w:spacing w:after="0"/>
              <w:rPr>
                <w:sz w:val="12"/>
                <w:szCs w:val="12"/>
                <w:color w:val="auto"/>
              </w:rPr>
            </w:pPr>
          </w:p>
        </w:tc>
        <w:tc>
          <w:tcPr>
            <w:tcW w:w="1680" w:type="dxa"/>
            <w:vAlign w:val="bottom"/>
            <w:gridSpan w:val="3"/>
          </w:tcPr>
          <w:p>
            <w:pPr>
              <w:jc w:val="center"/>
              <w:ind w:left="637"/>
              <w:spacing w:after="0" w:line="149" w:lineRule="exact"/>
              <w:rPr>
                <w:sz w:val="20"/>
                <w:szCs w:val="20"/>
                <w:color w:val="auto"/>
              </w:rPr>
            </w:pPr>
            <w:r>
              <w:rPr>
                <w:rFonts w:ascii="Arial" w:cs="Arial" w:eastAsia="Arial" w:hAnsi="Arial"/>
                <w:sz w:val="14"/>
                <w:szCs w:val="14"/>
                <w:b w:val="1"/>
                <w:bCs w:val="1"/>
                <w:color w:val="auto"/>
                <w:w w:val="87"/>
              </w:rPr>
              <w:t>December 31,</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gridSpan w:val="3"/>
          </w:tcPr>
          <w:p>
            <w:pPr>
              <w:jc w:val="center"/>
              <w:ind w:left="637"/>
              <w:spacing w:after="0" w:line="149" w:lineRule="exact"/>
              <w:rPr>
                <w:sz w:val="20"/>
                <w:szCs w:val="20"/>
                <w:color w:val="auto"/>
              </w:rPr>
            </w:pPr>
            <w:r>
              <w:rPr>
                <w:rFonts w:ascii="Arial" w:cs="Arial" w:eastAsia="Arial" w:hAnsi="Arial"/>
                <w:sz w:val="14"/>
                <w:szCs w:val="14"/>
                <w:b w:val="1"/>
                <w:bCs w:val="1"/>
                <w:color w:val="auto"/>
                <w:w w:val="85"/>
              </w:rPr>
              <w:t>December 31,</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6120" w:type="dxa"/>
            <w:vAlign w:val="bottom"/>
          </w:tcPr>
          <w:p>
            <w:pPr>
              <w:spacing w:after="0"/>
              <w:rPr>
                <w:sz w:val="14"/>
                <w:szCs w:val="14"/>
                <w:color w:val="auto"/>
              </w:rPr>
            </w:pPr>
          </w:p>
        </w:tc>
        <w:tc>
          <w:tcPr>
            <w:tcW w:w="10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10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r>
      <w:tr>
        <w:trPr>
          <w:trHeight w:val="210"/>
        </w:trPr>
        <w:tc>
          <w:tcPr>
            <w:tcW w:w="612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136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D6F3E8"/>
          </w:tcPr>
          <w:p>
            <w:pPr>
              <w:spacing w:after="0"/>
              <w:rPr>
                <w:sz w:val="18"/>
                <w:szCs w:val="18"/>
                <w:color w:val="auto"/>
              </w:rPr>
            </w:pPr>
          </w:p>
        </w:tc>
        <w:tc>
          <w:tcPr>
            <w:tcW w:w="90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Cost of sales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(80.6)</w:t>
            </w:r>
          </w:p>
        </w:tc>
        <w:tc>
          <w:tcPr>
            <w:tcW w:w="3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(73.8)</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(76.9)</w:t>
            </w: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(75.3)</w:t>
            </w:r>
          </w:p>
        </w:tc>
      </w:tr>
      <w:tr>
        <w:trPr>
          <w:trHeight w:val="210"/>
        </w:trPr>
        <w:tc>
          <w:tcPr>
            <w:tcW w:w="6120" w:type="dxa"/>
            <w:vAlign w:val="bottom"/>
            <w:shd w:val="clear" w:color="auto" w:fill="D6F3E8"/>
          </w:tcPr>
          <w:p>
            <w:pPr>
              <w:spacing w:after="0"/>
              <w:rPr>
                <w:sz w:val="20"/>
                <w:szCs w:val="20"/>
                <w:color w:val="auto"/>
              </w:rPr>
            </w:pPr>
            <w:r>
              <w:rPr>
                <w:rFonts w:ascii="Arial" w:cs="Arial" w:eastAsia="Arial" w:hAnsi="Arial"/>
                <w:sz w:val="18"/>
                <w:szCs w:val="18"/>
                <w:color w:val="auto"/>
              </w:rPr>
              <w:t>Gross profit</w:t>
            </w: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19.4</w:t>
            </w:r>
          </w:p>
        </w:tc>
        <w:tc>
          <w:tcPr>
            <w:tcW w:w="320" w:type="dxa"/>
            <w:vAlign w:val="bottom"/>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7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26.2</w:t>
            </w:r>
          </w:p>
        </w:tc>
        <w:tc>
          <w:tcPr>
            <w:tcW w:w="34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23.1</w:t>
            </w:r>
          </w:p>
        </w:tc>
        <w:tc>
          <w:tcPr>
            <w:tcW w:w="340" w:type="dxa"/>
            <w:vAlign w:val="bottom"/>
            <w:shd w:val="clear" w:color="auto" w:fill="D6F3E8"/>
          </w:tcPr>
          <w:p>
            <w:pPr>
              <w:spacing w:after="0"/>
              <w:rPr>
                <w:sz w:val="18"/>
                <w:szCs w:val="18"/>
                <w:color w:val="auto"/>
              </w:rPr>
            </w:pPr>
          </w:p>
        </w:tc>
        <w:tc>
          <w:tcPr>
            <w:tcW w:w="300" w:type="dxa"/>
            <w:vAlign w:val="bottom"/>
            <w:tcBorders>
              <w:top w:val="single" w:sz="8" w:color="auto"/>
            </w:tcBorders>
            <w:shd w:val="clear" w:color="auto" w:fill="D6F3E8"/>
          </w:tcPr>
          <w:p>
            <w:pPr>
              <w:spacing w:after="0"/>
              <w:rPr>
                <w:sz w:val="18"/>
                <w:szCs w:val="18"/>
                <w:color w:val="auto"/>
              </w:rPr>
            </w:pPr>
          </w:p>
        </w:tc>
        <w:tc>
          <w:tcPr>
            <w:tcW w:w="7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D6F3E8"/>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r>
      <w:tr>
        <w:trPr>
          <w:trHeight w:val="210"/>
        </w:trPr>
        <w:tc>
          <w:tcPr>
            <w:tcW w:w="6120" w:type="dxa"/>
            <w:vAlign w:val="bottom"/>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9.7</w:t>
            </w:r>
          </w:p>
        </w:tc>
        <w:tc>
          <w:tcPr>
            <w:tcW w:w="320" w:type="dxa"/>
            <w:vAlign w:val="bottom"/>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7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15.5</w:t>
            </w:r>
          </w:p>
        </w:tc>
        <w:tc>
          <w:tcPr>
            <w:tcW w:w="34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13.7</w:t>
            </w:r>
          </w:p>
        </w:tc>
        <w:tc>
          <w:tcPr>
            <w:tcW w:w="340" w:type="dxa"/>
            <w:vAlign w:val="bottom"/>
            <w:shd w:val="clear" w:color="auto" w:fill="D6F3E8"/>
          </w:tcPr>
          <w:p>
            <w:pPr>
              <w:spacing w:after="0"/>
              <w:rPr>
                <w:sz w:val="18"/>
                <w:szCs w:val="18"/>
                <w:color w:val="auto"/>
              </w:rPr>
            </w:pPr>
          </w:p>
        </w:tc>
        <w:tc>
          <w:tcPr>
            <w:tcW w:w="300" w:type="dxa"/>
            <w:vAlign w:val="bottom"/>
            <w:tcBorders>
              <w:top w:val="single" w:sz="8" w:color="auto"/>
            </w:tcBorders>
            <w:shd w:val="clear" w:color="auto" w:fill="D6F3E8"/>
          </w:tcPr>
          <w:p>
            <w:pPr>
              <w:spacing w:after="0"/>
              <w:rPr>
                <w:sz w:val="18"/>
                <w:szCs w:val="18"/>
                <w:color w:val="auto"/>
              </w:rPr>
            </w:pPr>
          </w:p>
        </w:tc>
        <w:tc>
          <w:tcPr>
            <w:tcW w:w="7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D6F3E8"/>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Investment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r>
      <w:tr>
        <w:trPr>
          <w:trHeight w:val="210"/>
        </w:trPr>
        <w:tc>
          <w:tcPr>
            <w:tcW w:w="612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9.8</w:t>
            </w:r>
          </w:p>
        </w:tc>
        <w:tc>
          <w:tcPr>
            <w:tcW w:w="320" w:type="dxa"/>
            <w:vAlign w:val="bottom"/>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7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15.7</w:t>
            </w:r>
          </w:p>
        </w:tc>
        <w:tc>
          <w:tcPr>
            <w:tcW w:w="34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13.8</w:t>
            </w:r>
          </w:p>
        </w:tc>
        <w:tc>
          <w:tcPr>
            <w:tcW w:w="340" w:type="dxa"/>
            <w:vAlign w:val="bottom"/>
            <w:shd w:val="clear" w:color="auto" w:fill="D6F3E8"/>
          </w:tcPr>
          <w:p>
            <w:pPr>
              <w:spacing w:after="0"/>
              <w:rPr>
                <w:sz w:val="18"/>
                <w:szCs w:val="18"/>
                <w:color w:val="auto"/>
              </w:rPr>
            </w:pPr>
          </w:p>
        </w:tc>
        <w:tc>
          <w:tcPr>
            <w:tcW w:w="300" w:type="dxa"/>
            <w:vAlign w:val="bottom"/>
            <w:tcBorders>
              <w:top w:val="single" w:sz="8" w:color="auto"/>
            </w:tcBorders>
            <w:shd w:val="clear" w:color="auto" w:fill="D6F3E8"/>
          </w:tcPr>
          <w:p>
            <w:pPr>
              <w:spacing w:after="0"/>
              <w:rPr>
                <w:sz w:val="18"/>
                <w:szCs w:val="18"/>
                <w:color w:val="auto"/>
              </w:rPr>
            </w:pPr>
          </w:p>
        </w:tc>
        <w:tc>
          <w:tcPr>
            <w:tcW w:w="7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D6F3E8"/>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(6.5)</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r>
      <w:tr>
        <w:trPr>
          <w:trHeight w:val="210"/>
        </w:trPr>
        <w:tc>
          <w:tcPr>
            <w:tcW w:w="6120" w:type="dxa"/>
            <w:vAlign w:val="bottom"/>
            <w:shd w:val="clear" w:color="auto" w:fill="D6F3E8"/>
          </w:tcPr>
          <w:p>
            <w:pPr>
              <w:spacing w:after="0"/>
              <w:rPr>
                <w:sz w:val="20"/>
                <w:szCs w:val="20"/>
                <w:color w:val="auto"/>
              </w:rPr>
            </w:pPr>
            <w:r>
              <w:rPr>
                <w:rFonts w:ascii="Arial" w:cs="Arial" w:eastAsia="Arial" w:hAnsi="Arial"/>
                <w:sz w:val="18"/>
                <w:szCs w:val="18"/>
                <w:color w:val="auto"/>
              </w:rPr>
              <w:t>Incoming from continuing operations</w:t>
            </w: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D6F3E8"/>
          </w:tcPr>
          <w:p>
            <w:pPr>
              <w:spacing w:after="0"/>
              <w:rPr>
                <w:sz w:val="18"/>
                <w:szCs w:val="18"/>
                <w:color w:val="auto"/>
              </w:rPr>
            </w:pPr>
          </w:p>
        </w:tc>
        <w:tc>
          <w:tcPr>
            <w:tcW w:w="320" w:type="dxa"/>
            <w:vAlign w:val="bottom"/>
            <w:tcBorders>
              <w:top w:val="single" w:sz="8" w:color="auto"/>
            </w:tcBorders>
            <w:shd w:val="clear" w:color="auto" w:fill="D6F3E8"/>
          </w:tcPr>
          <w:p>
            <w:pPr>
              <w:spacing w:after="0"/>
              <w:rPr>
                <w:sz w:val="18"/>
                <w:szCs w:val="18"/>
                <w:color w:val="auto"/>
              </w:rPr>
            </w:pPr>
          </w:p>
        </w:tc>
        <w:tc>
          <w:tcPr>
            <w:tcW w:w="7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9.2</w:t>
            </w:r>
          </w:p>
        </w:tc>
        <w:tc>
          <w:tcPr>
            <w:tcW w:w="34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8.5</w:t>
            </w:r>
          </w:p>
        </w:tc>
        <w:tc>
          <w:tcPr>
            <w:tcW w:w="340" w:type="dxa"/>
            <w:vAlign w:val="bottom"/>
            <w:shd w:val="clear" w:color="auto" w:fill="D6F3E8"/>
          </w:tcPr>
          <w:p>
            <w:pPr>
              <w:spacing w:after="0"/>
              <w:rPr>
                <w:sz w:val="18"/>
                <w:szCs w:val="18"/>
                <w:color w:val="auto"/>
              </w:rPr>
            </w:pPr>
          </w:p>
        </w:tc>
        <w:tc>
          <w:tcPr>
            <w:tcW w:w="300" w:type="dxa"/>
            <w:vAlign w:val="bottom"/>
            <w:tcBorders>
              <w:top w:val="single" w:sz="8" w:color="auto"/>
            </w:tcBorders>
            <w:shd w:val="clear" w:color="auto" w:fill="D6F3E8"/>
          </w:tcPr>
          <w:p>
            <w:pPr>
              <w:spacing w:after="0"/>
              <w:rPr>
                <w:sz w:val="18"/>
                <w:szCs w:val="18"/>
                <w:color w:val="auto"/>
              </w:rPr>
            </w:pPr>
          </w:p>
        </w:tc>
        <w:tc>
          <w:tcPr>
            <w:tcW w:w="7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D6F3E8"/>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612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6.0%</w:t>
            </w:r>
          </w:p>
        </w:tc>
        <w:tc>
          <w:tcPr>
            <w:tcW w:w="320" w:type="dxa"/>
            <w:vAlign w:val="bottom"/>
            <w:shd w:val="clear" w:color="auto" w:fill="D6F3E8"/>
          </w:tcPr>
          <w:p>
            <w:pPr>
              <w:spacing w:after="0"/>
              <w:rPr>
                <w:sz w:val="19"/>
                <w:szCs w:val="19"/>
                <w:color w:val="auto"/>
              </w:rPr>
            </w:pPr>
          </w:p>
        </w:tc>
        <w:tc>
          <w:tcPr>
            <w:tcW w:w="10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9.2%</w:t>
            </w:r>
          </w:p>
        </w:tc>
        <w:tc>
          <w:tcPr>
            <w:tcW w:w="13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8.5%</w:t>
            </w:r>
          </w:p>
        </w:tc>
        <w:tc>
          <w:tcPr>
            <w:tcW w:w="300" w:type="dxa"/>
            <w:vAlign w:val="bottom"/>
            <w:shd w:val="clear" w:color="auto" w:fill="D6F3E8"/>
          </w:tcPr>
          <w:p>
            <w:pPr>
              <w:spacing w:after="0"/>
              <w:rPr>
                <w:sz w:val="19"/>
                <w:szCs w:val="19"/>
                <w:color w:val="auto"/>
              </w:rPr>
            </w:pPr>
          </w:p>
        </w:tc>
        <w:tc>
          <w:tcPr>
            <w:tcW w:w="90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9.2%</w:t>
            </w:r>
          </w:p>
        </w:tc>
      </w:tr>
      <w:tr>
        <w:trPr>
          <w:trHeight w:val="20"/>
        </w:trPr>
        <w:tc>
          <w:tcPr>
            <w:tcW w:w="6120" w:type="dxa"/>
            <w:vAlign w:val="bottom"/>
            <w:tcBorders>
              <w:top w:val="single" w:sz="8" w:color="D6F3E8"/>
            </w:tcBorders>
            <w:shd w:val="clear" w:color="auto" w:fill="D6F3E8"/>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D6F3E8"/>
            </w:tcBorders>
            <w:shd w:val="clear" w:color="auto" w:fill="D6F3E8"/>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tcBorders>
            <w:shd w:val="clear" w:color="auto" w:fill="D6F3E8"/>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tcBorders>
            <w:shd w:val="clear" w:color="auto" w:fill="D6F3E8"/>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6F3E8"/>
            </w:tcBorders>
            <w:shd w:val="clear" w:color="auto" w:fill="D6F3E8"/>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2010 Compared to the Three Months Ended December 31,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Sales increased $10.0 million, or 16.5%, to $70.6 million in the three months ended December 31, 2010 as compared to $60.6 million in the same period a year ago. Sales of bulk chemicals, including caustic soda, were approximately 20% of sales during the three months ended December 31, 2010 as compared to 19% of sales during the three months ended December 31, 2009. In addition to higher selling prices due to higher commodity chemical raw material prices, we experienced increased sales across many of our product lines in the third quarter of fiscal 2011 as compared to the same period in fiscal 2010.</w:t>
      </w:r>
    </w:p>
    <w:p>
      <w:pPr>
        <w:spacing w:after="0" w:line="167"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i w:val="1"/>
          <w:iCs w:val="1"/>
          <w:color w:val="auto"/>
        </w:rPr>
        <w:t xml:space="preserve">Industrial Segment. </w:t>
      </w:r>
      <w:r>
        <w:rPr>
          <w:rFonts w:ascii="Arial" w:cs="Arial" w:eastAsia="Arial" w:hAnsi="Arial"/>
          <w:sz w:val="15"/>
          <w:szCs w:val="15"/>
          <w:color w:val="auto"/>
        </w:rPr>
        <w:t>Industrial segment sales increased $8.9 million, or 21%, to $51.3 million for the three months ended December 31, 2010 as compared to the</w:t>
      </w:r>
      <w:r>
        <w:rPr>
          <w:rFonts w:ascii="Arial" w:cs="Arial" w:eastAsia="Arial" w:hAnsi="Arial"/>
          <w:sz w:val="15"/>
          <w:szCs w:val="15"/>
          <w:i w:val="1"/>
          <w:iCs w:val="1"/>
          <w:color w:val="auto"/>
        </w:rPr>
        <w:t xml:space="preserve"> </w:t>
      </w:r>
      <w:r>
        <w:rPr>
          <w:rFonts w:ascii="Arial" w:cs="Arial" w:eastAsia="Arial" w:hAnsi="Arial"/>
          <w:sz w:val="15"/>
          <w:szCs w:val="15"/>
          <w:color w:val="auto"/>
        </w:rPr>
        <w:t>same period of the prior year, with the increase primarily driven by higher selling prices and increased sales of manufactured and specialty chemical products.</w:t>
      </w:r>
    </w:p>
    <w:p>
      <w:pPr>
        <w:spacing w:after="0" w:line="1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Water Treatment segment sales increased $1.0 million, or 5.5%, to $19.3 million for the three months ended December 31, 2010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of the prior year. The sales increase was primarily due to increased sales of manufactured and specialty chemical products.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Gross profit was $13.7 million, or 19.4 % of sales, for the three months ended December 31, 2010, as compared to $15.9 million, or 26.2% of sales, for the three months ended December 31, 2009. The LIFO method of valuing inventory reduced gross profit by $0.6 million for the three months ended December 31, 2010 and increased gross profit by $2.1 million for the three months ended December 31, 2009. The impact of LIFO in the prior year was primarily due to significant decreases in raw material costs experienced over the first several months of fiscal 2010, whereas we have seen raw material costs increase somewhat through the first three quarters of fiscal 2011 and those costs are expected to remain at current levels through the end of the fiscal year.</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was $8.6 million, or 16.8% of sales, for the three months ended December 31, 2010,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$10.1 million, or 23.9% of sales, for the three months ended December 31, 2009. The decrease in gross profit dollars was attributable to competitive pricing pressures and higher operational and infrastructure costs, offset by increased sales. The LIFO method of valuing inventory caused a $0.6 million decrease in gross profit in this segment for the three months ended December 31, 2010 while it increased gross profit by $1.8 million for the three months ended December 31, 2009.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was $5.1 million, or 26.4% of sales, for the three months ended December 31, 2010,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$5.7 million, or 31.3% of sales, for the three months ended December 31, 2009. The decrease in gross profit dollars was primarily due to competitive pricing pressures and increased operational and infrastructure costs, partially offset by increased sales. The LIFO method of valuing inventory had a negligible impact on gross profit in this segment for the three months ended December 31, 2010 as compared to a $0.3 million increase in gross profit for the three months ended December 31,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Selling, general and administrative expenses were $6.9 million, or 9.8% of sales, for the three months ended December 31, 2010 as compared to $6.4 million, or 10.6% of sales, for the three months ended December 31, 2009. The increase was primarily a result of higher equity incentive plan costs and costs related to the Vertex acquisition.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Operating income was $6.8 million for the three months ended December 31, 2010, a decrease of $2.6 million from the same period in the prior year. The Industrial segment decreased $1.7 million and the Water Treatment segment decreased $0.9 million. The decrease in operating income was driven by decreases in profits due to competitive pricing pressures, and higher operational and selling, general and administrative expenses; partially offset by increased sales.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was $0.1 million for the three months ended December 31, 2010 and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effective income tax rate was 38.4 % for the three months ended December 31, 2010, compared to 41.1% for the three months ended December 31, 2009.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overall effective tax rate is impacted by projected taxable income levels, permanent items, and effective state tax rates.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December 31, 2010 Compared to the Nine Months Ended December 31,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Sales increased $16.5 million, or 8.3%, to $215.7 million in the nine months ended December 31, 2010 as compared to $199.2 million in the same period a year ago. Sales of bulk chemicals, including caustic soda, were approximately 20% of sales during the nine months ended December 31, 2010 as compared to 19% of sales during the nine months ended December 31, 2009. We experienced increased sales across many of our product lines in the fiscal 2011 period as compared to the same period in fiscal 2010, which was partially offset by lower selling prices due to lower raw material costs in the first quarter of fiscal 2011 compared to the same period of fiscal 2010.</w:t>
      </w:r>
    </w:p>
    <w:p>
      <w:pPr>
        <w:spacing w:after="0" w:line="19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$12.6 million, or 9.4%, to $146.0 million for the nine months ended December 31, 2010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of the prior year. Increased sales of bulk chemicals and many other product lines were partially offset by reduced selling prices in response to lower raw material costs in the first quarter of fiscal 2011.</w:t>
      </w:r>
    </w:p>
    <w:p>
      <w:pPr>
        <w:spacing w:after="0" w:line="19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Water Treatment segment sales increased $3.9 million, or 6.0%, to $69.7 million for the nine months ended December 31, 2010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of the prior year. The sales increase was primarily due to increased sales of manufactured and specialty chemical products, partially offset by lower selling prices due to lower raw material costs in the first quarter of fiscal 2011.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Gross profit was $49.9 million, or 23.1% of sales, for the nine months ended December 31, 2010, as compared to $49.1 million, or 24.7% of sales, for the nine months ended December 31, 2009. Due to projected increases in certain raw material costs during fiscal 2011, the LIFO method of valuing inventory reduced gross profit by $1.4 million for the nine months ended December 31, 2010, whereas LIFO increased gross profit by $9.1 million for the nine months ended December 31, 2009 due to significant decreases in raw material costs experienced in the first nine months of fiscal 2010 and projected to remain in place at the end of fiscal 2010.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Gross profit for the Industrial segment was $28.5 million, or 19.6 % of sales, for the nine months ended December 31, 2010,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$27.4 million, or 20.5% of sales, for the nine months ended December 31, 2009. The increase in gross profit dollars for this segment in the first nine months of fiscal 2011 was attributable to increased sales of manufactured and specialty chemicals, partially offset by competitive pricing pressures and higher operational and infrastructure expenses. The LIFO method of valuing inventory decreased gross profit by $1.3 million in this segment for the nine months ended December 31, 2010 while it increased gross profit by $7.2 million for the nine months ended December 31, 2009.</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was $21.4 million, or 30.7% of sales, for the nine months ended December 31, 2010,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$21.7 million, or 33.1% of sales, for the nine months ended December 31, 2009. The decrease in gross profit dollars was primarily due to competitive pricing pressures and increased overhead costs from investments in new facilities and personnel within existing and new markets to support growth in this segment, partially offset by increased sales of manufactured and specialty chemical products. The LIFO method of valuing inventory decreased gross profit in this segment by $0.1 million for the nine months ended December 31, 2010 while it increased gross profit by $1.9 million for the nine months ended December 31, 2009.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Selling, general and administrative expenses were $20.4 million, or 9.4% of sales, for the nine months ended December 31, 2010 as compared to $19.4 million, or 9.7% of sales, for the nine months ended December 31, 2009. The increase was primarily a result of higher equity incentive plan costs and costs related to the Vertex acquisition.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Operating income was $29.5 million for the nine months ended December 31, 2010, a decrease of $0.2 million from the same period in the prior year. The Industrial segment increased $0.9 million while the Water Treatment segment decreased $1.1 million. The decrease in operating income was driven by decreased profits due to competitive pricing pressures, and higher operational and selling, general and administrative expenses; partially offset by increased sales.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Investment income was $0.3 million for the nine months ended December 31, 2010 and $0.2 million for the nine months ended December 31, 2009.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Our effective income tax rate was 38.2% for the nine months ended December 31, 2010, compared to 39.2% for the nine months ended December 31, 2009. The overall effective tax rate is impacted by projected taxable income levels, permanent items, and effective state tax rates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Cash provided by operations for the nine months ended December 31, 2010 was $24.3 million compared to $29.7 million for the nine months ended December 31, 2009. The decrease in cash provided by operating activities was due to an increase in working capital balances, including the timing of inventory purchases and an increase in trade receivables associated with the reported sales increases and timing of customer payments. The higher levels of cash generated from working capital in the nine months ended December 31, 2009 were driven by the rapidly declining material costs and selling prices experienced in that period. Due to the nature of our operations, which includes purchases of large quantities of bulk chemicals, timing of purchases can result in significant changes in working capital investment and the resulting operating cash flow. Historically, our cash requirements increase during the period from April through September as caustic soda inventory levels increase as the majority of barges are received during this period. Additionally, due to the seasonality of the water treatment business, our accounts receivable balance generally increases during the same period.</w:t>
      </w:r>
    </w:p>
    <w:p>
      <w:pPr>
        <w:spacing w:after="0" w:line="17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Cash and investments available-for-sale of $63.2 million at December 31, 2010 increased by $9.5 million as compared with the $53.7 million available as of March 28, 2010, primarily due to cash flows generated from operations, offset by capital expenditures and dividends paid. In January 2011, the Company used $25.5 million of its cash balances to acquire substantially all of the assets of Vertex.</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Capital expenditures were $7.8 million for the nine months ended December 31, 2010 compared to $6.6 million in the same period in the prior fiscal year. Capital expenditures related to new facilities projects were approximately $0.6 million for the nine months ended December 31, 2010 compared to $2.5 million for the nine months ended December 31, 2009. Additional significant capital expenditures during the nine months ended December 31, 2010 consisted of approximately $3.0 million for business expansion and process improvement projects, $3.5 million for other facility, regulatory and safety improvements and $0.7 million for new and replacement route sales trucks for the Water Treatment segment. We expect our cash flows from operations will be sufficient to fund our planned capital expenditures for the remainder of fiscal 2011.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Our significant accounting policies are set forth in Note 1 to our financial statements in our Annual Report on Form 10-K for the fiscal year ended March 28, 2010. The accounting policies used in preparing our interim fiscal 2011 financial statements are the same as those described in our Annual Report.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Annual Report on Form 10-K for the fiscal year ended March 28, 2010.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21"/>
          <w:szCs w:val="21"/>
          <w:color w:val="auto"/>
        </w:rPr>
        <w:t>QUANTITATIVE AND QUALITATIVE DISCLOSURES ABOUT MARKET RISK</w:t>
      </w:r>
    </w:p>
    <w:p>
      <w:pPr>
        <w:spacing w:after="0" w:line="2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December 31, 2010, our investment portfolio included $15.3 million of certificates of deposit classified as fixed income securities and cash and cash equivalents of $47.9 million. The fixed income securities, like all fixed income instruments, are subject to interest rate risks and will decline in value if market interest rates increase. However, while the value of the investment may fluctuate in any given period, we intend to hold our fixed income investments until recovery. Consequently, we would not expect to recognize an adverse impact on net income or cash flows during the holding period. We adjust the carrying value of our investments if impairment occurs that is other than temporary.</w:t>
      </w:r>
    </w:p>
    <w:p>
      <w:pPr>
        <w:spacing w:after="0" w:line="19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material prices on to our customers, however, there are no assurances that we will be able to pass on cost increases in the future.</w:t>
      </w:r>
    </w:p>
    <w:p>
      <w:pPr>
        <w:spacing w:after="0" w:line="195"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CONTROLS AND PROCEDURES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There was no change in our internal control over financial reporting during the third quarter of fiscal 2011 that has materially affected, or is reasonably likely to materially affect, our internal control over financial reporting.</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PART II. OTHER INFORMATION</w:t>
      </w:r>
    </w:p>
    <w:p>
      <w:pPr>
        <w:spacing w:after="0" w:line="226"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ITEM 1A.</w:t>
      </w:r>
      <w:r>
        <w:rPr>
          <w:sz w:val="20"/>
          <w:szCs w:val="20"/>
          <w:color w:val="auto"/>
        </w:rPr>
        <w:tab/>
      </w:r>
      <w:r>
        <w:rPr>
          <w:rFonts w:ascii="Arial" w:cs="Arial" w:eastAsia="Arial" w:hAnsi="Arial"/>
          <w:sz w:val="19"/>
          <w:szCs w:val="19"/>
          <w:color w:val="auto"/>
        </w:rPr>
        <w:t>RISK FACTORS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risk factors from those disclosed in our Annual Report on Form 10-K for the fiscal year ended March 28, 2010.</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040" w:type="dxa"/>
            <w:vAlign w:val="bottom"/>
            <w:gridSpan w:val="3"/>
          </w:tcPr>
          <w:p>
            <w:pPr>
              <w:spacing w:after="0"/>
              <w:rPr>
                <w:sz w:val="20"/>
                <w:szCs w:val="20"/>
                <w:color w:val="auto"/>
              </w:rPr>
            </w:pPr>
            <w:r>
              <w:rPr>
                <w:rFonts w:ascii="Arial" w:cs="Arial" w:eastAsia="Arial" w:hAnsi="Arial"/>
                <w:sz w:val="22"/>
                <w:szCs w:val="22"/>
                <w:color w:val="auto"/>
              </w:rPr>
              <w:t>ITEM 6.</w:t>
            </w:r>
          </w:p>
        </w:tc>
        <w:tc>
          <w:tcPr>
            <w:tcW w:w="7280" w:type="dxa"/>
            <w:vAlign w:val="bottom"/>
            <w:gridSpan w:val="4"/>
          </w:tcPr>
          <w:p>
            <w:pPr>
              <w:ind w:left="120"/>
              <w:spacing w:after="0"/>
              <w:rPr>
                <w:sz w:val="20"/>
                <w:szCs w:val="20"/>
                <w:color w:val="auto"/>
              </w:rPr>
            </w:pPr>
            <w:r>
              <w:rPr>
                <w:rFonts w:ascii="Arial" w:cs="Arial" w:eastAsia="Arial" w:hAnsi="Arial"/>
                <w:sz w:val="22"/>
                <w:szCs w:val="22"/>
                <w:color w:val="auto"/>
              </w:rPr>
              <w:t>EXHIBITS</w:t>
            </w:r>
          </w:p>
        </w:tc>
        <w:tc>
          <w:tcPr>
            <w:tcW w:w="1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420"/>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860" w:type="dxa"/>
            <w:vAlign w:val="bottom"/>
            <w:gridSpan w:val="2"/>
          </w:tcPr>
          <w:p>
            <w:pPr>
              <w:ind w:left="780"/>
              <w:spacing w:after="0"/>
              <w:rPr>
                <w:sz w:val="20"/>
                <w:szCs w:val="20"/>
                <w:color w:val="auto"/>
              </w:rPr>
            </w:pPr>
            <w:r>
              <w:rPr>
                <w:rFonts w:ascii="Arial" w:cs="Arial" w:eastAsia="Arial" w:hAnsi="Arial"/>
                <w:sz w:val="18"/>
                <w:szCs w:val="18"/>
                <w:color w:val="auto"/>
              </w:rPr>
              <w:t>Exhibit Index</w:t>
            </w: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07"/>
        </w:trPr>
        <w:tc>
          <w:tcPr>
            <w:tcW w:w="4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0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2720" w:type="dxa"/>
            <w:vAlign w:val="bottom"/>
            <w:gridSpan w:val="3"/>
          </w:tcPr>
          <w:p>
            <w:pPr>
              <w:jc w:val="center"/>
              <w:ind w:left="772"/>
              <w:spacing w:after="0"/>
              <w:rPr>
                <w:sz w:val="20"/>
                <w:szCs w:val="20"/>
                <w:color w:val="auto"/>
              </w:rPr>
            </w:pPr>
            <w:r>
              <w:rPr>
                <w:rFonts w:ascii="Arial" w:cs="Arial" w:eastAsia="Arial" w:hAnsi="Arial"/>
                <w:sz w:val="18"/>
                <w:szCs w:val="18"/>
                <w:color w:val="auto"/>
                <w:w w:val="92"/>
              </w:rPr>
              <w:t>Method of Filing</w:t>
            </w:r>
          </w:p>
        </w:tc>
      </w:tr>
      <w:tr>
        <w:trPr>
          <w:trHeight w:val="20"/>
        </w:trPr>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8"/>
        </w:trPr>
        <w:tc>
          <w:tcPr>
            <w:tcW w:w="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7280" w:type="dxa"/>
            <w:vAlign w:val="bottom"/>
            <w:gridSpan w:val="4"/>
          </w:tcPr>
          <w:p>
            <w:pPr>
              <w:ind w:left="120"/>
              <w:spacing w:after="0"/>
              <w:rPr>
                <w:sz w:val="20"/>
                <w:szCs w:val="20"/>
                <w:color w:val="auto"/>
              </w:rPr>
            </w:pPr>
            <w:r>
              <w:rPr>
                <w:rFonts w:ascii="Arial" w:cs="Arial" w:eastAsia="Arial" w:hAnsi="Arial"/>
                <w:sz w:val="18"/>
                <w:szCs w:val="18"/>
                <w:color w:val="auto"/>
              </w:rPr>
              <w:t>Amended and Restated Articles of Incorporation. (1)</w:t>
            </w:r>
          </w:p>
        </w:tc>
        <w:tc>
          <w:tcPr>
            <w:tcW w:w="2720" w:type="dxa"/>
            <w:vAlign w:val="bottom"/>
            <w:gridSpan w:val="3"/>
          </w:tcPr>
          <w:p>
            <w:pPr>
              <w:jc w:val="center"/>
              <w:ind w:left="772"/>
              <w:spacing w:after="0"/>
              <w:rPr>
                <w:sz w:val="20"/>
                <w:szCs w:val="20"/>
                <w:color w:val="auto"/>
              </w:rPr>
            </w:pPr>
            <w:r>
              <w:rPr>
                <w:rFonts w:ascii="Arial" w:cs="Arial" w:eastAsia="Arial" w:hAnsi="Arial"/>
                <w:sz w:val="18"/>
                <w:szCs w:val="18"/>
                <w:color w:val="auto"/>
                <w:w w:val="87"/>
              </w:rPr>
              <w:t>Incorporated by Reference</w:t>
            </w:r>
          </w:p>
        </w:tc>
      </w:tr>
      <w:tr>
        <w:trPr>
          <w:trHeight w:val="216"/>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7280" w:type="dxa"/>
            <w:vAlign w:val="bottom"/>
            <w:gridSpan w:val="4"/>
          </w:tcPr>
          <w:p>
            <w:pPr>
              <w:ind w:left="120"/>
              <w:spacing w:after="0"/>
              <w:rPr>
                <w:sz w:val="20"/>
                <w:szCs w:val="20"/>
                <w:color w:val="auto"/>
              </w:rPr>
            </w:pPr>
            <w:r>
              <w:rPr>
                <w:rFonts w:ascii="Arial" w:cs="Arial" w:eastAsia="Arial" w:hAnsi="Arial"/>
                <w:sz w:val="18"/>
                <w:szCs w:val="18"/>
                <w:color w:val="auto"/>
              </w:rPr>
              <w:t>Amended and Restated By-Laws. (2)</w:t>
            </w:r>
          </w:p>
        </w:tc>
        <w:tc>
          <w:tcPr>
            <w:tcW w:w="2720" w:type="dxa"/>
            <w:vAlign w:val="bottom"/>
            <w:gridSpan w:val="3"/>
          </w:tcPr>
          <w:p>
            <w:pPr>
              <w:jc w:val="center"/>
              <w:ind w:left="772"/>
              <w:spacing w:after="0"/>
              <w:rPr>
                <w:sz w:val="20"/>
                <w:szCs w:val="20"/>
                <w:color w:val="auto"/>
              </w:rPr>
            </w:pPr>
            <w:r>
              <w:rPr>
                <w:rFonts w:ascii="Arial" w:cs="Arial" w:eastAsia="Arial" w:hAnsi="Arial"/>
                <w:sz w:val="18"/>
                <w:szCs w:val="18"/>
                <w:color w:val="auto"/>
                <w:w w:val="87"/>
              </w:rPr>
              <w:t>Incorporated by Reference</w:t>
            </w:r>
          </w:p>
        </w:tc>
      </w:tr>
      <w:tr>
        <w:trPr>
          <w:trHeight w:val="216"/>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7280" w:type="dxa"/>
            <w:vAlign w:val="bottom"/>
            <w:gridSpan w:val="4"/>
          </w:tcPr>
          <w:p>
            <w:pPr>
              <w:ind w:left="12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720" w:type="dxa"/>
            <w:vAlign w:val="bottom"/>
            <w:gridSpan w:val="3"/>
          </w:tcPr>
          <w:p>
            <w:pPr>
              <w:jc w:val="center"/>
              <w:ind w:left="772"/>
              <w:spacing w:after="0"/>
              <w:rPr>
                <w:sz w:val="20"/>
                <w:szCs w:val="20"/>
                <w:color w:val="auto"/>
              </w:rPr>
            </w:pPr>
            <w:r>
              <w:rPr>
                <w:rFonts w:ascii="Arial" w:cs="Arial" w:eastAsia="Arial" w:hAnsi="Arial"/>
                <w:sz w:val="18"/>
                <w:szCs w:val="18"/>
                <w:color w:val="auto"/>
                <w:w w:val="91"/>
              </w:rPr>
              <w:t>Filed Electronically</w:t>
            </w:r>
          </w:p>
        </w:tc>
      </w:tr>
      <w:tr>
        <w:trPr>
          <w:trHeight w:val="216"/>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7280" w:type="dxa"/>
            <w:vAlign w:val="bottom"/>
            <w:gridSpan w:val="4"/>
          </w:tcPr>
          <w:p>
            <w:pPr>
              <w:ind w:left="12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720" w:type="dxa"/>
            <w:vAlign w:val="bottom"/>
            <w:gridSpan w:val="3"/>
          </w:tcPr>
          <w:p>
            <w:pPr>
              <w:jc w:val="center"/>
              <w:ind w:left="772"/>
              <w:spacing w:after="0"/>
              <w:rPr>
                <w:sz w:val="20"/>
                <w:szCs w:val="20"/>
                <w:color w:val="auto"/>
              </w:rPr>
            </w:pPr>
            <w:r>
              <w:rPr>
                <w:rFonts w:ascii="Arial" w:cs="Arial" w:eastAsia="Arial" w:hAnsi="Arial"/>
                <w:sz w:val="18"/>
                <w:szCs w:val="18"/>
                <w:color w:val="auto"/>
                <w:w w:val="91"/>
              </w:rPr>
              <w:t>Filed Electronically</w:t>
            </w:r>
          </w:p>
        </w:tc>
      </w:tr>
      <w:tr>
        <w:trPr>
          <w:trHeight w:val="216"/>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1060" w:type="dxa"/>
            <w:vAlign w:val="bottom"/>
          </w:tcPr>
          <w:p>
            <w:pPr>
              <w:ind w:left="120"/>
              <w:spacing w:after="0"/>
              <w:rPr>
                <w:sz w:val="20"/>
                <w:szCs w:val="20"/>
                <w:color w:val="auto"/>
              </w:rPr>
            </w:pPr>
            <w:r>
              <w:rPr>
                <w:rFonts w:ascii="Arial" w:cs="Arial" w:eastAsia="Arial" w:hAnsi="Arial"/>
                <w:sz w:val="18"/>
                <w:szCs w:val="18"/>
                <w:color w:val="auto"/>
                <w:w w:val="87"/>
              </w:rPr>
              <w:t>Section 1350</w:t>
            </w:r>
          </w:p>
        </w:tc>
        <w:tc>
          <w:tcPr>
            <w:tcW w:w="6220" w:type="dxa"/>
            <w:vAlign w:val="bottom"/>
            <w:gridSpan w:val="3"/>
          </w:tcPr>
          <w:p>
            <w:pPr>
              <w:ind w:left="20"/>
              <w:spacing w:after="0"/>
              <w:rPr>
                <w:sz w:val="20"/>
                <w:szCs w:val="20"/>
                <w:color w:val="auto"/>
              </w:rPr>
            </w:pPr>
            <w:r>
              <w:rPr>
                <w:rFonts w:ascii="Arial" w:cs="Arial" w:eastAsia="Arial" w:hAnsi="Arial"/>
                <w:sz w:val="18"/>
                <w:szCs w:val="18"/>
                <w:color w:val="auto"/>
              </w:rPr>
              <w:t>Certification by Chief Executive Officer.</w:t>
            </w:r>
          </w:p>
        </w:tc>
        <w:tc>
          <w:tcPr>
            <w:tcW w:w="2720" w:type="dxa"/>
            <w:vAlign w:val="bottom"/>
            <w:gridSpan w:val="3"/>
          </w:tcPr>
          <w:p>
            <w:pPr>
              <w:jc w:val="center"/>
              <w:ind w:left="772"/>
              <w:spacing w:after="0"/>
              <w:rPr>
                <w:sz w:val="20"/>
                <w:szCs w:val="20"/>
                <w:color w:val="auto"/>
              </w:rPr>
            </w:pPr>
            <w:r>
              <w:rPr>
                <w:rFonts w:ascii="Arial" w:cs="Arial" w:eastAsia="Arial" w:hAnsi="Arial"/>
                <w:sz w:val="18"/>
                <w:szCs w:val="18"/>
                <w:color w:val="auto"/>
                <w:w w:val="91"/>
              </w:rPr>
              <w:t>Filed Electronically</w:t>
            </w:r>
          </w:p>
        </w:tc>
      </w:tr>
      <w:tr>
        <w:trPr>
          <w:trHeight w:val="222"/>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9"/>
                <w:szCs w:val="19"/>
                <w:color w:val="auto"/>
              </w:rPr>
            </w:pPr>
          </w:p>
        </w:tc>
        <w:tc>
          <w:tcPr>
            <w:tcW w:w="1060" w:type="dxa"/>
            <w:vAlign w:val="bottom"/>
          </w:tcPr>
          <w:p>
            <w:pPr>
              <w:ind w:left="120"/>
              <w:spacing w:after="0"/>
              <w:rPr>
                <w:sz w:val="20"/>
                <w:szCs w:val="20"/>
                <w:color w:val="auto"/>
              </w:rPr>
            </w:pPr>
            <w:r>
              <w:rPr>
                <w:rFonts w:ascii="Arial" w:cs="Arial" w:eastAsia="Arial" w:hAnsi="Arial"/>
                <w:sz w:val="18"/>
                <w:szCs w:val="18"/>
                <w:color w:val="auto"/>
                <w:w w:val="87"/>
              </w:rPr>
              <w:t>Section 1350</w:t>
            </w:r>
          </w:p>
        </w:tc>
        <w:tc>
          <w:tcPr>
            <w:tcW w:w="6220" w:type="dxa"/>
            <w:vAlign w:val="bottom"/>
            <w:gridSpan w:val="3"/>
          </w:tcPr>
          <w:p>
            <w:pPr>
              <w:ind w:left="20"/>
              <w:spacing w:after="0"/>
              <w:rPr>
                <w:sz w:val="20"/>
                <w:szCs w:val="20"/>
                <w:color w:val="auto"/>
              </w:rPr>
            </w:pPr>
            <w:r>
              <w:rPr>
                <w:rFonts w:ascii="Arial" w:cs="Arial" w:eastAsia="Arial" w:hAnsi="Arial"/>
                <w:sz w:val="18"/>
                <w:szCs w:val="18"/>
                <w:color w:val="auto"/>
              </w:rPr>
              <w:t>Certification by Chief Financial Officer.</w:t>
            </w:r>
          </w:p>
        </w:tc>
        <w:tc>
          <w:tcPr>
            <w:tcW w:w="2720" w:type="dxa"/>
            <w:vAlign w:val="bottom"/>
            <w:gridSpan w:val="3"/>
          </w:tcPr>
          <w:p>
            <w:pPr>
              <w:jc w:val="center"/>
              <w:ind w:left="772"/>
              <w:spacing w:after="0"/>
              <w:rPr>
                <w:sz w:val="20"/>
                <w:szCs w:val="20"/>
                <w:color w:val="auto"/>
              </w:rPr>
            </w:pPr>
            <w:r>
              <w:rPr>
                <w:rFonts w:ascii="Arial" w:cs="Arial" w:eastAsia="Arial" w:hAnsi="Arial"/>
                <w:sz w:val="18"/>
                <w:szCs w:val="18"/>
                <w:color w:val="auto"/>
                <w:w w:val="91"/>
              </w:rPr>
              <w:t>Filed Electronically</w:t>
            </w:r>
          </w:p>
        </w:tc>
      </w:tr>
    </w:tbl>
    <w:p>
      <w:pPr>
        <w:spacing w:after="0" w:line="250" w:lineRule="exact"/>
        <w:rPr>
          <w:sz w:val="20"/>
          <w:szCs w:val="20"/>
          <w:color w:val="auto"/>
        </w:rPr>
      </w:pPr>
    </w:p>
    <w:p>
      <w:pPr>
        <w:ind w:left="1160" w:hanging="571"/>
        <w:spacing w:after="0" w:line="268"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Quarterly Report in Form 10-Q for the period ended June 30, 2010 and filed July 29, 2010.</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Current Report on Form 8-K dated October 28, 2009 and filed November 3, 2009.</w:t>
      </w:r>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ind w:right="-439"/>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HAWKINS, INC.</w:t>
      </w:r>
    </w:p>
    <w:p>
      <w:pPr>
        <w:spacing w:after="0" w:line="158" w:lineRule="exact"/>
        <w:rPr>
          <w:sz w:val="20"/>
          <w:szCs w:val="20"/>
          <w:color w:val="auto"/>
        </w:rPr>
      </w:pPr>
    </w:p>
    <w:p>
      <w:pPr>
        <w:ind w:left="5380"/>
        <w:spacing w:after="0"/>
        <w:tabs>
          <w:tab w:leader="none" w:pos="7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51"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Kathleen P. Pepski</w:t>
      </w:r>
    </w:p>
    <w:p>
      <w:pPr>
        <w:spacing w:after="0" w:line="158"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Vice President, Chief Financial Officer, and Treasurer</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(On behalf of the Registrant and as principal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27, 2011</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00"/>
          </w:cols>
          <w:pgMar w:left="240" w:top="125" w:right="6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Exhibit Index</w:t>
      </w:r>
    </w:p>
    <w:p>
      <w:pPr>
        <w:spacing w:after="0" w:line="216"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6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0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2720" w:type="dxa"/>
            <w:vAlign w:val="bottom"/>
            <w:gridSpan w:val="3"/>
          </w:tcPr>
          <w:p>
            <w:pPr>
              <w:jc w:val="center"/>
              <w:ind w:left="772"/>
              <w:spacing w:after="0"/>
              <w:rPr>
                <w:sz w:val="20"/>
                <w:szCs w:val="20"/>
                <w:color w:val="auto"/>
              </w:rPr>
            </w:pPr>
            <w:r>
              <w:rPr>
                <w:rFonts w:ascii="Arial" w:cs="Arial" w:eastAsia="Arial" w:hAnsi="Arial"/>
                <w:sz w:val="18"/>
                <w:szCs w:val="18"/>
                <w:color w:val="auto"/>
                <w:w w:val="92"/>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8"/>
        </w:trPr>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7280" w:type="dxa"/>
            <w:vAlign w:val="bottom"/>
            <w:gridSpan w:val="4"/>
          </w:tcPr>
          <w:p>
            <w:pPr>
              <w:ind w:left="120"/>
              <w:spacing w:after="0"/>
              <w:rPr>
                <w:sz w:val="20"/>
                <w:szCs w:val="20"/>
                <w:color w:val="auto"/>
              </w:rPr>
            </w:pPr>
            <w:r>
              <w:rPr>
                <w:rFonts w:ascii="Arial" w:cs="Arial" w:eastAsia="Arial" w:hAnsi="Arial"/>
                <w:sz w:val="18"/>
                <w:szCs w:val="18"/>
                <w:color w:val="auto"/>
              </w:rPr>
              <w:t>Amended and Restated Articles of Incorporation.</w:t>
            </w:r>
          </w:p>
        </w:tc>
        <w:tc>
          <w:tcPr>
            <w:tcW w:w="2720" w:type="dxa"/>
            <w:vAlign w:val="bottom"/>
            <w:gridSpan w:val="3"/>
          </w:tcPr>
          <w:p>
            <w:pPr>
              <w:jc w:val="center"/>
              <w:ind w:left="772"/>
              <w:spacing w:after="0"/>
              <w:rPr>
                <w:sz w:val="20"/>
                <w:szCs w:val="20"/>
                <w:color w:val="auto"/>
              </w:rPr>
            </w:pPr>
            <w:r>
              <w:rPr>
                <w:rFonts w:ascii="Arial" w:cs="Arial" w:eastAsia="Arial" w:hAnsi="Arial"/>
                <w:sz w:val="18"/>
                <w:szCs w:val="18"/>
                <w:color w:val="auto"/>
                <w:w w:val="87"/>
              </w:rPr>
              <w:t>Incorporated by Reference</w:t>
            </w:r>
          </w:p>
        </w:tc>
      </w:tr>
      <w:tr>
        <w:trPr>
          <w:trHeight w:val="216"/>
        </w:trPr>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7280" w:type="dxa"/>
            <w:vAlign w:val="bottom"/>
            <w:gridSpan w:val="4"/>
          </w:tcPr>
          <w:p>
            <w:pPr>
              <w:ind w:left="120"/>
              <w:spacing w:after="0"/>
              <w:rPr>
                <w:sz w:val="20"/>
                <w:szCs w:val="20"/>
                <w:color w:val="auto"/>
              </w:rPr>
            </w:pPr>
            <w:r>
              <w:rPr>
                <w:rFonts w:ascii="Arial" w:cs="Arial" w:eastAsia="Arial" w:hAnsi="Arial"/>
                <w:sz w:val="18"/>
                <w:szCs w:val="18"/>
                <w:color w:val="auto"/>
              </w:rPr>
              <w:t>Amended and Restated By-Laws. (1)</w:t>
            </w:r>
          </w:p>
        </w:tc>
        <w:tc>
          <w:tcPr>
            <w:tcW w:w="2720" w:type="dxa"/>
            <w:vAlign w:val="bottom"/>
            <w:gridSpan w:val="3"/>
          </w:tcPr>
          <w:p>
            <w:pPr>
              <w:jc w:val="center"/>
              <w:ind w:left="772"/>
              <w:spacing w:after="0"/>
              <w:rPr>
                <w:sz w:val="20"/>
                <w:szCs w:val="20"/>
                <w:color w:val="auto"/>
              </w:rPr>
            </w:pPr>
            <w:r>
              <w:rPr>
                <w:rFonts w:ascii="Arial" w:cs="Arial" w:eastAsia="Arial" w:hAnsi="Arial"/>
                <w:sz w:val="18"/>
                <w:szCs w:val="18"/>
                <w:color w:val="auto"/>
                <w:w w:val="87"/>
              </w:rPr>
              <w:t>Incorporated by Reference</w:t>
            </w:r>
          </w:p>
        </w:tc>
      </w:tr>
      <w:tr>
        <w:trPr>
          <w:trHeight w:val="216"/>
        </w:trPr>
        <w:tc>
          <w:tcPr>
            <w:tcW w:w="52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7280" w:type="dxa"/>
            <w:vAlign w:val="bottom"/>
            <w:gridSpan w:val="4"/>
          </w:tcPr>
          <w:p>
            <w:pPr>
              <w:ind w:left="12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720" w:type="dxa"/>
            <w:vAlign w:val="bottom"/>
            <w:gridSpan w:val="3"/>
          </w:tcPr>
          <w:p>
            <w:pPr>
              <w:jc w:val="center"/>
              <w:ind w:left="772"/>
              <w:spacing w:after="0"/>
              <w:rPr>
                <w:sz w:val="20"/>
                <w:szCs w:val="20"/>
                <w:color w:val="auto"/>
              </w:rPr>
            </w:pPr>
            <w:r>
              <w:rPr>
                <w:rFonts w:ascii="Arial" w:cs="Arial" w:eastAsia="Arial" w:hAnsi="Arial"/>
                <w:sz w:val="18"/>
                <w:szCs w:val="18"/>
                <w:color w:val="auto"/>
                <w:w w:val="91"/>
              </w:rPr>
              <w:t>Filed Electronically</w:t>
            </w:r>
          </w:p>
        </w:tc>
      </w:tr>
      <w:tr>
        <w:trPr>
          <w:trHeight w:val="216"/>
        </w:trPr>
        <w:tc>
          <w:tcPr>
            <w:tcW w:w="52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7280" w:type="dxa"/>
            <w:vAlign w:val="bottom"/>
            <w:gridSpan w:val="4"/>
          </w:tcPr>
          <w:p>
            <w:pPr>
              <w:ind w:left="12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720" w:type="dxa"/>
            <w:vAlign w:val="bottom"/>
            <w:gridSpan w:val="3"/>
          </w:tcPr>
          <w:p>
            <w:pPr>
              <w:jc w:val="center"/>
              <w:ind w:left="772"/>
              <w:spacing w:after="0"/>
              <w:rPr>
                <w:sz w:val="20"/>
                <w:szCs w:val="20"/>
                <w:color w:val="auto"/>
              </w:rPr>
            </w:pPr>
            <w:r>
              <w:rPr>
                <w:rFonts w:ascii="Arial" w:cs="Arial" w:eastAsia="Arial" w:hAnsi="Arial"/>
                <w:sz w:val="18"/>
                <w:szCs w:val="18"/>
                <w:color w:val="auto"/>
                <w:w w:val="91"/>
              </w:rPr>
              <w:t>Filed Electronically</w:t>
            </w:r>
          </w:p>
        </w:tc>
      </w:tr>
      <w:tr>
        <w:trPr>
          <w:trHeight w:val="216"/>
        </w:trPr>
        <w:tc>
          <w:tcPr>
            <w:tcW w:w="52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1060" w:type="dxa"/>
            <w:vAlign w:val="bottom"/>
          </w:tcPr>
          <w:p>
            <w:pPr>
              <w:ind w:left="120"/>
              <w:spacing w:after="0"/>
              <w:rPr>
                <w:sz w:val="20"/>
                <w:szCs w:val="20"/>
                <w:color w:val="auto"/>
              </w:rPr>
            </w:pPr>
            <w:r>
              <w:rPr>
                <w:rFonts w:ascii="Arial" w:cs="Arial" w:eastAsia="Arial" w:hAnsi="Arial"/>
                <w:sz w:val="18"/>
                <w:szCs w:val="18"/>
                <w:color w:val="auto"/>
                <w:w w:val="87"/>
              </w:rPr>
              <w:t>Section 1350</w:t>
            </w:r>
          </w:p>
        </w:tc>
        <w:tc>
          <w:tcPr>
            <w:tcW w:w="6220" w:type="dxa"/>
            <w:vAlign w:val="bottom"/>
            <w:gridSpan w:val="3"/>
          </w:tcPr>
          <w:p>
            <w:pPr>
              <w:ind w:left="20"/>
              <w:spacing w:after="0"/>
              <w:rPr>
                <w:sz w:val="20"/>
                <w:szCs w:val="20"/>
                <w:color w:val="auto"/>
              </w:rPr>
            </w:pPr>
            <w:r>
              <w:rPr>
                <w:rFonts w:ascii="Arial" w:cs="Arial" w:eastAsia="Arial" w:hAnsi="Arial"/>
                <w:sz w:val="18"/>
                <w:szCs w:val="18"/>
                <w:color w:val="auto"/>
              </w:rPr>
              <w:t>Certification by Chief Executive Officer.</w:t>
            </w:r>
          </w:p>
        </w:tc>
        <w:tc>
          <w:tcPr>
            <w:tcW w:w="2720" w:type="dxa"/>
            <w:vAlign w:val="bottom"/>
            <w:gridSpan w:val="3"/>
          </w:tcPr>
          <w:p>
            <w:pPr>
              <w:jc w:val="center"/>
              <w:ind w:left="772"/>
              <w:spacing w:after="0"/>
              <w:rPr>
                <w:sz w:val="20"/>
                <w:szCs w:val="20"/>
                <w:color w:val="auto"/>
              </w:rPr>
            </w:pPr>
            <w:r>
              <w:rPr>
                <w:rFonts w:ascii="Arial" w:cs="Arial" w:eastAsia="Arial" w:hAnsi="Arial"/>
                <w:sz w:val="18"/>
                <w:szCs w:val="18"/>
                <w:color w:val="auto"/>
                <w:w w:val="91"/>
              </w:rPr>
              <w:t>Filed Electronically</w:t>
            </w:r>
          </w:p>
        </w:tc>
      </w:tr>
      <w:tr>
        <w:trPr>
          <w:trHeight w:val="222"/>
        </w:trPr>
        <w:tc>
          <w:tcPr>
            <w:tcW w:w="52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9"/>
                <w:szCs w:val="19"/>
                <w:color w:val="auto"/>
              </w:rPr>
            </w:pPr>
          </w:p>
        </w:tc>
        <w:tc>
          <w:tcPr>
            <w:tcW w:w="1060" w:type="dxa"/>
            <w:vAlign w:val="bottom"/>
          </w:tcPr>
          <w:p>
            <w:pPr>
              <w:ind w:left="120"/>
              <w:spacing w:after="0"/>
              <w:rPr>
                <w:sz w:val="20"/>
                <w:szCs w:val="20"/>
                <w:color w:val="auto"/>
              </w:rPr>
            </w:pPr>
            <w:r>
              <w:rPr>
                <w:rFonts w:ascii="Arial" w:cs="Arial" w:eastAsia="Arial" w:hAnsi="Arial"/>
                <w:sz w:val="18"/>
                <w:szCs w:val="18"/>
                <w:color w:val="auto"/>
                <w:w w:val="87"/>
              </w:rPr>
              <w:t>Section 1350</w:t>
            </w:r>
          </w:p>
        </w:tc>
        <w:tc>
          <w:tcPr>
            <w:tcW w:w="6220" w:type="dxa"/>
            <w:vAlign w:val="bottom"/>
            <w:gridSpan w:val="3"/>
          </w:tcPr>
          <w:p>
            <w:pPr>
              <w:ind w:left="20"/>
              <w:spacing w:after="0"/>
              <w:rPr>
                <w:sz w:val="20"/>
                <w:szCs w:val="20"/>
                <w:color w:val="auto"/>
              </w:rPr>
            </w:pPr>
            <w:r>
              <w:rPr>
                <w:rFonts w:ascii="Arial" w:cs="Arial" w:eastAsia="Arial" w:hAnsi="Arial"/>
                <w:sz w:val="18"/>
                <w:szCs w:val="18"/>
                <w:color w:val="auto"/>
              </w:rPr>
              <w:t>Certification by Chief Financial Officer.</w:t>
            </w:r>
          </w:p>
        </w:tc>
        <w:tc>
          <w:tcPr>
            <w:tcW w:w="2720" w:type="dxa"/>
            <w:vAlign w:val="bottom"/>
            <w:gridSpan w:val="3"/>
          </w:tcPr>
          <w:p>
            <w:pPr>
              <w:jc w:val="center"/>
              <w:ind w:left="772"/>
              <w:spacing w:after="0"/>
              <w:rPr>
                <w:sz w:val="20"/>
                <w:szCs w:val="20"/>
                <w:color w:val="auto"/>
              </w:rPr>
            </w:pPr>
            <w:r>
              <w:rPr>
                <w:rFonts w:ascii="Arial" w:cs="Arial" w:eastAsia="Arial" w:hAnsi="Arial"/>
                <w:sz w:val="18"/>
                <w:szCs w:val="18"/>
                <w:color w:val="auto"/>
                <w:w w:val="91"/>
              </w:rPr>
              <w:t>Filed Electronically</w:t>
            </w:r>
          </w:p>
        </w:tc>
      </w:tr>
    </w:tbl>
    <w:p>
      <w:pPr>
        <w:spacing w:after="0" w:line="399" w:lineRule="exact"/>
        <w:rPr>
          <w:sz w:val="20"/>
          <w:szCs w:val="20"/>
          <w:color w:val="auto"/>
        </w:rPr>
      </w:pPr>
    </w:p>
    <w:p>
      <w:pPr>
        <w:ind w:left="1160" w:hanging="571"/>
        <w:spacing w:after="0" w:line="268"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Quarterly Report in Form 10-Q for the period ended June 30, 2010 and filed July 29, 2010.</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Current Report on Form 8-K dated October 28, 2009 and filed November 3, 2009.</w:t>
      </w:r>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color w:val="auto"/>
        </w:rPr>
        <w:t>Exhibit 31.1</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SECTION 302 OF</w:t>
      </w: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John R. Hawkins, certify that:</w:t>
      </w:r>
    </w:p>
    <w:p>
      <w:pPr>
        <w:spacing w:after="0" w:line="158" w:lineRule="exact"/>
        <w:rPr>
          <w:sz w:val="20"/>
          <w:szCs w:val="20"/>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57"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1160" w:hanging="571"/>
        <w:spacing w:after="0" w:line="332" w:lineRule="auto"/>
        <w:tabs>
          <w:tab w:leader="none" w:pos="116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jc w:val="both"/>
        <w:ind w:left="1160" w:hanging="571"/>
        <w:spacing w:after="0" w:line="259"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1720" w:hanging="564"/>
        <w:spacing w:after="0" w:line="332" w:lineRule="auto"/>
        <w:tabs>
          <w:tab w:leader="none" w:pos="172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1720" w:hanging="564"/>
        <w:spacing w:after="0" w:line="259" w:lineRule="auto"/>
        <w:tabs>
          <w:tab w:leader="none" w:pos="1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left="1160" w:right="20" w:hanging="571"/>
        <w:spacing w:after="0" w:line="332" w:lineRule="auto"/>
        <w:tabs>
          <w:tab w:leader="none" w:pos="11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720" w:hanging="564"/>
        <w:spacing w:after="0" w:line="332" w:lineRule="auto"/>
        <w:tabs>
          <w:tab w:leader="none" w:pos="172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720" w:hanging="564"/>
        <w:spacing w:after="0" w:line="268" w:lineRule="auto"/>
        <w:tabs>
          <w:tab w:leader="none" w:pos="1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January 27, 2011</w:t>
      </w:r>
    </w:p>
    <w:p>
      <w:pPr>
        <w:spacing w:after="0" w:line="158"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10795</wp:posOffset>
            </wp:positionV>
            <wp:extent cx="10890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color w:val="auto"/>
        </w:rPr>
        <w:t>Exhibit 31.2</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SECTION 302 OF</w:t>
      </w: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158" w:lineRule="exact"/>
        <w:rPr>
          <w:sz w:val="20"/>
          <w:szCs w:val="20"/>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57"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1160" w:hanging="571"/>
        <w:spacing w:after="0" w:line="332" w:lineRule="auto"/>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jc w:val="both"/>
        <w:ind w:left="1160" w:hanging="571"/>
        <w:spacing w:after="0" w:line="259"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1720" w:hanging="564"/>
        <w:spacing w:after="0" w:line="332" w:lineRule="auto"/>
        <w:tabs>
          <w:tab w:leader="none" w:pos="172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1720" w:hanging="564"/>
        <w:spacing w:after="0" w:line="259" w:lineRule="auto"/>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left="1160" w:right="20" w:hanging="571"/>
        <w:spacing w:after="0" w:line="332" w:lineRule="auto"/>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720" w:hanging="564"/>
        <w:spacing w:after="0" w:line="332" w:lineRule="auto"/>
        <w:tabs>
          <w:tab w:leader="none" w:pos="17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720" w:hanging="564"/>
        <w:spacing w:after="0" w:line="268" w:lineRule="auto"/>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January 27, 2011</w:t>
      </w:r>
    </w:p>
    <w:p>
      <w:pPr>
        <w:spacing w:after="0" w:line="158"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10795</wp:posOffset>
            </wp:positionV>
            <wp:extent cx="12433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t>Exhibit 32.1</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18 U.S.C. SECTION 1350,</w:t>
      </w:r>
    </w:p>
    <w:p>
      <w:pPr>
        <w:jc w:val="center"/>
        <w:ind w:right="60"/>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31, 2010, as filed with the Securities and Exchange Commission on the date hereof (the Report), I, John R. Hawkins, Chief Executive Officer of the Company, certify, pursuant to 18 U.S.C. § 1350, as adopted pursuant to § 906 of the Sarbanes-Oxley Act of 2002, that:</w:t>
      </w:r>
    </w:p>
    <w:p>
      <w:pPr>
        <w:spacing w:after="0" w:line="194" w:lineRule="exact"/>
        <w:rPr>
          <w:sz w:val="20"/>
          <w:szCs w:val="20"/>
          <w:color w:val="auto"/>
        </w:rPr>
      </w:pPr>
    </w:p>
    <w:p>
      <w:pPr>
        <w:ind w:left="700" w:hanging="253"/>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0890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b w:val="1"/>
          <w:bCs w:val="1"/>
          <w:color w:val="auto"/>
        </w:rPr>
        <w:t>Exhibit 32.2</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18 U.S.C. SECTION 1350,</w:t>
      </w:r>
    </w:p>
    <w:p>
      <w:pPr>
        <w:jc w:val="center"/>
        <w:ind w:right="60"/>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31, 2010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194" w:lineRule="exact"/>
        <w:rPr>
          <w:sz w:val="20"/>
          <w:szCs w:val="20"/>
          <w:color w:val="auto"/>
        </w:rPr>
      </w:pPr>
    </w:p>
    <w:p>
      <w:pPr>
        <w:ind w:left="700" w:hanging="253"/>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1664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2019-12-10T01:24:11Z</dcterms:created>
  <dcterms:modified xsi:type="dcterms:W3CDTF">2019-12-10T01:24:11Z</dcterms:modified>
</cp:coreProperties>
</file>