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354965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 SECURITIES AND EXCHANGE COMMISSION</w:t>
      </w:r>
    </w:p>
    <w:p>
      <w:pPr>
        <w:spacing w:after="0" w:line="4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2893060</wp:posOffset>
            </wp:positionH>
            <wp:positionV relativeFrom="paragraph">
              <wp:posOffset>207010</wp:posOffset>
            </wp:positionV>
            <wp:extent cx="147066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400"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2893060</wp:posOffset>
            </wp:positionH>
            <wp:positionV relativeFrom="paragraph">
              <wp:posOffset>97155</wp:posOffset>
            </wp:positionV>
            <wp:extent cx="147066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200" w:lineRule="exact"/>
        <w:rPr>
          <w:sz w:val="24"/>
          <w:szCs w:val="24"/>
          <w:color w:val="auto"/>
        </w:rPr>
      </w:pPr>
    </w:p>
    <w:p>
      <w:pPr>
        <w:spacing w:after="0" w:line="260"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1"/>
          <w:szCs w:val="21"/>
          <w:b w:val="1"/>
          <w:bCs w:val="1"/>
          <w:color w:val="auto"/>
        </w:rPr>
        <w:t>Pursuant to Section 13 or 15(d) of the Securities Exchange Act of 1934</w:t>
      </w:r>
    </w:p>
    <w:p>
      <w:pPr>
        <w:spacing w:after="0" w:line="194"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 xml:space="preserve">Date of Report (Date of earliest event reported)  </w:t>
      </w:r>
      <w:r>
        <w:rPr>
          <w:rFonts w:ascii="Arial" w:cs="Arial" w:eastAsia="Arial" w:hAnsi="Arial"/>
          <w:sz w:val="22"/>
          <w:szCs w:val="22"/>
          <w:b w:val="1"/>
          <w:bCs w:val="1"/>
          <w:color w:val="auto"/>
        </w:rPr>
        <w:t>June 9, 2009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2893060</wp:posOffset>
            </wp:positionH>
            <wp:positionV relativeFrom="paragraph">
              <wp:posOffset>214630</wp:posOffset>
            </wp:positionV>
            <wp:extent cx="147066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200" w:lineRule="exact"/>
        <w:rPr>
          <w:sz w:val="24"/>
          <w:szCs w:val="24"/>
          <w:color w:val="auto"/>
        </w:rPr>
      </w:pPr>
    </w:p>
    <w:p>
      <w:pPr>
        <w:spacing w:after="0" w:line="213"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Hawkins, Inc.</w:t>
      </w:r>
    </w:p>
    <w:p>
      <w:pPr>
        <w:spacing w:after="0" w:line="5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786" w:right="239" w:bottom="284" w:gutter="0" w:footer="0" w:header="0"/>
        </w:sectPr>
      </w:pPr>
    </w:p>
    <w:p>
      <w:pPr>
        <w:spacing w:after="0" w:line="192" w:lineRule="exact"/>
        <w:rPr>
          <w:sz w:val="24"/>
          <w:szCs w:val="24"/>
          <w:color w:val="auto"/>
        </w:rPr>
      </w:pPr>
    </w:p>
    <w:p>
      <w:pPr>
        <w:ind w:left="1940"/>
        <w:spacing w:after="0"/>
        <w:rPr>
          <w:sz w:val="20"/>
          <w:szCs w:val="20"/>
          <w:color w:val="auto"/>
        </w:rPr>
      </w:pPr>
      <w:r>
        <w:rPr>
          <w:rFonts w:ascii="Arial" w:cs="Arial" w:eastAsia="Arial" w:hAnsi="Arial"/>
          <w:sz w:val="19"/>
          <w:szCs w:val="19"/>
          <w:b w:val="1"/>
          <w:bCs w:val="1"/>
          <w:color w:val="auto"/>
        </w:rPr>
        <w:t>Minnesota</w:t>
      </w:r>
    </w:p>
    <w:p>
      <w:pPr>
        <w:spacing w:after="0" w:line="20" w:lineRule="exact"/>
        <w:rPr>
          <w:sz w:val="24"/>
          <w:szCs w:val="24"/>
          <w:color w:val="auto"/>
        </w:rPr>
      </w:pPr>
      <w:r>
        <w:rPr>
          <w:sz w:val="24"/>
          <w:szCs w:val="24"/>
          <w:color w:val="auto"/>
        </w:rPr>
        <w:br w:type="column"/>
      </w:r>
    </w:p>
    <w:p>
      <w:pPr>
        <w:spacing w:after="0" w:line="172" w:lineRule="exact"/>
        <w:rPr>
          <w:sz w:val="24"/>
          <w:szCs w:val="24"/>
          <w:color w:val="auto"/>
        </w:rPr>
      </w:pPr>
    </w:p>
    <w:p>
      <w:pPr>
        <w:jc w:val="center"/>
        <w:ind w:right="1740"/>
        <w:spacing w:after="0"/>
        <w:rPr>
          <w:sz w:val="20"/>
          <w:szCs w:val="20"/>
          <w:color w:val="auto"/>
        </w:rPr>
      </w:pPr>
      <w:r>
        <w:rPr>
          <w:rFonts w:ascii="Arial" w:cs="Arial" w:eastAsia="Arial" w:hAnsi="Arial"/>
          <w:sz w:val="19"/>
          <w:szCs w:val="19"/>
          <w:b w:val="1"/>
          <w:bCs w:val="1"/>
          <w:color w:val="auto"/>
        </w:rPr>
        <w:t>0-7647</w:t>
      </w:r>
    </w:p>
    <w:p>
      <w:pPr>
        <w:spacing w:after="0" w:line="20" w:lineRule="exact"/>
        <w:rPr>
          <w:sz w:val="24"/>
          <w:szCs w:val="24"/>
          <w:color w:val="auto"/>
        </w:rPr>
      </w:pPr>
      <w:r>
        <w:rPr>
          <w:sz w:val="24"/>
          <w:szCs w:val="24"/>
          <w:color w:val="auto"/>
        </w:rPr>
        <w:br w:type="column"/>
      </w:r>
    </w:p>
    <w:p>
      <w:pPr>
        <w:spacing w:after="0" w:line="172" w:lineRule="exact"/>
        <w:rPr>
          <w:sz w:val="24"/>
          <w:szCs w:val="24"/>
          <w:color w:val="auto"/>
        </w:rPr>
      </w:pPr>
    </w:p>
    <w:p>
      <w:pPr>
        <w:spacing w:after="0"/>
        <w:rPr>
          <w:sz w:val="20"/>
          <w:szCs w:val="20"/>
          <w:color w:val="auto"/>
        </w:rPr>
      </w:pPr>
      <w:r>
        <w:rPr>
          <w:rFonts w:ascii="Arial" w:cs="Arial" w:eastAsia="Arial" w:hAnsi="Arial"/>
          <w:sz w:val="19"/>
          <w:szCs w:val="19"/>
          <w:b w:val="1"/>
          <w:bCs w:val="1"/>
          <w:color w:val="auto"/>
        </w:rPr>
        <w:t>41-0771293</w:t>
      </w:r>
    </w:p>
    <w:p>
      <w:pPr>
        <w:spacing w:after="0" w:line="59" w:lineRule="exact"/>
        <w:rPr>
          <w:sz w:val="24"/>
          <w:szCs w:val="24"/>
          <w:color w:val="auto"/>
        </w:rPr>
      </w:pPr>
    </w:p>
    <w:p>
      <w:pPr>
        <w:sectPr>
          <w:pgSz w:w="11900" w:h="16838" w:orient="portrait"/>
          <w:cols w:equalWidth="0" w:num="3">
            <w:col w:w="4740" w:space="720"/>
            <w:col w:w="2340" w:space="720"/>
            <w:col w:w="2900"/>
          </w:cols>
          <w:pgMar w:left="240" w:top="786" w:right="239" w:bottom="284" w:gutter="0" w:footer="0" w:header="0"/>
          <w:type w:val="continuous"/>
        </w:sectPr>
      </w:pPr>
    </w:p>
    <w:p>
      <w:pPr>
        <w:spacing w:after="0" w:line="3" w:lineRule="exact"/>
        <w:rPr>
          <w:sz w:val="24"/>
          <w:szCs w:val="24"/>
          <w:color w:val="auto"/>
        </w:rPr>
      </w:pPr>
    </w:p>
    <w:p>
      <w:pPr>
        <w:jc w:val="center"/>
        <w:ind w:left="780"/>
        <w:spacing w:after="0"/>
        <w:rPr>
          <w:sz w:val="20"/>
          <w:szCs w:val="20"/>
          <w:color w:val="auto"/>
        </w:rPr>
      </w:pPr>
      <w:r>
        <w:rPr>
          <w:rFonts w:ascii="Arial" w:cs="Arial" w:eastAsia="Arial" w:hAnsi="Arial"/>
          <w:sz w:val="16"/>
          <w:szCs w:val="16"/>
          <w:color w:val="auto"/>
        </w:rPr>
        <w:t>(State of Incorporation)</w:t>
      </w:r>
    </w:p>
    <w:p>
      <w:pPr>
        <w:spacing w:after="0" w:line="20" w:lineRule="exact"/>
        <w:rPr>
          <w:sz w:val="24"/>
          <w:szCs w:val="24"/>
          <w:color w:val="auto"/>
        </w:rPr>
      </w:pPr>
      <w:r>
        <w:rPr>
          <w:sz w:val="24"/>
          <w:szCs w:val="24"/>
          <w:color w:val="auto"/>
        </w:rPr>
        <w:br w:type="column"/>
      </w:r>
    </w:p>
    <w:p>
      <w:pPr>
        <w:jc w:val="center"/>
        <w:ind w:right="94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jc w:val="center"/>
        <w:ind w:right="1720"/>
        <w:spacing w:after="0"/>
        <w:rPr>
          <w:sz w:val="20"/>
          <w:szCs w:val="20"/>
          <w:color w:val="auto"/>
        </w:rPr>
      </w:pPr>
      <w:r>
        <w:rPr>
          <w:rFonts w:ascii="Arial" w:cs="Arial" w:eastAsia="Arial" w:hAnsi="Arial"/>
          <w:sz w:val="18"/>
          <w:szCs w:val="18"/>
          <w:color w:val="auto"/>
        </w:rPr>
        <w:t>(IRS Employer</w:t>
      </w:r>
    </w:p>
    <w:p>
      <w:pPr>
        <w:jc w:val="center"/>
        <w:ind w:right="1720"/>
        <w:spacing w:after="0"/>
        <w:rPr>
          <w:sz w:val="20"/>
          <w:szCs w:val="20"/>
          <w:color w:val="auto"/>
        </w:rPr>
      </w:pPr>
      <w:r>
        <w:rPr>
          <w:rFonts w:ascii="Arial" w:cs="Arial" w:eastAsia="Arial" w:hAnsi="Arial"/>
          <w:sz w:val="16"/>
          <w:szCs w:val="16"/>
          <w:color w:val="auto"/>
        </w:rPr>
        <w:t>Identification No.)</w:t>
      </w:r>
    </w:p>
    <w:p>
      <w:pPr>
        <w:spacing w:after="0" w:line="200" w:lineRule="exact"/>
        <w:rPr>
          <w:sz w:val="24"/>
          <w:szCs w:val="24"/>
          <w:color w:val="auto"/>
        </w:rPr>
      </w:pPr>
    </w:p>
    <w:p>
      <w:pPr>
        <w:sectPr>
          <w:pgSz w:w="11900" w:h="16838" w:orient="portrait"/>
          <w:cols w:equalWidth="0" w:num="3">
            <w:col w:w="4080" w:space="720"/>
            <w:col w:w="2880" w:space="720"/>
            <w:col w:w="3020"/>
          </w:cols>
          <w:pgMar w:left="240" w:top="786" w:right="239" w:bottom="284" w:gutter="0" w:footer="0" w:header="0"/>
          <w:type w:val="continuous"/>
        </w:sectPr>
      </w:pPr>
    </w:p>
    <w:p>
      <w:pPr>
        <w:spacing w:after="0" w:line="23" w:lineRule="exact"/>
        <w:rPr>
          <w:sz w:val="24"/>
          <w:szCs w:val="24"/>
          <w:color w:val="auto"/>
        </w:rPr>
      </w:pPr>
    </w:p>
    <w:p>
      <w:pPr>
        <w:ind w:left="2340"/>
        <w:spacing w:after="0"/>
        <w:rPr>
          <w:sz w:val="20"/>
          <w:szCs w:val="20"/>
          <w:color w:val="auto"/>
        </w:rPr>
      </w:pPr>
      <w:r>
        <w:rPr>
          <w:rFonts w:ascii="Arial" w:cs="Arial" w:eastAsia="Arial" w:hAnsi="Arial"/>
          <w:sz w:val="19"/>
          <w:szCs w:val="19"/>
          <w:b w:val="1"/>
          <w:bCs w:val="1"/>
          <w:color w:val="auto"/>
        </w:rPr>
        <w:t>3100 East Hennepin Avenue</w:t>
      </w:r>
    </w:p>
    <w:p>
      <w:pPr>
        <w:spacing w:after="0" w:line="49" w:lineRule="exact"/>
        <w:rPr>
          <w:sz w:val="24"/>
          <w:szCs w:val="24"/>
          <w:color w:val="auto"/>
        </w:rPr>
      </w:pPr>
    </w:p>
    <w:p>
      <w:pPr>
        <w:ind w:left="2820"/>
        <w:spacing w:after="0"/>
        <w:rPr>
          <w:sz w:val="20"/>
          <w:szCs w:val="20"/>
          <w:color w:val="auto"/>
        </w:rPr>
      </w:pPr>
      <w:r>
        <w:rPr>
          <w:rFonts w:ascii="Arial" w:cs="Arial" w:eastAsia="Arial" w:hAnsi="Arial"/>
          <w:sz w:val="22"/>
          <w:szCs w:val="22"/>
          <w:b w:val="1"/>
          <w:bCs w:val="1"/>
          <w:color w:val="auto"/>
        </w:rPr>
        <w:t>Minneapolis, MN</w:t>
      </w:r>
    </w:p>
    <w:p>
      <w:pPr>
        <w:spacing w:after="0" w:line="20" w:lineRule="exact"/>
        <w:rPr>
          <w:sz w:val="24"/>
          <w:szCs w:val="24"/>
          <w:color w:val="auto"/>
        </w:rPr>
      </w:pPr>
      <w:r>
        <w:rPr>
          <w:sz w:val="24"/>
          <w:szCs w:val="24"/>
          <w:color w:val="auto"/>
        </w:rPr>
        <w:br w:type="column"/>
      </w:r>
    </w:p>
    <w:p>
      <w:pPr>
        <w:spacing w:after="0" w:line="246" w:lineRule="exact"/>
        <w:rPr>
          <w:sz w:val="24"/>
          <w:szCs w:val="24"/>
          <w:color w:val="auto"/>
        </w:rPr>
      </w:pPr>
    </w:p>
    <w:p>
      <w:pPr>
        <w:spacing w:after="0"/>
        <w:rPr>
          <w:sz w:val="20"/>
          <w:szCs w:val="20"/>
          <w:color w:val="auto"/>
        </w:rPr>
      </w:pPr>
      <w:r>
        <w:rPr>
          <w:rFonts w:ascii="Arial" w:cs="Arial" w:eastAsia="Arial" w:hAnsi="Arial"/>
          <w:sz w:val="19"/>
          <w:szCs w:val="19"/>
          <w:b w:val="1"/>
          <w:bCs w:val="1"/>
          <w:color w:val="auto"/>
        </w:rPr>
        <w:t>55413</w:t>
      </w:r>
    </w:p>
    <w:p>
      <w:pPr>
        <w:spacing w:after="0" w:line="62" w:lineRule="exact"/>
        <w:rPr>
          <w:sz w:val="24"/>
          <w:szCs w:val="24"/>
          <w:color w:val="auto"/>
        </w:rPr>
      </w:pPr>
    </w:p>
    <w:p>
      <w:pPr>
        <w:sectPr>
          <w:pgSz w:w="11900" w:h="16838" w:orient="portrait"/>
          <w:cols w:equalWidth="0" w:num="2">
            <w:col w:w="7600" w:space="720"/>
            <w:col w:w="3100"/>
          </w:cols>
          <w:pgMar w:left="240" w:top="786" w:right="239" w:bottom="284" w:gutter="0" w:footer="0" w:header="0"/>
          <w:type w:val="continuous"/>
        </w:sectPr>
      </w:pPr>
    </w:p>
    <w:p>
      <w:pPr>
        <w:ind w:left="220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480" w:space="720"/>
            <w:col w:w="3220"/>
          </w:cols>
          <w:pgMar w:left="240" w:top="786" w:right="239" w:bottom="284" w:gutter="0" w:footer="0" w:header="0"/>
          <w:type w:val="continuous"/>
        </w:sectPr>
      </w:pPr>
    </w:p>
    <w:p>
      <w:pPr>
        <w:spacing w:after="0" w:line="17" w:lineRule="exact"/>
        <w:rPr>
          <w:sz w:val="24"/>
          <w:szCs w:val="24"/>
          <w:color w:val="auto"/>
        </w:rPr>
      </w:pPr>
    </w:p>
    <w:p>
      <w:pPr>
        <w:ind w:left="2620"/>
        <w:spacing w:after="0"/>
        <w:rPr>
          <w:sz w:val="20"/>
          <w:szCs w:val="20"/>
          <w:color w:val="auto"/>
        </w:rPr>
      </w:pPr>
      <w:r>
        <w:rPr>
          <w:rFonts w:ascii="Arial" w:cs="Arial" w:eastAsia="Arial" w:hAnsi="Arial"/>
          <w:sz w:val="19"/>
          <w:szCs w:val="19"/>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2893060</wp:posOffset>
            </wp:positionH>
            <wp:positionV relativeFrom="paragraph">
              <wp:posOffset>233045</wp:posOffset>
            </wp:positionV>
            <wp:extent cx="147066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9"/>
          <w:szCs w:val="19"/>
          <w:b w:val="1"/>
          <w:bCs w:val="1"/>
          <w:color w:val="auto"/>
        </w:rPr>
        <w:t>(612) 331-6910</w:t>
      </w:r>
    </w:p>
    <w:p>
      <w:pPr>
        <w:spacing w:after="0" w:line="206" w:lineRule="exact"/>
        <w:rPr>
          <w:sz w:val="24"/>
          <w:szCs w:val="24"/>
          <w:color w:val="auto"/>
        </w:rPr>
      </w:pPr>
    </w:p>
    <w:p>
      <w:pPr>
        <w:sectPr>
          <w:pgSz w:w="11900" w:h="16838" w:orient="portrait"/>
          <w:cols w:equalWidth="0" w:num="2">
            <w:col w:w="7280" w:space="160"/>
            <w:col w:w="3980"/>
          </w:cols>
          <w:pgMar w:left="240" w:top="786" w:right="239" w:bottom="284" w:gutter="0" w:footer="0" w:header="0"/>
          <w:type w:val="continuous"/>
        </w:sectPr>
      </w:pPr>
    </w:p>
    <w:p>
      <w:pPr>
        <w:spacing w:after="0" w:line="284" w:lineRule="exact"/>
        <w:rPr>
          <w:sz w:val="24"/>
          <w:szCs w:val="24"/>
          <w:color w:val="auto"/>
        </w:rPr>
      </w:pPr>
    </w:p>
    <w:p>
      <w:pPr>
        <w:ind w:firstLine="324"/>
        <w:spacing w:after="0" w:line="251"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 (</w:t>
      </w:r>
      <w:r>
        <w:rPr>
          <w:rFonts w:ascii="Arial" w:cs="Arial" w:eastAsia="Arial" w:hAnsi="Arial"/>
          <w:sz w:val="22"/>
          <w:szCs w:val="22"/>
          <w:i w:val="1"/>
          <w:iCs w:val="1"/>
          <w:color w:val="auto"/>
        </w:rPr>
        <w:t>see</w:t>
      </w:r>
      <w:r>
        <w:rPr>
          <w:rFonts w:ascii="Arial" w:cs="Arial" w:eastAsia="Arial" w:hAnsi="Arial"/>
          <w:sz w:val="22"/>
          <w:szCs w:val="22"/>
          <w:color w:val="auto"/>
        </w:rPr>
        <w:t xml:space="preserve"> General Instruction A.2. below):</w:t>
      </w:r>
    </w:p>
    <w:p>
      <w:pPr>
        <w:spacing w:after="0" w:line="173" w:lineRule="exact"/>
        <w:rPr>
          <w:sz w:val="24"/>
          <w:szCs w:val="24"/>
          <w:color w:val="auto"/>
        </w:rPr>
      </w:pPr>
    </w:p>
    <w:p>
      <w:pPr>
        <w:ind w:left="820" w:hanging="488"/>
        <w:spacing w:after="0"/>
        <w:tabs>
          <w:tab w:leader="none" w:pos="820" w:val="left"/>
        </w:tabs>
        <w:numPr>
          <w:ilvl w:val="0"/>
          <w:numId w:val="1"/>
        </w:numPr>
        <w:rPr>
          <w:rFonts w:ascii="Arial" w:cs="Arial" w:eastAsia="Arial" w:hAnsi="Arial"/>
          <w:sz w:val="22"/>
          <w:szCs w:val="22"/>
          <w:color w:val="auto"/>
        </w:rPr>
      </w:pPr>
      <w:r>
        <w:rPr>
          <w:rFonts w:ascii="Arial" w:cs="Arial" w:eastAsia="Arial" w:hAnsi="Arial"/>
          <w:sz w:val="22"/>
          <w:szCs w:val="22"/>
          <w:color w:val="auto"/>
        </w:rPr>
        <w:t>Written communications pursuant to Rule 425 under the Securities Act (17 CFR 230.425)</w:t>
      </w:r>
    </w:p>
    <w:p>
      <w:pPr>
        <w:spacing w:after="0" w:line="206" w:lineRule="exact"/>
        <w:rPr>
          <w:rFonts w:ascii="Arial" w:cs="Arial" w:eastAsia="Arial" w:hAnsi="Arial"/>
          <w:sz w:val="22"/>
          <w:szCs w:val="22"/>
          <w:color w:val="auto"/>
        </w:rPr>
      </w:pPr>
    </w:p>
    <w:p>
      <w:pPr>
        <w:ind w:left="820" w:hanging="488"/>
        <w:spacing w:after="0"/>
        <w:tabs>
          <w:tab w:leader="none" w:pos="820" w:val="left"/>
        </w:tabs>
        <w:numPr>
          <w:ilvl w:val="0"/>
          <w:numId w:val="1"/>
        </w:numPr>
        <w:rPr>
          <w:rFonts w:ascii="Arial" w:cs="Arial" w:eastAsia="Arial" w:hAnsi="Arial"/>
          <w:sz w:val="22"/>
          <w:szCs w:val="22"/>
          <w:color w:val="auto"/>
        </w:rPr>
      </w:pPr>
      <w:r>
        <w:rPr>
          <w:rFonts w:ascii="Arial" w:cs="Arial" w:eastAsia="Arial" w:hAnsi="Arial"/>
          <w:sz w:val="22"/>
          <w:szCs w:val="22"/>
          <w:color w:val="auto"/>
        </w:rPr>
        <w:t>Soliciting material pursuant to Rule 14a-12 under the Exchange Act (17 CFR 240.14a-12)</w:t>
      </w:r>
    </w:p>
    <w:p>
      <w:pPr>
        <w:spacing w:after="0" w:line="206" w:lineRule="exact"/>
        <w:rPr>
          <w:rFonts w:ascii="Arial" w:cs="Arial" w:eastAsia="Arial" w:hAnsi="Arial"/>
          <w:sz w:val="22"/>
          <w:szCs w:val="22"/>
          <w:color w:val="auto"/>
        </w:rPr>
      </w:pPr>
    </w:p>
    <w:p>
      <w:pPr>
        <w:ind w:left="820" w:hanging="488"/>
        <w:spacing w:after="0"/>
        <w:tabs>
          <w:tab w:leader="none" w:pos="820" w:val="left"/>
        </w:tabs>
        <w:numPr>
          <w:ilvl w:val="0"/>
          <w:numId w:val="1"/>
        </w:numPr>
        <w:rPr>
          <w:rFonts w:ascii="Arial" w:cs="Arial" w:eastAsia="Arial" w:hAnsi="Arial"/>
          <w:sz w:val="21"/>
          <w:szCs w:val="21"/>
          <w:color w:val="auto"/>
        </w:rPr>
      </w:pPr>
      <w:r>
        <w:rPr>
          <w:rFonts w:ascii="Arial" w:cs="Arial" w:eastAsia="Arial" w:hAnsi="Arial"/>
          <w:sz w:val="21"/>
          <w:szCs w:val="21"/>
          <w:color w:val="auto"/>
        </w:rPr>
        <w:t>Pre-commencement communications pursuant to Rule 14d-2(b) under the Exchange Act (17 CFR 240.14d-2(b))</w:t>
      </w:r>
    </w:p>
    <w:p>
      <w:pPr>
        <w:spacing w:after="0" w:line="217" w:lineRule="exact"/>
        <w:rPr>
          <w:rFonts w:ascii="Arial" w:cs="Arial" w:eastAsia="Arial" w:hAnsi="Arial"/>
          <w:sz w:val="21"/>
          <w:szCs w:val="21"/>
          <w:color w:val="auto"/>
        </w:rPr>
      </w:pPr>
    </w:p>
    <w:p>
      <w:pPr>
        <w:ind w:left="820" w:hanging="488"/>
        <w:spacing w:after="0"/>
        <w:tabs>
          <w:tab w:leader="none" w:pos="820" w:val="left"/>
        </w:tabs>
        <w:numPr>
          <w:ilvl w:val="0"/>
          <w:numId w:val="1"/>
        </w:numPr>
        <w:rPr>
          <w:rFonts w:ascii="Arial" w:cs="Arial" w:eastAsia="Arial" w:hAnsi="Arial"/>
          <w:sz w:val="21"/>
          <w:szCs w:val="21"/>
          <w:color w:val="auto"/>
        </w:rPr>
      </w:pPr>
      <w:r>
        <w:rPr>
          <w:rFonts w:ascii="Arial" w:cs="Arial" w:eastAsia="Arial" w:hAnsi="Arial"/>
          <w:sz w:val="21"/>
          <w:szCs w:val="21"/>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314960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332105</wp:posOffset>
            </wp:positionV>
            <wp:extent cx="724662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578485</wp:posOffset>
            </wp:positionV>
            <wp:extent cx="725043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9" w:lineRule="exact"/>
        <w:rPr>
          <w:sz w:val="24"/>
          <w:szCs w:val="24"/>
          <w:color w:val="auto"/>
        </w:rPr>
      </w:pPr>
    </w:p>
    <w:p>
      <w:pPr>
        <w:spacing w:after="0"/>
        <w:tabs>
          <w:tab w:leader="none" w:pos="1280" w:val="left"/>
        </w:tabs>
        <w:rPr>
          <w:sz w:val="20"/>
          <w:szCs w:val="20"/>
          <w:color w:val="auto"/>
        </w:rPr>
      </w:pPr>
      <w:r>
        <w:rPr>
          <w:rFonts w:ascii="Arial" w:cs="Arial" w:eastAsia="Arial" w:hAnsi="Arial"/>
          <w:sz w:val="22"/>
          <w:szCs w:val="22"/>
          <w:b w:val="1"/>
          <w:bCs w:val="1"/>
          <w:color w:val="auto"/>
        </w:rPr>
        <w:t>Item 4.01.</w:t>
      </w:r>
      <w:r>
        <w:rPr>
          <w:sz w:val="20"/>
          <w:szCs w:val="20"/>
          <w:color w:val="auto"/>
        </w:rPr>
        <w:tab/>
      </w:r>
      <w:r>
        <w:rPr>
          <w:rFonts w:ascii="Arial" w:cs="Arial" w:eastAsia="Arial" w:hAnsi="Arial"/>
          <w:sz w:val="19"/>
          <w:szCs w:val="19"/>
          <w:b w:val="1"/>
          <w:bCs w:val="1"/>
          <w:color w:val="auto"/>
        </w:rPr>
        <w:t>Changes in Registrant’s Certifying Accountant.</w:t>
      </w:r>
    </w:p>
    <w:p>
      <w:pPr>
        <w:spacing w:after="0" w:line="225" w:lineRule="exact"/>
        <w:rPr>
          <w:sz w:val="24"/>
          <w:szCs w:val="24"/>
          <w:color w:val="auto"/>
        </w:rPr>
      </w:pPr>
    </w:p>
    <w:p>
      <w:pPr>
        <w:ind w:firstLine="656"/>
        <w:spacing w:after="0" w:line="268" w:lineRule="auto"/>
        <w:tabs>
          <w:tab w:leader="none" w:pos="887" w:val="left"/>
        </w:tabs>
        <w:numPr>
          <w:ilvl w:val="0"/>
          <w:numId w:val="2"/>
        </w:numPr>
        <w:rPr>
          <w:rFonts w:ascii="Arial" w:cs="Arial" w:eastAsia="Arial" w:hAnsi="Arial"/>
          <w:sz w:val="18"/>
          <w:szCs w:val="18"/>
          <w:color w:val="auto"/>
        </w:rPr>
      </w:pPr>
      <w:r>
        <w:rPr>
          <w:rFonts w:ascii="Arial" w:cs="Arial" w:eastAsia="Arial" w:hAnsi="Arial"/>
          <w:sz w:val="18"/>
          <w:szCs w:val="18"/>
          <w:color w:val="auto"/>
        </w:rPr>
        <w:t>On June 9, 2009, the Audit Committee of the Board of Directors (the “Audit Committee”) of Hawkins, Inc. (the “Company”) dismissed Deloitte &amp; Touche LLP (“Deloitte”) as the Company’s independent registered public accounting firm effective on that date.</w:t>
      </w:r>
    </w:p>
    <w:p>
      <w:pPr>
        <w:spacing w:after="0" w:line="186" w:lineRule="exact"/>
        <w:rPr>
          <w:sz w:val="24"/>
          <w:szCs w:val="24"/>
          <w:color w:val="auto"/>
        </w:rPr>
      </w:pPr>
    </w:p>
    <w:p>
      <w:pPr>
        <w:jc w:val="both"/>
        <w:ind w:firstLine="648"/>
        <w:spacing w:after="0" w:line="268" w:lineRule="auto"/>
        <w:rPr>
          <w:sz w:val="20"/>
          <w:szCs w:val="20"/>
          <w:color w:val="auto"/>
        </w:rPr>
      </w:pPr>
      <w:r>
        <w:rPr>
          <w:rFonts w:ascii="Arial" w:cs="Arial" w:eastAsia="Arial" w:hAnsi="Arial"/>
          <w:sz w:val="18"/>
          <w:szCs w:val="18"/>
          <w:color w:val="auto"/>
        </w:rPr>
        <w:t>Neither of Deloitte’s reports on the financial statements of the Company for fiscal years ended March 30, 2008 or March 29, 2009 contained an adverse opinion or disclaimer of opinion, or was qualified or modified as to uncertainty, audit scope, or accounting principles.</w:t>
      </w:r>
    </w:p>
    <w:p>
      <w:pPr>
        <w:spacing w:after="0" w:line="186" w:lineRule="exact"/>
        <w:rPr>
          <w:sz w:val="24"/>
          <w:szCs w:val="24"/>
          <w:color w:val="auto"/>
        </w:rPr>
      </w:pPr>
    </w:p>
    <w:p>
      <w:pPr>
        <w:jc w:val="both"/>
        <w:ind w:firstLine="648"/>
        <w:spacing w:after="0" w:line="256" w:lineRule="auto"/>
        <w:rPr>
          <w:sz w:val="20"/>
          <w:szCs w:val="20"/>
          <w:color w:val="auto"/>
        </w:rPr>
      </w:pPr>
      <w:r>
        <w:rPr>
          <w:rFonts w:ascii="Arial" w:cs="Arial" w:eastAsia="Arial" w:hAnsi="Arial"/>
          <w:sz w:val="18"/>
          <w:szCs w:val="18"/>
          <w:color w:val="auto"/>
        </w:rPr>
        <w:t>During fiscal years 2008 and 2009 and through June 9, 2009, there were no disagreements with Deloitte on any matter of accounting principles or practices, financial statement disclosure, or auditing scope or procedure which, if not resolved to Deloitte’s satisfaction, would have caused Deloitte to make reference to the subject matter in connection with its reports on the Company’s financial statements for such periods. During the same periods, there were no reportable events of the type set forth in Item 304(a)(1)(v) of Regulation S-K.</w:t>
      </w:r>
    </w:p>
    <w:p>
      <w:pPr>
        <w:spacing w:after="0" w:line="197" w:lineRule="exact"/>
        <w:rPr>
          <w:sz w:val="24"/>
          <w:szCs w:val="24"/>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provided Deloitte with a copy of this disclosure and requested that Deloitte furnish the Company with a letter addressed to the Securities and Exchange Commission stating whether it agrees with the above statements. The letter from Deloitte will be filed under cover of an amendment to this Current Report on Form 8-K when received.</w:t>
      </w:r>
    </w:p>
    <w:p>
      <w:pPr>
        <w:spacing w:after="0" w:line="194" w:lineRule="exact"/>
        <w:rPr>
          <w:sz w:val="24"/>
          <w:szCs w:val="24"/>
          <w:color w:val="auto"/>
        </w:rPr>
      </w:pPr>
    </w:p>
    <w:p>
      <w:pPr>
        <w:ind w:firstLine="656"/>
        <w:spacing w:after="0" w:line="268" w:lineRule="auto"/>
        <w:tabs>
          <w:tab w:leader="none" w:pos="897" w:val="left"/>
        </w:tabs>
        <w:numPr>
          <w:ilvl w:val="0"/>
          <w:numId w:val="3"/>
        </w:numPr>
        <w:rPr>
          <w:rFonts w:ascii="Arial" w:cs="Arial" w:eastAsia="Arial" w:hAnsi="Arial"/>
          <w:sz w:val="18"/>
          <w:szCs w:val="18"/>
          <w:color w:val="auto"/>
        </w:rPr>
      </w:pPr>
      <w:r>
        <w:rPr>
          <w:rFonts w:ascii="Arial" w:cs="Arial" w:eastAsia="Arial" w:hAnsi="Arial"/>
          <w:sz w:val="18"/>
          <w:szCs w:val="18"/>
          <w:color w:val="auto"/>
        </w:rPr>
        <w:t>On June 9, 2009, the Company’s Audit Committee approved the engagement of KPMG LLP (“KPMG”) as the Company’s independent registered public accounting firm for the fiscal year ending March 28, 2010.</w:t>
      </w:r>
    </w:p>
    <w:p>
      <w:pPr>
        <w:spacing w:after="0" w:line="186" w:lineRule="exact"/>
        <w:rPr>
          <w:sz w:val="24"/>
          <w:szCs w:val="24"/>
          <w:color w:val="auto"/>
        </w:rPr>
      </w:pPr>
    </w:p>
    <w:p>
      <w:pPr>
        <w:ind w:firstLine="648"/>
        <w:spacing w:after="0" w:line="268" w:lineRule="auto"/>
        <w:rPr>
          <w:sz w:val="20"/>
          <w:szCs w:val="20"/>
          <w:color w:val="auto"/>
        </w:rPr>
      </w:pPr>
      <w:r>
        <w:rPr>
          <w:rFonts w:ascii="Arial" w:cs="Arial" w:eastAsia="Arial" w:hAnsi="Arial"/>
          <w:sz w:val="18"/>
          <w:szCs w:val="18"/>
          <w:color w:val="auto"/>
        </w:rPr>
        <w:t>During fiscal years 2008 and 2009 and through June 9, 2009, the Company has not consulted with KPMG with respect to any of the matters or reportable events set forth in Item 304(a)(2)(i) or (ii) of Regulation S-K.</w:t>
      </w:r>
    </w:p>
    <w:p>
      <w:pPr>
        <w:sectPr>
          <w:pgSz w:w="11900" w:h="16838" w:orient="portrait"/>
          <w:cols w:equalWidth="0" w:num="1">
            <w:col w:w="11420"/>
          </w:cols>
          <w:pgMar w:left="240" w:top="786" w:right="239" w:bottom="284"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309880</wp:posOffset>
            </wp:positionV>
            <wp:extent cx="725043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9845"/>
                    </a:xfrm>
                    <a:prstGeom prst="rect">
                      <a:avLst/>
                    </a:prstGeom>
                    <a:noFill/>
                  </pic:spPr>
                </pic:pic>
              </a:graphicData>
            </a:graphic>
          </wp:anchor>
        </w:drawing>
        <w:t>SIGNATURES</w:t>
      </w:r>
    </w:p>
    <w:p>
      <w:pPr>
        <w:spacing w:after="0" w:line="225" w:lineRule="exact"/>
        <w:rPr>
          <w:sz w:val="20"/>
          <w:szCs w:val="20"/>
          <w:color w:val="auto"/>
        </w:rPr>
      </w:pPr>
    </w:p>
    <w:p>
      <w:pPr>
        <w:ind w:firstLine="648"/>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86"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HAWKINS, INC.</w:t>
      </w:r>
    </w:p>
    <w:p>
      <w:pPr>
        <w:spacing w:after="0" w:line="158" w:lineRule="exact"/>
        <w:rPr>
          <w:sz w:val="20"/>
          <w:szCs w:val="20"/>
          <w:color w:val="auto"/>
        </w:rPr>
      </w:pPr>
    </w:p>
    <w:p>
      <w:pPr>
        <w:spacing w:after="0"/>
        <w:tabs>
          <w:tab w:leader="none" w:pos="5800" w:val="left"/>
          <w:tab w:leader="none" w:pos="6260" w:val="left"/>
        </w:tabs>
        <w:rPr>
          <w:sz w:val="20"/>
          <w:szCs w:val="20"/>
          <w:color w:val="auto"/>
        </w:rPr>
      </w:pPr>
      <w:r>
        <w:rPr>
          <w:rFonts w:ascii="Arial" w:cs="Arial" w:eastAsia="Arial" w:hAnsi="Arial"/>
          <w:sz w:val="18"/>
          <w:szCs w:val="18"/>
          <w:color w:val="auto"/>
        </w:rPr>
        <w:t>Date: June 12, 2009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Richard G. Erstad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19685</wp:posOffset>
            </wp:positionV>
            <wp:extent cx="252984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Vice President, General Counsel,</w:t>
      </w:r>
    </w:p>
    <w:p>
      <w:pPr>
        <w:spacing w:after="0" w:line="15"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1565910</wp:posOffset>
            </wp:positionV>
            <wp:extent cx="725043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sectPr>
      <w:pgSz w:w="11900" w:h="16838" w:orient="portrait"/>
      <w:cols w:equalWidth="0" w:num="1">
        <w:col w:w="11420"/>
      </w:cols>
      <w:pgMar w:left="240" w:top="85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o"/>
      <w:numFmt w:val="bullet"/>
      <w:start w:val="1"/>
    </w:lvl>
  </w:abstractNum>
  <w:abstractNum w:abstractNumId="1">
    <w:nsid w:val="74B0DC51"/>
    <w:multiLevelType w:val="hybridMultilevel"/>
    <w:lvl w:ilvl="0">
      <w:lvlJc w:val="left"/>
      <w:lvlText w:val="(%1)"/>
      <w:numFmt w:val="lowerLetter"/>
      <w:start w:val="1"/>
    </w:lvl>
  </w:abstractNum>
  <w:abstractNum w:abstractNumId="2">
    <w:nsid w:val="19495CFF"/>
    <w:multiLevelType w:val="hybridMultilevel"/>
    <w:lvl w:ilvl="0">
      <w:lvlJc w:val="left"/>
      <w:lvlText w:val="(%1)"/>
      <w:numFmt w:val="lowerLetter"/>
      <w:start w:val="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2019-12-10T00:18:46Z</dcterms:created>
  <dcterms:modified xsi:type="dcterms:W3CDTF">2019-12-10T00:18:46Z</dcterms:modified>
</cp:coreProperties>
</file>