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1"/>
          <w:szCs w:val="31"/>
          <w:b w:val="1"/>
          <w:bCs w:val="1"/>
          <w:color w:val="auto"/>
        </w:rPr>
        <w:t>UNITED STATES</w:t>
      </w:r>
    </w:p>
    <w:p>
      <w:pPr>
        <w:spacing w:after="0" w:line="49" w:lineRule="exact"/>
        <w:rPr>
          <w:sz w:val="24"/>
          <w:szCs w:val="24"/>
          <w:color w:val="auto"/>
        </w:rPr>
      </w:pPr>
    </w:p>
    <w:p>
      <w:pPr>
        <w:jc w:val="center"/>
        <w:ind w:right="-19"/>
        <w:spacing w:after="0"/>
        <w:rPr>
          <w:sz w:val="20"/>
          <w:szCs w:val="20"/>
          <w:color w:val="auto"/>
        </w:rPr>
      </w:pPr>
      <w:r>
        <w:rPr>
          <w:rFonts w:ascii="Arial" w:cs="Arial" w:eastAsia="Arial" w:hAnsi="Arial"/>
          <w:sz w:val="31"/>
          <w:szCs w:val="31"/>
          <w:b w:val="1"/>
          <w:bCs w:val="1"/>
          <w:color w:val="auto"/>
        </w:rPr>
        <w:t>SECURITIES AND EXCHANGE COMMISSION</w:t>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21"/>
          <w:szCs w:val="21"/>
          <w:b w:val="1"/>
          <w:bCs w:val="1"/>
          <w:color w:val="auto"/>
        </w:rPr>
        <w:t>Washington, D.C. 20549</w:t>
      </w:r>
    </w:p>
    <w:p>
      <w:pPr>
        <w:spacing w:after="0" w:line="200" w:lineRule="exact"/>
        <w:rPr>
          <w:sz w:val="24"/>
          <w:szCs w:val="24"/>
          <w:color w:val="auto"/>
        </w:rPr>
      </w:pPr>
    </w:p>
    <w:p>
      <w:pPr>
        <w:spacing w:after="0" w:line="310" w:lineRule="exact"/>
        <w:rPr>
          <w:sz w:val="24"/>
          <w:szCs w:val="24"/>
          <w:color w:val="auto"/>
        </w:rPr>
      </w:pPr>
    </w:p>
    <w:p>
      <w:pPr>
        <w:jc w:val="center"/>
        <w:ind w:right="-19"/>
        <w:spacing w:after="0"/>
        <w:rPr>
          <w:sz w:val="20"/>
          <w:szCs w:val="20"/>
          <w:color w:val="auto"/>
        </w:rPr>
      </w:pPr>
      <w:r>
        <w:rPr>
          <w:rFonts w:ascii="Arial" w:cs="Arial" w:eastAsia="Arial" w:hAnsi="Arial"/>
          <w:sz w:val="31"/>
          <w:szCs w:val="31"/>
          <w:b w:val="1"/>
          <w:bCs w:val="1"/>
          <w:color w:val="auto"/>
        </w:rPr>
        <w:t>FORM 8-K</w:t>
      </w:r>
    </w:p>
    <w:p>
      <w:pPr>
        <w:spacing w:after="0" w:line="200" w:lineRule="exact"/>
        <w:rPr>
          <w:sz w:val="24"/>
          <w:szCs w:val="24"/>
          <w:color w:val="auto"/>
        </w:rPr>
      </w:pPr>
    </w:p>
    <w:p>
      <w:pPr>
        <w:spacing w:after="0" w:line="365"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CURRENT REPORT</w:t>
      </w:r>
    </w:p>
    <w:p>
      <w:pPr>
        <w:spacing w:after="0" w:line="184"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Pursuant to Section 13 or 15(d) of the Securities Exchange Act of 1934</w:t>
      </w:r>
    </w:p>
    <w:p>
      <w:pPr>
        <w:spacing w:after="0" w:line="170" w:lineRule="exact"/>
        <w:rPr>
          <w:sz w:val="24"/>
          <w:szCs w:val="24"/>
          <w:color w:val="auto"/>
        </w:rPr>
      </w:pPr>
    </w:p>
    <w:p>
      <w:pPr>
        <w:jc w:val="center"/>
        <w:ind w:right="-19"/>
        <w:spacing w:after="0"/>
        <w:rPr>
          <w:sz w:val="20"/>
          <w:szCs w:val="20"/>
          <w:color w:val="auto"/>
        </w:rPr>
      </w:pPr>
      <w:r>
        <w:rPr>
          <w:rFonts w:ascii="Arial" w:cs="Arial" w:eastAsia="Arial" w:hAnsi="Arial"/>
          <w:sz w:val="21"/>
          <w:szCs w:val="21"/>
          <w:b w:val="1"/>
          <w:bCs w:val="1"/>
          <w:color w:val="auto"/>
        </w:rPr>
        <w:t>Date of Report (Date of earliest event reported) May 13, 2026</w:t>
      </w:r>
    </w:p>
    <w:p>
      <w:pPr>
        <w:spacing w:after="0" w:line="349" w:lineRule="exact"/>
        <w:rPr>
          <w:sz w:val="24"/>
          <w:szCs w:val="24"/>
          <w:color w:val="auto"/>
        </w:rPr>
      </w:pPr>
    </w:p>
    <w:p>
      <w:pPr>
        <w:jc w:val="center"/>
        <w:ind w:right="-19"/>
        <w:spacing w:after="0"/>
        <w:rPr>
          <w:sz w:val="20"/>
          <w:szCs w:val="20"/>
          <w:color w:val="auto"/>
        </w:rPr>
      </w:pPr>
      <w:r>
        <w:rPr>
          <w:rFonts w:ascii="Arial" w:cs="Arial" w:eastAsia="Arial" w:hAnsi="Arial"/>
          <w:sz w:val="41"/>
          <w:szCs w:val="41"/>
          <w:b w:val="1"/>
          <w:bCs w:val="1"/>
          <w:color w:val="auto"/>
        </w:rPr>
        <w:t>Hawkins, Inc.</w:t>
      </w:r>
    </w:p>
    <w:p>
      <w:pPr>
        <w:spacing w:after="0" w:line="59"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(Exact name of registrant as specified in its charter)</w:t>
      </w:r>
    </w:p>
    <w:p>
      <w:pPr>
        <w:sectPr>
          <w:pgSz w:w="11900" w:h="16838" w:orient="portrait"/>
          <w:cols w:equalWidth="0" w:num="1">
            <w:col w:w="11240"/>
          </w:cols>
          <w:pgMar w:left="320" w:top="1001" w:right="339" w:bottom="1440" w:gutter="0" w:footer="0" w:header="0"/>
        </w:sectPr>
      </w:pPr>
    </w:p>
    <w:p>
      <w:pPr>
        <w:spacing w:after="0" w:line="31" w:lineRule="exact"/>
        <w:rPr>
          <w:sz w:val="24"/>
          <w:szCs w:val="24"/>
          <w:color w:val="auto"/>
        </w:rPr>
      </w:pPr>
    </w:p>
    <w:p>
      <w:pPr>
        <w:ind w:left="1200"/>
        <w:spacing w:after="0"/>
        <w:rPr>
          <w:sz w:val="20"/>
          <w:szCs w:val="20"/>
          <w:color w:val="auto"/>
        </w:rPr>
      </w:pPr>
      <w:r>
        <w:rPr>
          <w:rFonts w:ascii="Arial" w:cs="Arial" w:eastAsia="Arial" w:hAnsi="Arial"/>
          <w:sz w:val="17"/>
          <w:szCs w:val="17"/>
          <w:b w:val="1"/>
          <w:bCs w:val="1"/>
          <w:color w:val="auto"/>
        </w:rPr>
        <w:t>Minnesota</w:t>
      </w:r>
    </w:p>
    <w:p>
      <w:pPr>
        <w:spacing w:after="0" w:line="20" w:lineRule="exact"/>
        <w:rPr>
          <w:sz w:val="24"/>
          <w:szCs w:val="24"/>
          <w:color w:val="auto"/>
        </w:rPr>
      </w:pPr>
      <w:r>
        <w:rPr>
          <w:sz w:val="24"/>
          <w:szCs w:val="24"/>
          <w:color w:val="auto"/>
        </w:rPr>
        <w:br w:type="column"/>
      </w:r>
    </w:p>
    <w:p>
      <w:pPr>
        <w:spacing w:after="0" w:line="11" w:lineRule="exact"/>
        <w:rPr>
          <w:sz w:val="24"/>
          <w:szCs w:val="24"/>
          <w:color w:val="auto"/>
        </w:rPr>
      </w:pPr>
    </w:p>
    <w:p>
      <w:pPr>
        <w:jc w:val="center"/>
        <w:ind w:right="2340"/>
        <w:spacing w:after="0"/>
        <w:rPr>
          <w:sz w:val="20"/>
          <w:szCs w:val="20"/>
          <w:color w:val="auto"/>
        </w:rPr>
      </w:pPr>
      <w:r>
        <w:rPr>
          <w:rFonts w:ascii="Arial" w:cs="Arial" w:eastAsia="Arial" w:hAnsi="Arial"/>
          <w:sz w:val="17"/>
          <w:szCs w:val="17"/>
          <w:b w:val="1"/>
          <w:bCs w:val="1"/>
          <w:color w:val="auto"/>
        </w:rPr>
        <w:t>0-7647</w:t>
      </w:r>
    </w:p>
    <w:p>
      <w:pPr>
        <w:spacing w:after="0" w:line="20" w:lineRule="exact"/>
        <w:rPr>
          <w:sz w:val="24"/>
          <w:szCs w:val="24"/>
          <w:color w:val="auto"/>
        </w:rPr>
      </w:pPr>
      <w:r>
        <w:rPr>
          <w:sz w:val="24"/>
          <w:szCs w:val="24"/>
          <w:color w:val="auto"/>
        </w:rPr>
        <w:br w:type="column"/>
      </w:r>
    </w:p>
    <w:p>
      <w:pPr>
        <w:spacing w:after="0" w:line="11"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41-0771293</w:t>
      </w:r>
    </w:p>
    <w:p>
      <w:pPr>
        <w:spacing w:after="0" w:line="42" w:lineRule="exact"/>
        <w:rPr>
          <w:sz w:val="24"/>
          <w:szCs w:val="24"/>
          <w:color w:val="auto"/>
        </w:rPr>
      </w:pPr>
    </w:p>
    <w:p>
      <w:pPr>
        <w:sectPr>
          <w:pgSz w:w="11900" w:h="16838" w:orient="portrait"/>
          <w:cols w:equalWidth="0" w:num="3">
            <w:col w:w="4620" w:space="720"/>
            <w:col w:w="2880" w:space="720"/>
            <w:col w:w="2300"/>
          </w:cols>
          <w:pgMar w:left="320" w:top="1001" w:right="339" w:bottom="1440" w:gutter="0" w:footer="0" w:header="0"/>
          <w:type w:val="continuous"/>
        </w:sectPr>
      </w:pPr>
    </w:p>
    <w:p>
      <w:pPr>
        <w:ind w:left="860"/>
        <w:spacing w:after="0"/>
        <w:rPr>
          <w:sz w:val="20"/>
          <w:szCs w:val="20"/>
          <w:color w:val="auto"/>
        </w:rPr>
      </w:pPr>
      <w:r>
        <w:rPr>
          <w:rFonts w:ascii="Arial" w:cs="Arial" w:eastAsia="Arial" w:hAnsi="Arial"/>
          <w:sz w:val="13"/>
          <w:szCs w:val="13"/>
          <w:b w:val="1"/>
          <w:bCs w:val="1"/>
          <w:color w:val="auto"/>
        </w:rPr>
        <w:t>(State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(IRS Employer Identification No.)</w:t>
      </w:r>
    </w:p>
    <w:p>
      <w:pPr>
        <w:spacing w:after="0" w:line="193" w:lineRule="exact"/>
        <w:rPr>
          <w:sz w:val="24"/>
          <w:szCs w:val="24"/>
          <w:color w:val="auto"/>
        </w:rPr>
      </w:pPr>
    </w:p>
    <w:p>
      <w:pPr>
        <w:sectPr>
          <w:pgSz w:w="11900" w:h="16838" w:orient="portrait"/>
          <w:cols w:equalWidth="0" w:num="3">
            <w:col w:w="4020" w:space="720"/>
            <w:col w:w="2880" w:space="720"/>
            <w:col w:w="2900"/>
          </w:cols>
          <w:pgMar w:left="320" w:top="1001" w:right="339" w:bottom="1440" w:gutter="0" w:footer="0" w:header="0"/>
          <w:type w:val="continuous"/>
        </w:sectPr>
      </w:pPr>
    </w:p>
    <w:p>
      <w:pPr>
        <w:ind w:left="680"/>
        <w:spacing w:after="0"/>
        <w:tabs>
          <w:tab w:leader="none" w:pos="3060" w:val="left"/>
        </w:tabs>
        <w:rPr>
          <w:sz w:val="20"/>
          <w:szCs w:val="20"/>
          <w:color w:val="auto"/>
        </w:rPr>
      </w:pPr>
      <w:r>
        <w:rPr>
          <w:rFonts w:ascii="Arial" w:cs="Arial" w:eastAsia="Arial" w:hAnsi="Arial"/>
          <w:sz w:val="17"/>
          <w:szCs w:val="17"/>
          <w:b w:val="1"/>
          <w:bCs w:val="1"/>
          <w:color w:val="auto"/>
        </w:rPr>
        <w:t>2381 Rosegate, Roseville,</w:t>
      </w:r>
      <w:r>
        <w:rPr>
          <w:sz w:val="20"/>
          <w:szCs w:val="20"/>
          <w:color w:val="auto"/>
        </w:rPr>
        <w:tab/>
      </w:r>
      <w:r>
        <w:rPr>
          <w:rFonts w:ascii="Arial" w:cs="Arial" w:eastAsia="Arial" w:hAnsi="Arial"/>
          <w:sz w:val="16"/>
          <w:szCs w:val="16"/>
          <w:b w:val="1"/>
          <w:bCs w:val="1"/>
          <w:color w:val="auto"/>
        </w:rPr>
        <w:t>MN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55113</w:t>
      </w:r>
    </w:p>
    <w:p>
      <w:pPr>
        <w:spacing w:after="0" w:line="53" w:lineRule="exact"/>
        <w:rPr>
          <w:sz w:val="24"/>
          <w:szCs w:val="24"/>
          <w:color w:val="auto"/>
        </w:rPr>
      </w:pPr>
    </w:p>
    <w:p>
      <w:pPr>
        <w:sectPr>
          <w:pgSz w:w="11900" w:h="16838" w:orient="portrait"/>
          <w:cols w:equalWidth="0" w:num="2">
            <w:col w:w="8660" w:space="720"/>
            <w:col w:w="1860"/>
          </w:cols>
          <w:pgMar w:left="320" w:top="1001" w:right="339" w:bottom="1440" w:gutter="0" w:footer="0" w:header="0"/>
          <w:type w:val="continuous"/>
        </w:sectPr>
      </w:pPr>
    </w:p>
    <w:p>
      <w:pPr>
        <w:ind w:left="1000"/>
        <w:spacing w:after="0"/>
        <w:rPr>
          <w:sz w:val="20"/>
          <w:szCs w:val="20"/>
          <w:color w:val="auto"/>
        </w:rPr>
      </w:pPr>
      <w:r>
        <w:rPr>
          <w:rFonts w:ascii="Arial" w:cs="Arial" w:eastAsia="Arial" w:hAnsi="Arial"/>
          <w:sz w:val="13"/>
          <w:szCs w:val="13"/>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200" w:lineRule="exact"/>
        <w:rPr>
          <w:sz w:val="24"/>
          <w:szCs w:val="24"/>
          <w:color w:val="auto"/>
        </w:rPr>
      </w:pPr>
    </w:p>
    <w:p>
      <w:pPr>
        <w:sectPr>
          <w:pgSz w:w="11900" w:h="16838" w:orient="portrait"/>
          <w:cols w:equalWidth="0" w:num="2">
            <w:col w:w="8560" w:space="720"/>
            <w:col w:w="1960"/>
          </w:cols>
          <w:pgMar w:left="320" w:top="1001" w:right="339" w:bottom="1440" w:gutter="0" w:footer="0" w:header="0"/>
          <w:type w:val="continuous"/>
        </w:sectPr>
      </w:pPr>
    </w:p>
    <w:p>
      <w:pPr>
        <w:spacing w:after="0" w:line="277"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Registrant’s Telephone Number, Including Area Code (612) 331-6910</w:t>
      </w:r>
    </w:p>
    <w:p>
      <w:pPr>
        <w:spacing w:after="0" w:line="322" w:lineRule="exact"/>
        <w:rPr>
          <w:sz w:val="24"/>
          <w:szCs w:val="24"/>
          <w:color w:val="auto"/>
        </w:rPr>
      </w:pPr>
    </w:p>
    <w:p>
      <w:pPr>
        <w:ind w:right="200" w:firstLine="425"/>
        <w:spacing w:after="0" w:line="265" w:lineRule="auto"/>
        <w:rPr>
          <w:sz w:val="20"/>
          <w:szCs w:val="20"/>
          <w:color w:val="auto"/>
        </w:rPr>
      </w:pPr>
      <w:r>
        <w:rPr>
          <w:rFonts w:ascii="Arial" w:cs="Arial" w:eastAsia="Arial" w:hAnsi="Arial"/>
          <w:sz w:val="17"/>
          <w:szCs w:val="17"/>
          <w:color w:val="auto"/>
        </w:rPr>
        <w:t>Check the appropriate box below if the Form 8-K filing is intended to simultaneously satisfy the filing obligation of the registrant under any of the following provisions:</w:t>
      </w:r>
    </w:p>
    <w:p>
      <w:pPr>
        <w:spacing w:after="0" w:line="20" w:lineRule="exact"/>
        <w:rPr>
          <w:sz w:val="24"/>
          <w:szCs w:val="24"/>
          <w:color w:val="auto"/>
        </w:rPr>
      </w:pPr>
    </w:p>
    <w:p>
      <w:pPr>
        <w:ind w:left="360" w:hanging="340"/>
        <w:spacing w:after="0"/>
        <w:tabs>
          <w:tab w:leader="none" w:pos="3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Written communications pursuant to Rule 425 under the Securities Act (17 CFR 230.425)</w:t>
      </w:r>
    </w:p>
    <w:p>
      <w:pPr>
        <w:spacing w:after="0" w:line="75" w:lineRule="exact"/>
        <w:rPr>
          <w:rFonts w:ascii="MS PGothic" w:cs="MS PGothic" w:eastAsia="MS PGothic" w:hAnsi="MS PGothic"/>
          <w:sz w:val="17"/>
          <w:szCs w:val="17"/>
          <w:color w:val="auto"/>
        </w:rPr>
      </w:pPr>
    </w:p>
    <w:p>
      <w:pPr>
        <w:ind w:left="360" w:hanging="340"/>
        <w:spacing w:after="0"/>
        <w:tabs>
          <w:tab w:leader="none" w:pos="3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Soliciting material pursuant to Rule 14a-12 under the Exchange Act (17 CFR 240.14a-12)</w:t>
      </w:r>
    </w:p>
    <w:p>
      <w:pPr>
        <w:spacing w:after="0" w:line="75" w:lineRule="exact"/>
        <w:rPr>
          <w:rFonts w:ascii="MS PGothic" w:cs="MS PGothic" w:eastAsia="MS PGothic" w:hAnsi="MS PGothic"/>
          <w:sz w:val="17"/>
          <w:szCs w:val="17"/>
          <w:color w:val="auto"/>
        </w:rPr>
      </w:pPr>
    </w:p>
    <w:p>
      <w:pPr>
        <w:ind w:left="360" w:hanging="340"/>
        <w:spacing w:after="0"/>
        <w:tabs>
          <w:tab w:leader="none" w:pos="3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14d-2(b) under the Exchange Act (17 CFR 240.14d-2(b))</w:t>
      </w:r>
    </w:p>
    <w:p>
      <w:pPr>
        <w:spacing w:after="0" w:line="75" w:lineRule="exact"/>
        <w:rPr>
          <w:rFonts w:ascii="MS PGothic" w:cs="MS PGothic" w:eastAsia="MS PGothic" w:hAnsi="MS PGothic"/>
          <w:sz w:val="17"/>
          <w:szCs w:val="17"/>
          <w:color w:val="auto"/>
        </w:rPr>
      </w:pPr>
    </w:p>
    <w:p>
      <w:pPr>
        <w:ind w:left="360" w:hanging="340"/>
        <w:spacing w:after="0"/>
        <w:tabs>
          <w:tab w:leader="none" w:pos="3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13e-4(c) under the Exchange Act (17 CFR 240.13e-4(c))</w:t>
      </w:r>
    </w:p>
    <w:p>
      <w:pPr>
        <w:spacing w:after="0" w:line="256" w:lineRule="exact"/>
        <w:rPr>
          <w:sz w:val="24"/>
          <w:szCs w:val="24"/>
          <w:color w:val="auto"/>
        </w:rPr>
      </w:pPr>
    </w:p>
    <w:p>
      <w:pPr>
        <w:spacing w:after="0"/>
        <w:rPr>
          <w:sz w:val="20"/>
          <w:szCs w:val="20"/>
          <w:color w:val="auto"/>
        </w:rPr>
      </w:pPr>
      <w:r>
        <w:rPr>
          <w:rFonts w:ascii="Arial" w:cs="Arial" w:eastAsia="Arial" w:hAnsi="Arial"/>
          <w:sz w:val="17"/>
          <w:szCs w:val="17"/>
          <w:color w:val="auto"/>
        </w:rPr>
        <w:t>Securities registered pursuant to Section 12(b) of the Act:</w:t>
      </w:r>
    </w:p>
    <w:p>
      <w:pPr>
        <w:spacing w:after="0" w:line="39" w:lineRule="exact"/>
        <w:rPr>
          <w:sz w:val="24"/>
          <w:szCs w:val="24"/>
          <w:color w:val="auto"/>
        </w:rPr>
      </w:pPr>
    </w:p>
    <w:tbl>
      <w:tblPr>
        <w:tblLayout w:type="fixed"/>
        <w:tblInd w:w="0" w:type="dxa"/>
        <w:tblCellMar>
          <w:top w:w="0" w:type="dxa"/>
          <w:left w:w="0" w:type="dxa"/>
          <w:bottom w:w="0" w:type="dxa"/>
          <w:right w:w="0" w:type="dxa"/>
        </w:tblCellMar>
      </w:tblPr>
      <w:tr>
        <w:trPr>
          <w:trHeight w:val="226"/>
        </w:trPr>
        <w:tc>
          <w:tcPr>
            <w:tcW w:w="3800" w:type="dxa"/>
            <w:vAlign w:val="bottom"/>
            <w:tcBorders>
              <w:bottom w:val="single" w:sz="8" w:color="auto"/>
            </w:tcBorders>
          </w:tcPr>
          <w:p>
            <w:pPr>
              <w:ind w:left="1120"/>
              <w:spacing w:after="0"/>
              <w:rPr>
                <w:sz w:val="20"/>
                <w:szCs w:val="20"/>
                <w:color w:val="auto"/>
              </w:rPr>
            </w:pPr>
            <w:r>
              <w:rPr>
                <w:rFonts w:ascii="Arial" w:cs="Arial" w:eastAsia="Arial" w:hAnsi="Arial"/>
                <w:sz w:val="15"/>
                <w:szCs w:val="15"/>
                <w:b w:val="1"/>
                <w:bCs w:val="1"/>
                <w:color w:val="auto"/>
              </w:rPr>
              <w:t>Title of each class</w:t>
            </w:r>
          </w:p>
        </w:tc>
        <w:tc>
          <w:tcPr>
            <w:tcW w:w="3060" w:type="dxa"/>
            <w:vAlign w:val="bottom"/>
            <w:tcBorders>
              <w:bottom w:val="single" w:sz="8" w:color="auto"/>
            </w:tcBorders>
          </w:tcPr>
          <w:p>
            <w:pPr>
              <w:jc w:val="center"/>
              <w:ind w:left="123"/>
              <w:spacing w:after="0"/>
              <w:rPr>
                <w:sz w:val="20"/>
                <w:szCs w:val="20"/>
                <w:color w:val="auto"/>
              </w:rPr>
            </w:pPr>
            <w:r>
              <w:rPr>
                <w:rFonts w:ascii="Arial" w:cs="Arial" w:eastAsia="Arial" w:hAnsi="Arial"/>
                <w:sz w:val="15"/>
                <w:szCs w:val="15"/>
                <w:b w:val="1"/>
                <w:bCs w:val="1"/>
                <w:color w:val="auto"/>
              </w:rPr>
              <w:t>Trading Symbol(s)</w:t>
            </w:r>
          </w:p>
        </w:tc>
        <w:tc>
          <w:tcPr>
            <w:tcW w:w="4340" w:type="dxa"/>
            <w:vAlign w:val="bottom"/>
            <w:tcBorders>
              <w:bottom w:val="single" w:sz="8" w:color="auto"/>
            </w:tcBorders>
          </w:tcPr>
          <w:p>
            <w:pPr>
              <w:jc w:val="center"/>
              <w:ind w:left="383"/>
              <w:spacing w:after="0"/>
              <w:rPr>
                <w:sz w:val="20"/>
                <w:szCs w:val="20"/>
                <w:color w:val="auto"/>
              </w:rPr>
            </w:pPr>
            <w:r>
              <w:rPr>
                <w:rFonts w:ascii="Arial" w:cs="Arial" w:eastAsia="Arial" w:hAnsi="Arial"/>
                <w:sz w:val="15"/>
                <w:szCs w:val="15"/>
                <w:b w:val="1"/>
                <w:bCs w:val="1"/>
                <w:color w:val="auto"/>
              </w:rPr>
              <w:t>Name of each exchange on which registered</w:t>
            </w:r>
          </w:p>
        </w:tc>
      </w:tr>
      <w:tr>
        <w:trPr>
          <w:trHeight w:val="205"/>
        </w:trPr>
        <w:tc>
          <w:tcPr>
            <w:tcW w:w="3800" w:type="dxa"/>
            <w:vAlign w:val="bottom"/>
          </w:tcPr>
          <w:p>
            <w:pPr>
              <w:ind w:left="20"/>
              <w:spacing w:after="0"/>
              <w:rPr>
                <w:sz w:val="20"/>
                <w:szCs w:val="20"/>
                <w:color w:val="auto"/>
              </w:rPr>
            </w:pPr>
            <w:r>
              <w:rPr>
                <w:rFonts w:ascii="Arial" w:cs="Arial" w:eastAsia="Arial" w:hAnsi="Arial"/>
                <w:sz w:val="15"/>
                <w:szCs w:val="15"/>
                <w:color w:val="auto"/>
              </w:rPr>
              <w:t>Common Stock, par value $.01 per share</w:t>
            </w:r>
          </w:p>
        </w:tc>
        <w:tc>
          <w:tcPr>
            <w:tcW w:w="3060" w:type="dxa"/>
            <w:vAlign w:val="bottom"/>
          </w:tcPr>
          <w:p>
            <w:pPr>
              <w:jc w:val="center"/>
              <w:ind w:left="123"/>
              <w:spacing w:after="0"/>
              <w:rPr>
                <w:sz w:val="20"/>
                <w:szCs w:val="20"/>
                <w:color w:val="auto"/>
              </w:rPr>
            </w:pPr>
            <w:r>
              <w:rPr>
                <w:rFonts w:ascii="Arial" w:cs="Arial" w:eastAsia="Arial" w:hAnsi="Arial"/>
                <w:sz w:val="15"/>
                <w:szCs w:val="15"/>
                <w:color w:val="auto"/>
              </w:rPr>
              <w:t>HWKN</w:t>
            </w:r>
          </w:p>
        </w:tc>
        <w:tc>
          <w:tcPr>
            <w:tcW w:w="4340" w:type="dxa"/>
            <w:vAlign w:val="bottom"/>
          </w:tcPr>
          <w:p>
            <w:pPr>
              <w:jc w:val="center"/>
              <w:ind w:left="383"/>
              <w:spacing w:after="0"/>
              <w:rPr>
                <w:sz w:val="20"/>
                <w:szCs w:val="20"/>
                <w:color w:val="auto"/>
              </w:rPr>
            </w:pPr>
            <w:r>
              <w:rPr>
                <w:rFonts w:ascii="Arial" w:cs="Arial" w:eastAsia="Arial" w:hAnsi="Arial"/>
                <w:sz w:val="15"/>
                <w:szCs w:val="15"/>
                <w:color w:val="auto"/>
              </w:rPr>
              <w:t>The Nasdaq Stock Market LLC</w:t>
            </w:r>
          </w:p>
        </w:tc>
      </w:tr>
    </w:tbl>
    <w:p>
      <w:pPr>
        <w:spacing w:after="0" w:line="333" w:lineRule="exact"/>
        <w:rPr>
          <w:sz w:val="24"/>
          <w:szCs w:val="24"/>
          <w:color w:val="auto"/>
        </w:rPr>
      </w:pPr>
    </w:p>
    <w:p>
      <w:pPr>
        <w:jc w:val="both"/>
        <w:ind w:right="320"/>
        <w:spacing w:after="0" w:line="260" w:lineRule="auto"/>
        <w:rPr>
          <w:sz w:val="20"/>
          <w:szCs w:val="20"/>
          <w:color w:val="auto"/>
        </w:rPr>
      </w:pPr>
      <w:r>
        <w:rPr>
          <w:rFonts w:ascii="Arial" w:cs="Arial" w:eastAsia="Arial" w:hAnsi="Arial"/>
          <w:sz w:val="17"/>
          <w:szCs w:val="17"/>
          <w:color w:val="auto"/>
        </w:rPr>
        <w:t>Indicate by check mark whether the registrant is an emerging growth company as defined in Rule 405 of the Securities Act (17 CFR 230.405) or Rule 12b-2 of the Exchange Act (17 CFR 240.12b 2).</w:t>
      </w:r>
    </w:p>
    <w:p>
      <w:pPr>
        <w:spacing w:after="0" w:line="1" w:lineRule="exact"/>
        <w:rPr>
          <w:sz w:val="24"/>
          <w:szCs w:val="24"/>
          <w:color w:val="auto"/>
        </w:rPr>
      </w:pPr>
    </w:p>
    <w:p>
      <w:pPr>
        <w:ind w:left="9000"/>
        <w:spacing w:after="0" w:line="196" w:lineRule="exact"/>
        <w:rPr>
          <w:sz w:val="20"/>
          <w:szCs w:val="20"/>
          <w:color w:val="auto"/>
        </w:rPr>
      </w:pPr>
      <w:r>
        <w:rPr>
          <w:rFonts w:ascii="Arial" w:cs="Arial" w:eastAsia="Arial" w:hAnsi="Arial"/>
          <w:sz w:val="17"/>
          <w:szCs w:val="17"/>
          <w:color w:val="auto"/>
        </w:rPr>
        <w:t xml:space="preserve">Emerging growth company </w:t>
      </w:r>
      <w:r>
        <w:rPr>
          <w:rFonts w:ascii="MS PGothic" w:cs="MS PGothic" w:eastAsia="MS PGothic" w:hAnsi="MS PGothic"/>
          <w:sz w:val="17"/>
          <w:szCs w:val="17"/>
          <w:color w:val="auto"/>
        </w:rPr>
        <w:t>☐</w:t>
      </w:r>
    </w:p>
    <w:p>
      <w:pPr>
        <w:spacing w:after="0" w:line="115" w:lineRule="exact"/>
        <w:rPr>
          <w:sz w:val="24"/>
          <w:szCs w:val="24"/>
          <w:color w:val="auto"/>
        </w:rPr>
      </w:pPr>
    </w:p>
    <w:p>
      <w:pPr>
        <w:ind w:right="20"/>
        <w:spacing w:after="0" w:line="228"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650875</wp:posOffset>
            </wp:positionV>
            <wp:extent cx="7164070" cy="41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01"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7"/>
          <w:szCs w:val="17"/>
          <w:b w:val="1"/>
          <w:bCs w:val="1"/>
          <w:color w:val="auto"/>
        </w:rPr>
        <w:t>Item 2.02. Results of Operations and Financial Condition.</w:t>
      </w:r>
    </w:p>
    <w:p>
      <w:pPr>
        <w:spacing w:after="0" w:line="103" w:lineRule="exact"/>
        <w:rPr>
          <w:sz w:val="20"/>
          <w:szCs w:val="20"/>
          <w:color w:val="auto"/>
        </w:rPr>
      </w:pPr>
    </w:p>
    <w:p>
      <w:pPr>
        <w:jc w:val="both"/>
        <w:ind w:right="360" w:firstLine="425"/>
        <w:spacing w:after="0" w:line="290" w:lineRule="auto"/>
        <w:rPr>
          <w:sz w:val="20"/>
          <w:szCs w:val="20"/>
          <w:color w:val="auto"/>
        </w:rPr>
      </w:pPr>
      <w:r>
        <w:rPr>
          <w:rFonts w:ascii="Arial" w:cs="Arial" w:eastAsia="Arial" w:hAnsi="Arial"/>
          <w:sz w:val="17"/>
          <w:szCs w:val="17"/>
          <w:color w:val="auto"/>
        </w:rPr>
        <w:t>On May 13, 2026, Hawkins, Inc. issued a press release announcing financial results for its fourth quarter and fiscal year ended March 29, 2026. A copy of the press release issued by the Registrant is furnished herewith as Exhibit 99.1 hereto and is incorporated herein by reference.</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9.01. Financial Statements and Exhibits.</w:t>
      </w:r>
    </w:p>
    <w:p>
      <w:pPr>
        <w:spacing w:after="0" w:line="116" w:lineRule="exact"/>
        <w:rPr>
          <w:sz w:val="20"/>
          <w:szCs w:val="20"/>
          <w:color w:val="auto"/>
        </w:rPr>
      </w:pPr>
    </w:p>
    <w:p>
      <w:pPr>
        <w:ind w:left="240"/>
        <w:spacing w:after="0"/>
        <w:rPr>
          <w:sz w:val="20"/>
          <w:szCs w:val="20"/>
          <w:color w:val="auto"/>
        </w:rPr>
      </w:pPr>
      <w:r>
        <w:rPr>
          <w:rFonts w:ascii="Arial" w:cs="Arial" w:eastAsia="Arial" w:hAnsi="Arial"/>
          <w:sz w:val="17"/>
          <w:szCs w:val="17"/>
          <w:color w:val="auto"/>
        </w:rPr>
        <w:t xml:space="preserve">(d) </w:t>
      </w:r>
      <w:r>
        <w:rPr>
          <w:rFonts w:ascii="Arial" w:cs="Arial" w:eastAsia="Arial" w:hAnsi="Arial"/>
          <w:sz w:val="17"/>
          <w:szCs w:val="17"/>
          <w:u w:val="single" w:color="auto"/>
          <w:color w:val="auto"/>
        </w:rPr>
        <w:t>Exhibits</w:t>
      </w:r>
      <w:r>
        <w:rPr>
          <w:rFonts w:ascii="Arial" w:cs="Arial" w:eastAsia="Arial" w:hAnsi="Arial"/>
          <w:sz w:val="17"/>
          <w:szCs w:val="17"/>
          <w:color w:val="auto"/>
        </w:rPr>
        <w:t>.</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42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color w:val="auto"/>
              </w:rPr>
              <w:t>Exhibit No.</w:t>
            </w:r>
          </w:p>
        </w:tc>
        <w:tc>
          <w:tcPr>
            <w:tcW w:w="140" w:type="dxa"/>
            <w:vAlign w:val="bottom"/>
          </w:tcPr>
          <w:p>
            <w:pPr>
              <w:spacing w:after="0"/>
              <w:rPr>
                <w:sz w:val="16"/>
                <w:szCs w:val="16"/>
                <w:color w:val="auto"/>
              </w:rPr>
            </w:pPr>
          </w:p>
        </w:tc>
        <w:tc>
          <w:tcPr>
            <w:tcW w:w="75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Description</w:t>
            </w:r>
          </w:p>
        </w:tc>
        <w:tc>
          <w:tcPr>
            <w:tcW w:w="140" w:type="dxa"/>
            <w:vAlign w:val="bottom"/>
          </w:tcPr>
          <w:p>
            <w:pPr>
              <w:spacing w:after="0"/>
              <w:rPr>
                <w:sz w:val="16"/>
                <w:szCs w:val="16"/>
                <w:color w:val="auto"/>
              </w:rPr>
            </w:pP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8"/>
              </w:rPr>
              <w:t>Method of Filing</w:t>
            </w:r>
          </w:p>
        </w:tc>
      </w:tr>
      <w:tr>
        <w:trPr>
          <w:trHeight w:val="209"/>
        </w:trPr>
        <w:tc>
          <w:tcPr>
            <w:tcW w:w="1420" w:type="dxa"/>
            <w:vAlign w:val="bottom"/>
            <w:gridSpan w:val="3"/>
          </w:tcPr>
          <w:p>
            <w:pPr>
              <w:ind w:left="1060"/>
              <w:spacing w:after="0"/>
              <w:rPr>
                <w:sz w:val="20"/>
                <w:szCs w:val="20"/>
                <w:color w:val="auto"/>
              </w:rPr>
            </w:pPr>
            <w:r>
              <w:rPr>
                <w:rFonts w:ascii="Arial" w:cs="Arial" w:eastAsia="Arial" w:hAnsi="Arial"/>
                <w:sz w:val="17"/>
                <w:szCs w:val="17"/>
                <w:color w:val="0000FF"/>
              </w:rPr>
              <w:t>99.</w:t>
            </w:r>
            <w:r>
              <w:rPr>
                <w:rFonts w:ascii="Arial" w:cs="Arial" w:eastAsia="Arial" w:hAnsi="Arial"/>
                <w:sz w:val="17"/>
                <w:szCs w:val="17"/>
                <w:u w:val="single" w:color="auto"/>
                <w:color w:val="0000FF"/>
              </w:rPr>
              <w:t>1</w:t>
            </w:r>
          </w:p>
        </w:tc>
        <w:tc>
          <w:tcPr>
            <w:tcW w:w="140" w:type="dxa"/>
            <w:vAlign w:val="bottom"/>
          </w:tcPr>
          <w:p>
            <w:pPr>
              <w:spacing w:after="0"/>
              <w:rPr>
                <w:sz w:val="18"/>
                <w:szCs w:val="18"/>
                <w:color w:val="auto"/>
              </w:rPr>
            </w:pPr>
          </w:p>
        </w:tc>
        <w:tc>
          <w:tcPr>
            <w:tcW w:w="7640" w:type="dxa"/>
            <w:vAlign w:val="bottom"/>
            <w:gridSpan w:val="2"/>
          </w:tcPr>
          <w:p>
            <w:pPr>
              <w:ind w:left="20"/>
              <w:spacing w:after="0"/>
              <w:rPr>
                <w:sz w:val="20"/>
                <w:szCs w:val="20"/>
                <w:color w:val="auto"/>
              </w:rPr>
            </w:pPr>
            <w:r>
              <w:rPr>
                <w:rFonts w:ascii="Arial" w:cs="Arial" w:eastAsia="Arial" w:hAnsi="Arial"/>
                <w:sz w:val="17"/>
                <w:szCs w:val="17"/>
                <w:color w:val="auto"/>
              </w:rPr>
              <w:t>Press Release, dated May 13, 2026, announcing financial results of Hawkins, Inc. for its fourth</w:t>
            </w:r>
          </w:p>
        </w:tc>
        <w:tc>
          <w:tcPr>
            <w:tcW w:w="2040" w:type="dxa"/>
            <w:vAlign w:val="bottom"/>
          </w:tcPr>
          <w:p>
            <w:pPr>
              <w:jc w:val="center"/>
              <w:spacing w:after="0"/>
              <w:rPr>
                <w:sz w:val="20"/>
                <w:szCs w:val="20"/>
                <w:color w:val="auto"/>
              </w:rPr>
            </w:pPr>
            <w:r>
              <w:rPr>
                <w:rFonts w:ascii="Arial" w:cs="Arial" w:eastAsia="Arial" w:hAnsi="Arial"/>
                <w:sz w:val="17"/>
                <w:szCs w:val="17"/>
                <w:color w:val="auto"/>
              </w:rPr>
              <w:t>Filed Electronically</w:t>
            </w:r>
          </w:p>
        </w:tc>
      </w:tr>
      <w:tr>
        <w:trPr>
          <w:trHeight w:val="200"/>
        </w:trPr>
        <w:tc>
          <w:tcPr>
            <w:tcW w:w="1060" w:type="dxa"/>
            <w:vAlign w:val="bottom"/>
          </w:tcPr>
          <w:p>
            <w:pPr>
              <w:spacing w:after="0"/>
              <w:rPr>
                <w:sz w:val="17"/>
                <w:szCs w:val="17"/>
                <w:color w:val="auto"/>
              </w:rPr>
            </w:pPr>
          </w:p>
        </w:tc>
        <w:tc>
          <w:tcPr>
            <w:tcW w:w="34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40" w:type="dxa"/>
            <w:vAlign w:val="bottom"/>
            <w:gridSpan w:val="2"/>
          </w:tcPr>
          <w:p>
            <w:pPr>
              <w:ind w:left="20"/>
              <w:spacing w:after="0"/>
              <w:rPr>
                <w:sz w:val="20"/>
                <w:szCs w:val="20"/>
                <w:color w:val="auto"/>
              </w:rPr>
            </w:pPr>
            <w:r>
              <w:rPr>
                <w:rFonts w:ascii="Arial" w:cs="Arial" w:eastAsia="Arial" w:hAnsi="Arial"/>
                <w:sz w:val="17"/>
                <w:szCs w:val="17"/>
                <w:color w:val="auto"/>
              </w:rPr>
              <w:t>quarter and fiscal year ended March 29, 2026.</w:t>
            </w:r>
          </w:p>
        </w:tc>
        <w:tc>
          <w:tcPr>
            <w:tcW w:w="2040" w:type="dxa"/>
            <w:vAlign w:val="bottom"/>
          </w:tcPr>
          <w:p>
            <w:pPr>
              <w:spacing w:after="0"/>
              <w:rPr>
                <w:sz w:val="17"/>
                <w:szCs w:val="17"/>
                <w:color w:val="auto"/>
              </w:rPr>
            </w:pPr>
          </w:p>
        </w:tc>
      </w:tr>
      <w:tr>
        <w:trPr>
          <w:trHeight w:val="228"/>
        </w:trPr>
        <w:tc>
          <w:tcPr>
            <w:tcW w:w="1400" w:type="dxa"/>
            <w:vAlign w:val="bottom"/>
            <w:gridSpan w:val="2"/>
          </w:tcPr>
          <w:p>
            <w:pPr>
              <w:ind w:left="1060"/>
              <w:spacing w:after="0"/>
              <w:rPr>
                <w:sz w:val="20"/>
                <w:szCs w:val="20"/>
                <w:color w:val="auto"/>
              </w:rPr>
            </w:pPr>
            <w:r>
              <w:rPr>
                <w:rFonts w:ascii="Arial" w:cs="Arial" w:eastAsia="Arial" w:hAnsi="Arial"/>
                <w:sz w:val="17"/>
                <w:szCs w:val="17"/>
                <w:color w:val="auto"/>
              </w:rPr>
              <w:t>104</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40" w:type="dxa"/>
            <w:vAlign w:val="bottom"/>
            <w:gridSpan w:val="2"/>
          </w:tcPr>
          <w:p>
            <w:pPr>
              <w:ind w:left="20"/>
              <w:spacing w:after="0"/>
              <w:rPr>
                <w:sz w:val="20"/>
                <w:szCs w:val="20"/>
                <w:color w:val="auto"/>
              </w:rPr>
            </w:pPr>
            <w:r>
              <w:rPr>
                <w:rFonts w:ascii="Arial" w:cs="Arial" w:eastAsia="Arial" w:hAnsi="Arial"/>
                <w:sz w:val="17"/>
                <w:szCs w:val="17"/>
                <w:color w:val="auto"/>
              </w:rPr>
              <w:t>Cover Page Interactive Data File (embedded within the inline XBRL document)</w:t>
            </w:r>
          </w:p>
        </w:tc>
        <w:tc>
          <w:tcPr>
            <w:tcW w:w="2040" w:type="dxa"/>
            <w:vAlign w:val="bottom"/>
          </w:tcPr>
          <w:p>
            <w:pPr>
              <w:jc w:val="center"/>
              <w:spacing w:after="0"/>
              <w:rPr>
                <w:sz w:val="20"/>
                <w:szCs w:val="20"/>
                <w:color w:val="auto"/>
              </w:rPr>
            </w:pPr>
            <w:r>
              <w:rPr>
                <w:rFonts w:ascii="Arial" w:cs="Arial" w:eastAsia="Arial" w:hAnsi="Arial"/>
                <w:sz w:val="17"/>
                <w:szCs w:val="17"/>
                <w:color w:val="auto"/>
              </w:rPr>
              <w:t>Filed Electronically</w:t>
            </w:r>
          </w:p>
        </w:tc>
      </w:tr>
      <w:tr>
        <w:trPr>
          <w:trHeight w:val="1164"/>
        </w:trPr>
        <w:tc>
          <w:tcPr>
            <w:tcW w:w="10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75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2" w:name="page3"/>
    <w:bookmarkEnd w:id="2"/>
    <w:p>
      <w:pPr>
        <w:jc w:val="center"/>
        <w:ind w:right="-139"/>
        <w:spacing w:after="0"/>
        <w:rPr>
          <w:sz w:val="20"/>
          <w:szCs w:val="20"/>
          <w:color w:val="auto"/>
        </w:rPr>
      </w:pPr>
      <w:r>
        <w:rPr>
          <w:rFonts w:ascii="Arial" w:cs="Arial" w:eastAsia="Arial" w:hAnsi="Arial"/>
          <w:sz w:val="17"/>
          <w:szCs w:val="17"/>
          <w:b w:val="1"/>
          <w:bCs w:val="1"/>
          <w:color w:val="auto"/>
        </w:rPr>
        <w:t>SIGNATURES</w:t>
      </w:r>
    </w:p>
    <w:p>
      <w:pPr>
        <w:spacing w:after="0" w:line="168" w:lineRule="exact"/>
        <w:rPr>
          <w:sz w:val="20"/>
          <w:szCs w:val="20"/>
          <w:color w:val="auto"/>
        </w:rPr>
      </w:pPr>
    </w:p>
    <w:p>
      <w:pPr>
        <w:ind w:firstLine="425"/>
        <w:spacing w:after="0" w:line="290"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hereunto duly authorized.</w:t>
      </w:r>
    </w:p>
    <w:p>
      <w:pPr>
        <w:spacing w:after="0" w:line="159" w:lineRule="exact"/>
        <w:rPr>
          <w:sz w:val="20"/>
          <w:szCs w:val="20"/>
          <w:color w:val="auto"/>
        </w:rPr>
      </w:pPr>
    </w:p>
    <w:p>
      <w:pPr>
        <w:ind w:left="4500"/>
        <w:spacing w:after="0"/>
        <w:rPr>
          <w:sz w:val="20"/>
          <w:szCs w:val="20"/>
          <w:color w:val="auto"/>
        </w:rPr>
      </w:pPr>
      <w:r>
        <w:rPr>
          <w:rFonts w:ascii="Arial" w:cs="Arial" w:eastAsia="Arial" w:hAnsi="Arial"/>
          <w:sz w:val="17"/>
          <w:szCs w:val="17"/>
          <w:color w:val="auto"/>
        </w:rPr>
        <w:t>HAWKINS, INC.</w:t>
      </w:r>
    </w:p>
    <w:p>
      <w:pPr>
        <w:spacing w:after="0" w:line="75" w:lineRule="exact"/>
        <w:rPr>
          <w:sz w:val="20"/>
          <w:szCs w:val="20"/>
          <w:color w:val="auto"/>
        </w:rPr>
      </w:pPr>
    </w:p>
    <w:p>
      <w:pPr>
        <w:ind w:left="20"/>
        <w:spacing w:after="0"/>
        <w:tabs>
          <w:tab w:leader="none" w:pos="4480" w:val="left"/>
          <w:tab w:leader="none" w:pos="7180" w:val="left"/>
        </w:tabs>
        <w:rPr>
          <w:sz w:val="20"/>
          <w:szCs w:val="20"/>
          <w:color w:val="auto"/>
        </w:rPr>
      </w:pPr>
      <w:r>
        <w:rPr>
          <w:rFonts w:ascii="Arial" w:cs="Arial" w:eastAsia="Arial" w:hAnsi="Arial"/>
          <w:sz w:val="17"/>
          <w:szCs w:val="17"/>
          <w:color w:val="auto"/>
        </w:rPr>
        <w:t>Date: May 13, 2026</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6"/>
          <w:szCs w:val="16"/>
          <w:color w:val="auto"/>
        </w:rPr>
        <w:t>/s/ Jeffrey P. Oldenkamp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3202940</wp:posOffset>
            </wp:positionH>
            <wp:positionV relativeFrom="paragraph">
              <wp:posOffset>17780</wp:posOffset>
            </wp:positionV>
            <wp:extent cx="39128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912870" cy="8255"/>
                    </a:xfrm>
                    <a:prstGeom prst="rect">
                      <a:avLst/>
                    </a:prstGeom>
                    <a:noFill/>
                  </pic:spPr>
                </pic:pic>
              </a:graphicData>
            </a:graphic>
          </wp:anchor>
        </w:drawing>
      </w:r>
    </w:p>
    <w:p>
      <w:pPr>
        <w:spacing w:after="0" w:line="17" w:lineRule="exact"/>
        <w:rPr>
          <w:sz w:val="20"/>
          <w:szCs w:val="20"/>
          <w:color w:val="auto"/>
        </w:rPr>
      </w:pPr>
    </w:p>
    <w:p>
      <w:pPr>
        <w:ind w:left="7320"/>
        <w:spacing w:after="0"/>
        <w:rPr>
          <w:sz w:val="20"/>
          <w:szCs w:val="20"/>
          <w:color w:val="auto"/>
        </w:rPr>
      </w:pPr>
      <w:r>
        <w:rPr>
          <w:rFonts w:ascii="Arial" w:cs="Arial" w:eastAsia="Arial" w:hAnsi="Arial"/>
          <w:sz w:val="17"/>
          <w:szCs w:val="17"/>
          <w:color w:val="auto"/>
        </w:rPr>
        <w:t>Jeffrey P. Oldenkamp</w:t>
      </w:r>
    </w:p>
    <w:p>
      <w:pPr>
        <w:spacing w:after="0" w:line="37" w:lineRule="exact"/>
        <w:rPr>
          <w:sz w:val="20"/>
          <w:szCs w:val="20"/>
          <w:color w:val="auto"/>
        </w:rPr>
      </w:pPr>
    </w:p>
    <w:p>
      <w:pPr>
        <w:ind w:left="5060"/>
        <w:spacing w:after="0"/>
        <w:rPr>
          <w:sz w:val="20"/>
          <w:szCs w:val="20"/>
          <w:color w:val="auto"/>
        </w:rPr>
      </w:pPr>
      <w:r>
        <w:rPr>
          <w:rFonts w:ascii="Arial" w:cs="Arial" w:eastAsia="Arial" w:hAnsi="Arial"/>
          <w:sz w:val="17"/>
          <w:szCs w:val="17"/>
          <w:color w:val="auto"/>
        </w:rPr>
        <w:t>Executive Vice President and Chief Financial Officer</w:t>
      </w:r>
    </w:p>
    <w:p>
      <w:pPr>
        <w:sectPr>
          <w:pgSz w:w="11900" w:h="16838" w:orient="portrait"/>
          <w:cols w:equalWidth="0" w:num="1">
            <w:col w:w="11100"/>
          </w:cols>
          <w:pgMar w:left="320" w:top="856" w:right="479" w:bottom="1440" w:gutter="0" w:footer="0" w:header="0"/>
        </w:sectPr>
      </w:pPr>
    </w:p>
    <w:bookmarkStart w:id="3" w:name="page4"/>
    <w:bookmarkEnd w:id="3"/>
    <w:p>
      <w:pPr>
        <w:ind w:left="10320"/>
        <w:spacing w:after="0"/>
        <w:rPr>
          <w:sz w:val="20"/>
          <w:szCs w:val="20"/>
          <w:color w:val="auto"/>
        </w:rPr>
      </w:pPr>
      <w:r>
        <w:rPr>
          <w:rFonts w:ascii="Arial" w:cs="Arial" w:eastAsia="Arial" w:hAnsi="Arial"/>
          <w:sz w:val="17"/>
          <w:szCs w:val="17"/>
          <w:color w:val="auto"/>
        </w:rPr>
        <w:t>Exhibit 99.1</w:t>
      </w:r>
    </w:p>
    <w:p>
      <w:pPr>
        <w:spacing w:after="0" w:line="30" w:lineRule="exact"/>
        <w:rPr>
          <w:sz w:val="20"/>
          <w:szCs w:val="20"/>
          <w:color w:val="auto"/>
        </w:rPr>
      </w:pPr>
    </w:p>
    <w:p>
      <w:pPr>
        <w:ind w:left="40"/>
        <w:spacing w:after="0"/>
        <w:rPr>
          <w:sz w:val="20"/>
          <w:szCs w:val="20"/>
          <w:color w:val="auto"/>
        </w:rPr>
      </w:pPr>
      <w:r>
        <w:rPr>
          <w:rFonts w:ascii="Arial" w:cs="Arial" w:eastAsia="Arial" w:hAnsi="Arial"/>
          <w:sz w:val="17"/>
          <w:szCs w:val="17"/>
          <w:color w:val="auto"/>
        </w:rPr>
        <w:t>May 13, 2026</w:t>
      </w:r>
    </w:p>
    <w:p>
      <w:pPr>
        <w:spacing w:after="0" w:line="24" w:lineRule="exact"/>
        <w:rPr>
          <w:sz w:val="20"/>
          <w:szCs w:val="20"/>
          <w:color w:val="auto"/>
        </w:rPr>
      </w:pPr>
    </w:p>
    <w:p>
      <w:pPr>
        <w:ind w:left="40"/>
        <w:spacing w:after="0"/>
        <w:rPr>
          <w:sz w:val="20"/>
          <w:szCs w:val="20"/>
          <w:color w:val="auto"/>
        </w:rPr>
      </w:pPr>
      <w:r>
        <w:rPr>
          <w:rFonts w:ascii="Arial" w:cs="Arial" w:eastAsia="Arial" w:hAnsi="Arial"/>
          <w:sz w:val="17"/>
          <w:szCs w:val="17"/>
          <w:color w:val="auto"/>
        </w:rPr>
        <w:t>Hawkins, Inc.</w:t>
      </w:r>
    </w:p>
    <w:p>
      <w:pPr>
        <w:spacing w:after="0" w:line="24" w:lineRule="exact"/>
        <w:rPr>
          <w:sz w:val="20"/>
          <w:szCs w:val="20"/>
          <w:color w:val="auto"/>
        </w:rPr>
      </w:pPr>
    </w:p>
    <w:p>
      <w:pPr>
        <w:ind w:left="40"/>
        <w:spacing w:after="0"/>
        <w:rPr>
          <w:sz w:val="20"/>
          <w:szCs w:val="20"/>
          <w:color w:val="auto"/>
        </w:rPr>
      </w:pPr>
      <w:r>
        <w:rPr>
          <w:rFonts w:ascii="Arial" w:cs="Arial" w:eastAsia="Arial" w:hAnsi="Arial"/>
          <w:sz w:val="17"/>
          <w:szCs w:val="17"/>
          <w:color w:val="auto"/>
        </w:rPr>
        <w:t>2381 Rosegate</w:t>
      </w:r>
    </w:p>
    <w:p>
      <w:pPr>
        <w:spacing w:after="0" w:line="24" w:lineRule="exact"/>
        <w:rPr>
          <w:sz w:val="20"/>
          <w:szCs w:val="20"/>
          <w:color w:val="auto"/>
        </w:rPr>
      </w:pPr>
    </w:p>
    <w:p>
      <w:pPr>
        <w:ind w:left="40"/>
        <w:spacing w:after="0"/>
        <w:rPr>
          <w:sz w:val="20"/>
          <w:szCs w:val="20"/>
          <w:color w:val="auto"/>
        </w:rPr>
      </w:pPr>
      <w:r>
        <w:rPr>
          <w:rFonts w:ascii="Arial" w:cs="Arial" w:eastAsia="Arial" w:hAnsi="Arial"/>
          <w:sz w:val="17"/>
          <w:szCs w:val="17"/>
          <w:color w:val="auto"/>
        </w:rPr>
        <w:t>Roseville, MN 55113</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Hawkins, Inc. Reports</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Fourth Quarter and Fiscal Year 2026 Results</w:t>
      </w:r>
    </w:p>
    <w:p>
      <w:pPr>
        <w:spacing w:after="0" w:line="149" w:lineRule="exact"/>
        <w:rPr>
          <w:sz w:val="20"/>
          <w:szCs w:val="20"/>
          <w:color w:val="auto"/>
        </w:rPr>
      </w:pPr>
    </w:p>
    <w:p>
      <w:pPr>
        <w:spacing w:after="0" w:line="290" w:lineRule="auto"/>
        <w:rPr>
          <w:sz w:val="20"/>
          <w:szCs w:val="20"/>
          <w:color w:val="auto"/>
        </w:rPr>
      </w:pPr>
      <w:r>
        <w:rPr>
          <w:rFonts w:ascii="Arial" w:cs="Arial" w:eastAsia="Arial" w:hAnsi="Arial"/>
          <w:sz w:val="17"/>
          <w:szCs w:val="17"/>
          <w:color w:val="auto"/>
        </w:rPr>
        <w:t>ROSEVILLE, Minn., May 13, 2026 – Hawkins, Inc. (Nasdaq: HWKN) today announced fourth quarter and full-year results for its fiscal year ended March 29, 2026.</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Fourth Quarter Fiscal Year 2026 Highlights:</w:t>
      </w:r>
    </w:p>
    <w:p>
      <w:pPr>
        <w:spacing w:after="0" w:line="64" w:lineRule="exact"/>
        <w:rPr>
          <w:sz w:val="20"/>
          <w:szCs w:val="20"/>
          <w:color w:val="auto"/>
        </w:rPr>
      </w:pPr>
    </w:p>
    <w:p>
      <w:pPr>
        <w:ind w:left="620" w:hanging="307"/>
        <w:spacing w:after="0" w:line="290" w:lineRule="auto"/>
        <w:tabs>
          <w:tab w:leader="none" w:pos="590" w:val="left"/>
        </w:tabs>
        <w:numPr>
          <w:ilvl w:val="0"/>
          <w:numId w:val="2"/>
        </w:numPr>
        <w:rPr>
          <w:rFonts w:ascii="Arial" w:cs="Arial" w:eastAsia="Arial" w:hAnsi="Arial"/>
          <w:sz w:val="17"/>
          <w:szCs w:val="17"/>
          <w:color w:val="auto"/>
        </w:rPr>
      </w:pPr>
      <w:r>
        <w:rPr>
          <w:rFonts w:ascii="Arial" w:cs="Arial" w:eastAsia="Arial" w:hAnsi="Arial"/>
          <w:sz w:val="17"/>
          <w:szCs w:val="17"/>
          <w:color w:val="auto"/>
        </w:rPr>
        <w:t>Record fourth quarter sales of $265.9 million, an 8% increase over the same quarter of the prior year, led by Water Treatment segment sales growth of 16% over the same quarter in the prior year. All segments grew revenue in the fourth quarter 2026.</w:t>
      </w:r>
    </w:p>
    <w:p>
      <w:pPr>
        <w:spacing w:after="0" w:line="94" w:lineRule="exact"/>
        <w:rPr>
          <w:rFonts w:ascii="Arial" w:cs="Arial" w:eastAsia="Arial" w:hAnsi="Arial"/>
          <w:sz w:val="17"/>
          <w:szCs w:val="17"/>
          <w:color w:val="auto"/>
        </w:rPr>
      </w:pPr>
    </w:p>
    <w:p>
      <w:pPr>
        <w:ind w:left="600" w:hanging="287"/>
        <w:spacing w:after="0"/>
        <w:tabs>
          <w:tab w:leader="none" w:pos="600" w:val="left"/>
        </w:tabs>
        <w:numPr>
          <w:ilvl w:val="0"/>
          <w:numId w:val="2"/>
        </w:numPr>
        <w:rPr>
          <w:rFonts w:ascii="Arial" w:cs="Arial" w:eastAsia="Arial" w:hAnsi="Arial"/>
          <w:sz w:val="17"/>
          <w:szCs w:val="17"/>
          <w:color w:val="auto"/>
        </w:rPr>
      </w:pPr>
      <w:r>
        <w:rPr>
          <w:rFonts w:ascii="Arial" w:cs="Arial" w:eastAsia="Arial" w:hAnsi="Arial"/>
          <w:sz w:val="17"/>
          <w:szCs w:val="17"/>
          <w:color w:val="auto"/>
        </w:rPr>
        <w:t>Record fourth quarter gross profit of $54.2 million, a 4% increase over the same quarter of the prior year.</w:t>
      </w:r>
    </w:p>
    <w:p>
      <w:pPr>
        <w:spacing w:after="0" w:line="165" w:lineRule="exact"/>
        <w:rPr>
          <w:rFonts w:ascii="Arial" w:cs="Arial" w:eastAsia="Arial" w:hAnsi="Arial"/>
          <w:sz w:val="17"/>
          <w:szCs w:val="17"/>
          <w:color w:val="auto"/>
        </w:rPr>
      </w:pPr>
    </w:p>
    <w:p>
      <w:pPr>
        <w:jc w:val="both"/>
        <w:ind w:left="620" w:hanging="307"/>
        <w:spacing w:after="0" w:line="265" w:lineRule="auto"/>
        <w:tabs>
          <w:tab w:leader="none" w:pos="590" w:val="left"/>
        </w:tabs>
        <w:numPr>
          <w:ilvl w:val="0"/>
          <w:numId w:val="2"/>
        </w:numPr>
        <w:rPr>
          <w:rFonts w:ascii="Arial" w:cs="Arial" w:eastAsia="Arial" w:hAnsi="Arial"/>
          <w:sz w:val="17"/>
          <w:szCs w:val="17"/>
          <w:color w:val="auto"/>
        </w:rPr>
      </w:pPr>
      <w:r>
        <w:rPr>
          <w:rFonts w:ascii="Arial" w:cs="Arial" w:eastAsia="Arial" w:hAnsi="Arial"/>
          <w:sz w:val="17"/>
          <w:szCs w:val="17"/>
          <w:color w:val="auto"/>
        </w:rPr>
        <w:t>Fourth quarter diluted earnings per share (EPS) of $0.74, a decrease of $0.04, or 5%, due primarily to an approximately $4.4 million increase in amortization, interest expense, and fair value accretion related to the earnout liability from the six acquisitions completed in fiscal 2026, including the largest, WaterSurplus, which closed in the first quarter of fiscal 2026. Assuming the acquisition of WaterSurplus had occurred at the beginning of the prior fiscal year, pro forma EPS would have been 9% higher than the comparable prior year.</w:t>
      </w:r>
    </w:p>
    <w:p>
      <w:pPr>
        <w:spacing w:after="0" w:line="116" w:lineRule="exact"/>
        <w:rPr>
          <w:rFonts w:ascii="Arial" w:cs="Arial" w:eastAsia="Arial" w:hAnsi="Arial"/>
          <w:sz w:val="17"/>
          <w:szCs w:val="17"/>
          <w:color w:val="auto"/>
        </w:rPr>
      </w:pPr>
    </w:p>
    <w:p>
      <w:pPr>
        <w:ind w:left="600" w:hanging="287"/>
        <w:spacing w:after="0"/>
        <w:tabs>
          <w:tab w:leader="none" w:pos="600" w:val="left"/>
        </w:tabs>
        <w:numPr>
          <w:ilvl w:val="0"/>
          <w:numId w:val="2"/>
        </w:numPr>
        <w:rPr>
          <w:rFonts w:ascii="Arial" w:cs="Arial" w:eastAsia="Arial" w:hAnsi="Arial"/>
          <w:sz w:val="17"/>
          <w:szCs w:val="17"/>
          <w:color w:val="auto"/>
        </w:rPr>
      </w:pPr>
      <w:r>
        <w:rPr>
          <w:rFonts w:ascii="Arial" w:cs="Arial" w:eastAsia="Arial" w:hAnsi="Arial"/>
          <w:sz w:val="17"/>
          <w:szCs w:val="17"/>
          <w:color w:val="auto"/>
        </w:rPr>
        <w:t>Fourth quarter operating cash flow of $37.7 million, an increase of $6.9 million, or 22% over the same quarter in the prior year.</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Full-Year Fiscal Year 2026 Highlights:</w:t>
      </w:r>
    </w:p>
    <w:p>
      <w:pPr>
        <w:spacing w:after="0" w:line="64" w:lineRule="exact"/>
        <w:rPr>
          <w:sz w:val="20"/>
          <w:szCs w:val="20"/>
          <w:color w:val="auto"/>
        </w:rPr>
      </w:pPr>
    </w:p>
    <w:p>
      <w:pPr>
        <w:ind w:left="600" w:hanging="287"/>
        <w:spacing w:after="0"/>
        <w:tabs>
          <w:tab w:leader="none" w:pos="600" w:val="left"/>
        </w:tabs>
        <w:numPr>
          <w:ilvl w:val="0"/>
          <w:numId w:val="3"/>
        </w:numPr>
        <w:rPr>
          <w:rFonts w:ascii="Arial" w:cs="Arial" w:eastAsia="Arial" w:hAnsi="Arial"/>
          <w:sz w:val="17"/>
          <w:szCs w:val="17"/>
          <w:color w:val="auto"/>
        </w:rPr>
      </w:pPr>
      <w:r>
        <w:rPr>
          <w:rFonts w:ascii="Arial" w:cs="Arial" w:eastAsia="Arial" w:hAnsi="Arial"/>
          <w:sz w:val="17"/>
          <w:szCs w:val="17"/>
          <w:color w:val="auto"/>
        </w:rPr>
        <w:t>Sales of approximately $1.1 billion, an increase of $109.3 million, or 11% from fiscal 2025.</w:t>
      </w:r>
    </w:p>
    <w:p>
      <w:pPr>
        <w:spacing w:after="0" w:line="165" w:lineRule="exact"/>
        <w:rPr>
          <w:rFonts w:ascii="Arial" w:cs="Arial" w:eastAsia="Arial" w:hAnsi="Arial"/>
          <w:sz w:val="17"/>
          <w:szCs w:val="17"/>
          <w:color w:val="auto"/>
        </w:rPr>
      </w:pPr>
    </w:p>
    <w:p>
      <w:pPr>
        <w:ind w:left="600" w:hanging="287"/>
        <w:spacing w:after="0"/>
        <w:tabs>
          <w:tab w:leader="none" w:pos="600" w:val="left"/>
        </w:tabs>
        <w:numPr>
          <w:ilvl w:val="0"/>
          <w:numId w:val="3"/>
        </w:numPr>
        <w:rPr>
          <w:rFonts w:ascii="Arial" w:cs="Arial" w:eastAsia="Arial" w:hAnsi="Arial"/>
          <w:sz w:val="17"/>
          <w:szCs w:val="17"/>
          <w:color w:val="auto"/>
        </w:rPr>
      </w:pPr>
      <w:r>
        <w:rPr>
          <w:rFonts w:ascii="Arial" w:cs="Arial" w:eastAsia="Arial" w:hAnsi="Arial"/>
          <w:sz w:val="17"/>
          <w:szCs w:val="17"/>
          <w:color w:val="auto"/>
        </w:rPr>
        <w:t>Gross profit of $245.1 million, an increase of $19.5 million, or 9% from fiscal 2025.</w:t>
      </w:r>
    </w:p>
    <w:p>
      <w:pPr>
        <w:spacing w:after="0" w:line="165" w:lineRule="exact"/>
        <w:rPr>
          <w:rFonts w:ascii="Arial" w:cs="Arial" w:eastAsia="Arial" w:hAnsi="Arial"/>
          <w:sz w:val="17"/>
          <w:szCs w:val="17"/>
          <w:color w:val="auto"/>
        </w:rPr>
      </w:pPr>
    </w:p>
    <w:p>
      <w:pPr>
        <w:ind w:left="600" w:hanging="287"/>
        <w:spacing w:after="0"/>
        <w:tabs>
          <w:tab w:leader="none" w:pos="600" w:val="left"/>
        </w:tabs>
        <w:numPr>
          <w:ilvl w:val="0"/>
          <w:numId w:val="3"/>
        </w:numPr>
        <w:rPr>
          <w:rFonts w:ascii="Arial" w:cs="Arial" w:eastAsia="Arial" w:hAnsi="Arial"/>
          <w:sz w:val="17"/>
          <w:szCs w:val="17"/>
          <w:color w:val="auto"/>
        </w:rPr>
      </w:pPr>
      <w:r>
        <w:rPr>
          <w:rFonts w:ascii="Arial" w:cs="Arial" w:eastAsia="Arial" w:hAnsi="Arial"/>
          <w:sz w:val="17"/>
          <w:szCs w:val="17"/>
          <w:color w:val="auto"/>
        </w:rPr>
        <w:t>Operating cash flow of $144.3 million, an increase of $33.2 million, or 30% from fiscal 2025.</w:t>
      </w:r>
    </w:p>
    <w:p>
      <w:pPr>
        <w:spacing w:after="0" w:line="165" w:lineRule="exact"/>
        <w:rPr>
          <w:rFonts w:ascii="Arial" w:cs="Arial" w:eastAsia="Arial" w:hAnsi="Arial"/>
          <w:sz w:val="17"/>
          <w:szCs w:val="17"/>
          <w:color w:val="auto"/>
        </w:rPr>
      </w:pPr>
    </w:p>
    <w:p>
      <w:pPr>
        <w:jc w:val="both"/>
        <w:ind w:left="620" w:hanging="307"/>
        <w:spacing w:after="0" w:line="265" w:lineRule="auto"/>
        <w:tabs>
          <w:tab w:leader="none" w:pos="590" w:val="left"/>
        </w:tabs>
        <w:numPr>
          <w:ilvl w:val="0"/>
          <w:numId w:val="3"/>
        </w:numPr>
        <w:rPr>
          <w:rFonts w:ascii="Arial" w:cs="Arial" w:eastAsia="Arial" w:hAnsi="Arial"/>
          <w:sz w:val="17"/>
          <w:szCs w:val="17"/>
          <w:color w:val="auto"/>
        </w:rPr>
      </w:pPr>
      <w:r>
        <w:rPr>
          <w:rFonts w:ascii="Arial" w:cs="Arial" w:eastAsia="Arial" w:hAnsi="Arial"/>
          <w:sz w:val="17"/>
          <w:szCs w:val="17"/>
          <w:color w:val="auto"/>
        </w:rPr>
        <w:t>Diluted earnings per share (EPS) of $3.91, a decrease of $0.12, or 3%, from fiscal 2025, due primarily to an approximately $16.5 million increase in amortization, interest expense, and fair value accretion related to the earnout liability from the six acquisitions completed in fiscal 2026, including WaterSurplus. Assuming the acquisition of WaterSurplus had occurred at the beginning of the prior fiscal year, pro forma EPS would have increased by $0.32, or 9%, over the prior fiscal year.</w:t>
      </w:r>
    </w:p>
    <w:p>
      <w:pPr>
        <w:spacing w:after="0" w:line="116" w:lineRule="exact"/>
        <w:rPr>
          <w:rFonts w:ascii="Arial" w:cs="Arial" w:eastAsia="Arial" w:hAnsi="Arial"/>
          <w:sz w:val="17"/>
          <w:szCs w:val="17"/>
          <w:color w:val="auto"/>
        </w:rPr>
      </w:pPr>
    </w:p>
    <w:p>
      <w:pPr>
        <w:ind w:left="620" w:hanging="307"/>
        <w:spacing w:after="0" w:line="290" w:lineRule="auto"/>
        <w:tabs>
          <w:tab w:leader="none" w:pos="590" w:val="left"/>
        </w:tabs>
        <w:numPr>
          <w:ilvl w:val="0"/>
          <w:numId w:val="3"/>
        </w:numPr>
        <w:rPr>
          <w:rFonts w:ascii="Arial" w:cs="Arial" w:eastAsia="Arial" w:hAnsi="Arial"/>
          <w:sz w:val="17"/>
          <w:szCs w:val="17"/>
          <w:color w:val="auto"/>
        </w:rPr>
      </w:pPr>
      <w:r>
        <w:rPr>
          <w:rFonts w:ascii="Arial" w:cs="Arial" w:eastAsia="Arial" w:hAnsi="Arial"/>
          <w:sz w:val="17"/>
          <w:szCs w:val="17"/>
          <w:color w:val="auto"/>
        </w:rPr>
        <w:t>Net income was $81.5 million, while Adjusted Earnings Before Interest, Taxes, Depreciation, and Amortization (Adjusted EBITDA), a non-GAAP measure, was $179.0 million, an increase of 6% over the prior fiscal year.</w:t>
      </w:r>
    </w:p>
    <w:p>
      <w:pPr>
        <w:spacing w:after="0" w:line="94" w:lineRule="exact"/>
        <w:rPr>
          <w:rFonts w:ascii="Arial" w:cs="Arial" w:eastAsia="Arial" w:hAnsi="Arial"/>
          <w:sz w:val="17"/>
          <w:szCs w:val="17"/>
          <w:color w:val="auto"/>
        </w:rPr>
      </w:pPr>
    </w:p>
    <w:p>
      <w:pPr>
        <w:ind w:left="620" w:hanging="307"/>
        <w:spacing w:after="0" w:line="290" w:lineRule="auto"/>
        <w:tabs>
          <w:tab w:leader="none" w:pos="590" w:val="left"/>
        </w:tabs>
        <w:numPr>
          <w:ilvl w:val="0"/>
          <w:numId w:val="3"/>
        </w:numPr>
        <w:rPr>
          <w:rFonts w:ascii="Arial" w:cs="Arial" w:eastAsia="Arial" w:hAnsi="Arial"/>
          <w:sz w:val="17"/>
          <w:szCs w:val="17"/>
          <w:color w:val="auto"/>
        </w:rPr>
      </w:pPr>
      <w:r>
        <w:rPr>
          <w:rFonts w:ascii="Arial" w:cs="Arial" w:eastAsia="Arial" w:hAnsi="Arial"/>
          <w:sz w:val="17"/>
          <w:szCs w:val="17"/>
          <w:color w:val="auto"/>
        </w:rPr>
        <w:t>Continued our acquisitions strategy and closed on six transactions during the fiscal year, mainly focused on accelerating growth in the Water Treatment segment.</w:t>
      </w:r>
    </w:p>
    <w:p>
      <w:pPr>
        <w:spacing w:after="0" w:line="94" w:lineRule="exact"/>
        <w:rPr>
          <w:rFonts w:ascii="Arial" w:cs="Arial" w:eastAsia="Arial" w:hAnsi="Arial"/>
          <w:sz w:val="17"/>
          <w:szCs w:val="17"/>
          <w:color w:val="auto"/>
        </w:rPr>
      </w:pPr>
    </w:p>
    <w:p>
      <w:pPr>
        <w:ind w:left="620" w:hanging="307"/>
        <w:spacing w:after="0" w:line="290" w:lineRule="auto"/>
        <w:tabs>
          <w:tab w:leader="none" w:pos="590" w:val="left"/>
        </w:tabs>
        <w:numPr>
          <w:ilvl w:val="0"/>
          <w:numId w:val="3"/>
        </w:numPr>
        <w:rPr>
          <w:rFonts w:ascii="Arial" w:cs="Arial" w:eastAsia="Arial" w:hAnsi="Arial"/>
          <w:sz w:val="17"/>
          <w:szCs w:val="17"/>
          <w:color w:val="auto"/>
        </w:rPr>
      </w:pPr>
      <w:r>
        <w:rPr>
          <w:rFonts w:ascii="Arial" w:cs="Arial" w:eastAsia="Arial" w:hAnsi="Arial"/>
          <w:sz w:val="17"/>
          <w:szCs w:val="17"/>
          <w:color w:val="auto"/>
        </w:rPr>
        <w:t>Paid cash dividends of $0.75 per share for the year, an increase of 7% over the prior year, marking our 41st consecutive year of paying a dividend.</w:t>
      </w: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Executive Commentary – Patrick H. Hawkins, Chief Executive Officer and President:</w:t>
      </w:r>
    </w:p>
    <w:p>
      <w:pPr>
        <w:spacing w:after="0" w:line="11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“Fiscal 2026 was another milestone year for our company, as we crossed $1 billion in revenue, for the first time in our history. My thanks to every person connected to our great company for helping us accomplish this goal. This achievement resulted in a number of records for the year;</w:t>
      </w:r>
    </w:p>
    <w:p>
      <w:pPr>
        <w:spacing w:after="0" w:line="2" w:lineRule="exact"/>
        <w:rPr>
          <w:sz w:val="20"/>
          <w:szCs w:val="20"/>
          <w:color w:val="auto"/>
        </w:rPr>
      </w:pPr>
    </w:p>
    <w:p>
      <w:pPr>
        <w:spacing w:after="0" w:line="290" w:lineRule="auto"/>
        <w:rPr>
          <w:sz w:val="20"/>
          <w:szCs w:val="20"/>
          <w:color w:val="auto"/>
        </w:rPr>
      </w:pPr>
      <w:r>
        <w:rPr>
          <w:rFonts w:ascii="Arial" w:cs="Arial" w:eastAsia="Arial" w:hAnsi="Arial"/>
          <w:sz w:val="17"/>
          <w:szCs w:val="17"/>
          <w:color w:val="auto"/>
        </w:rPr>
        <w:t>including sales, gross margin, operating income, and adjusted EBITDA. Our focus has long been to deliver sustained growth over time, and we have continued to execute on that with pro forma EPS growth for the eighth consecutive year."</w:t>
      </w:r>
    </w:p>
    <w:p>
      <w:pPr>
        <w:sectPr>
          <w:pgSz w:w="11900" w:h="16838" w:orient="portrait"/>
          <w:cols w:equalWidth="0" w:num="1">
            <w:col w:w="11240"/>
          </w:cols>
          <w:pgMar w:left="320" w:top="780" w:right="339" w:bottom="1440" w:gutter="0" w:footer="0" w:header="0"/>
        </w:sectPr>
      </w:pPr>
    </w:p>
    <w:bookmarkStart w:id="4" w:name="page5"/>
    <w:bookmarkEnd w:id="4"/>
    <w:p>
      <w:pPr>
        <w:jc w:val="both"/>
        <w:spacing w:after="0" w:line="262" w:lineRule="auto"/>
        <w:rPr>
          <w:sz w:val="20"/>
          <w:szCs w:val="20"/>
          <w:color w:val="auto"/>
        </w:rPr>
      </w:pPr>
      <w:r>
        <w:rPr>
          <w:rFonts w:ascii="Arial" w:cs="Arial" w:eastAsia="Arial" w:hAnsi="Arial"/>
          <w:sz w:val="17"/>
          <w:szCs w:val="17"/>
          <w:color w:val="auto"/>
        </w:rPr>
        <w:t>Mr. Hawkins continued, "Our disciplined M&amp;A strategy remained a core competency for us and has again contributed to growth of Water Treatment, our largest reporting segment, which now represents 50% of our total company revenue and 56% of the total company operating income. We have completed 17 acquisitions over the last five years, most of which have helped to drive accelerated growth in our Water Treatment segment and we expect future acquisitions to continue to be focused on Water Treatment. With our latest deals, we now have a full product portfolio for our Water Treatment customers, including chemicals, media and filtration products, and equipment."</w:t>
      </w:r>
    </w:p>
    <w:p>
      <w:pPr>
        <w:spacing w:after="0" w:line="6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Mr. Hawkins continued, “Our Water Treatment segment achieved sales growth of 22% for the year, through sales from our acquired companies as well as organic growth. Sales in our Food and Health Sciences segment were relatively flat, mainly due to softness in the food and nutrition end markets, and our Industrial Solutions segment was up 6% for the year."</w:t>
      </w:r>
    </w:p>
    <w:p>
      <w:pPr>
        <w:spacing w:after="0" w:line="60"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Mr. Hawkins concluded, “Looking ahead to fiscal 2027, we are well positioned to grow revenue and operating income in each of our business segments and expect EPS to grow as well. We expect our balance sheet to remain strong, and with the diversity of our businesses and the overall strength of our company, we believe we will continue to generate strong operating cash flow. This will allow us to fund future growth investments and continue to pay down our debt during fiscal year 2027 as we expect to achieve a leverage ratio of approximately 1x adjusted EBITDA by the end of fiscal year 2027.”</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Fourth Quarter and Fiscal Year Financial Highlights: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NET INCOME</w:t>
      </w:r>
    </w:p>
    <w:p>
      <w:pPr>
        <w:spacing w:after="0" w:line="116"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For the fourth quarter of fiscal 2026, the company reported net income of $15.5 million, or $0.74 per diluted share, compared to net income for the fourth quarter of fiscal 2025 of $16.3 million, or $0.78 per diluted share.</w:t>
      </w:r>
    </w:p>
    <w:p>
      <w:pPr>
        <w:spacing w:after="0" w:line="43"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For the full year, the Company reported record net income of $81.5 million, or $3.91 per diluted share, compared to net income for fiscal 2025 of $84.3 million, or $4.03 per diluted share.</w:t>
      </w: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REVENUE</w:t>
      </w:r>
    </w:p>
    <w:p>
      <w:pPr>
        <w:spacing w:after="0" w:line="116"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For the fourth quarter of fiscal 2026, sales were $265.9 million, an increase of $20.6 million, or 8%, from sales of $245.3 million a year ago. Each of our segments contributed to the year-over-year growth, with our Water Treatment segment leading the way with 16% growth. Water Treatment segment sales increased $17.3 million, or 16%, to $ 122.3 million for the fourth quarter, as compared to $ 105.0 million for the same period a year ago. Sales increased primarily as a result of $13.1 million of added sales from acquired businesses as well as increased sales volumes in our legacy business. Food and Health Sciences segment sales increased $ 0.3 million, or less than 1%, to $ 88.6 million for the fourth quarter, as compared to $88.3 million for the same period a year ago. Sales increased slightly with increased volumes of our Agricultural products, mostly offset by lower selling prices. Industrial Solutions segment sales increased $ 3.0 million, or 6%, to $55.0 million for the fourth quarter, as compared to $52.0 million for the same period a year ago. Sales increased primarily as a result of increased sales of certain of our manufactured, blended and repackaged products.</w:t>
      </w:r>
    </w:p>
    <w:p>
      <w:pPr>
        <w:spacing w:after="0" w:line="76"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For fiscal 2026, sales were $1,083.7 million, an increase of $ 109.3 million, or 11%, from sales of $974.4 million a year ago. Water Treatment segment sales were $543.3 million for the year, an increase of 22% over last year’s sales of $446.5 million; of the $96.8 million increase, $ 83.3 million was from our acquired businesses in fiscal 2026. Sales for our Food and Health Sciences segment were $ 320.7 million in fiscal 2026, a decrease of 1%, from fiscal 2025 sales of $322.6 million. Industrial Solutions segment sales were $219.7 million, an increase of 7% from fiscal 2025 sales of $205.4 million.</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GROSS PROFIT</w:t>
      </w:r>
    </w:p>
    <w:p>
      <w:pPr>
        <w:spacing w:after="0" w:line="116"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Gross profit for fiscal 2026 increased $19.5 million, or 9%, to $245.1 million, or 23% of sales, from $225.5 million, or 23% of sales, for fiscal 2025. During fiscal 2026, the LIFO reserve increased, and gross profits decreased, by $1.5 million, of which $0.8 million occurred in the fourth quarter, primarily due to rising material costs. During fiscal 2025, the LIFO reserve decreased, and gross profit increased, by $1.6 million, most of which occurred in the fourth quarter. Gross profit increased due to increased sales, partially offset by the unfavorable year-over-year impact of the increased LIFO reserve.</w:t>
      </w:r>
    </w:p>
    <w:p>
      <w:pPr>
        <w:spacing w:after="0" w:line="68"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Gross profit for the Water Treatment segment increased $23.2 million, or 19%, to $145.0 million, or 27% of sales, for fiscal 2026, from $121.8 million, or 27% of sales, for fiscal 2025. Gross profit increased as a result of the increased sales.</w:t>
      </w:r>
    </w:p>
    <w:p>
      <w:pPr>
        <w:spacing w:after="0" w:line="43"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Gross profit for our Food and Health Sciences segment decreased $4.6 million, or 6%, to $67.3 million, or 21% of sales, for fiscal 2026, from $71.9 million, or 22% of sales, for fiscal 2025. Gross profit decreased as a result of lower selling prices as a result of competitive pricing pressures.</w:t>
      </w:r>
    </w:p>
    <w:p>
      <w:pPr>
        <w:spacing w:after="0" w:line="95"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Gross profit for the Industrial Solutions segment increased $1.0 million, or 3%, to $ 32.8 million, or 15% of sales, for fiscal 2026, from $31.8 million, or 15% of sales, for fiscal 2025. Gross profit increased as a result of the increase in sales.</w:t>
      </w: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SELLING, GENERAL AND ADMINISTRATIVE EXPENSES</w:t>
      </w:r>
    </w:p>
    <w:p>
      <w:pPr>
        <w:sectPr>
          <w:pgSz w:w="11900" w:h="16838" w:orient="portrait"/>
          <w:cols w:equalWidth="0" w:num="1">
            <w:col w:w="11240"/>
          </w:cols>
          <w:pgMar w:left="320" w:top="741" w:right="339" w:bottom="1440" w:gutter="0" w:footer="0" w:header="0"/>
        </w:sectPr>
      </w:pPr>
    </w:p>
    <w:bookmarkStart w:id="5" w:name="page6"/>
    <w:bookmarkEnd w:id="5"/>
    <w:p>
      <w:pPr>
        <w:jc w:val="both"/>
        <w:spacing w:after="0" w:line="265" w:lineRule="auto"/>
        <w:rPr>
          <w:sz w:val="20"/>
          <w:szCs w:val="20"/>
          <w:color w:val="auto"/>
        </w:rPr>
      </w:pPr>
      <w:r>
        <w:rPr>
          <w:rFonts w:ascii="Arial" w:cs="Arial" w:eastAsia="Arial" w:hAnsi="Arial"/>
          <w:sz w:val="17"/>
          <w:szCs w:val="17"/>
          <w:color w:val="auto"/>
        </w:rPr>
        <w:t>SG&amp;A expenses increased $17.4 million, or 16%, to $123.8 million, or 11% of sales, for fiscal 2026, from $106.4 million, or 11% of sales, for fiscal 2025. Expenses increased largely due to $19.3 million in added costs from the acquired business in our Water Treatment segment, including amortization of intangibles of $8.9 million, fair value accretion on the WaterSurplus earnout liability of $1.9 million, as well as increased variable costs. This was partially offset by a reduction of $8.1 million to the Water Solutions earnout.</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ADJUSTED EBITDA</w:t>
      </w:r>
    </w:p>
    <w:p>
      <w:pPr>
        <w:spacing w:after="0" w:line="116"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Adjusted EBITDA, a non-GAAP financial measure, is an important performance indicator and a key compliance measure under the terms of our credit agreement. An explanation of the computation of adjusted EBITDA is presented below. Adjusted EBITDA for the three months ended March 29, 2026, was $37.2 million, an increase of $0.2 million, or 1%, from adjusted EBITDA of $37.0 million for the same period in the prior year. Full-year adjusted EBITDA was $ 179.0 million, an increase of $10.2 million, or 6%, from adjusted EBITDA of $168.9 million for fiscal 2025. The increase was due to the impact of improved gross profits discussed above.</w:t>
      </w:r>
    </w:p>
    <w:p>
      <w:pPr>
        <w:spacing w:after="0" w:line="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INCOME TAXES</w:t>
      </w:r>
    </w:p>
    <w:p>
      <w:pPr>
        <w:spacing w:after="0" w:line="11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effective tax rate was approximately 25% for fiscal 2026 and 26% for fiscal 2025. The current year decrease in the effective tax rate was primarily driven by favorable tax provision adjustments recorded. The effective tax rate is impacted by projected levels of annual taxable income, permanent items, and state taxes. For fiscal 2027, we expect the income tax rate to be between 25% to 27%.</w:t>
      </w:r>
    </w:p>
    <w:p>
      <w:pPr>
        <w:spacing w:after="0" w:line="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BALANCE SHEET</w:t>
      </w:r>
    </w:p>
    <w:p>
      <w:pPr>
        <w:spacing w:after="0" w:line="116"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Our operating cash flow of $144.3 million and net debt borrowings during the fiscal year of $95.0 million were primarily used to grow the company, fund acquisitions, and provide shareholder return. This included funding $167.1 million in acquisition spending for acquisitions of WaterSurplus, Inc. and five additional smaller tuck-in acquisitions, capital spending of $58.2 million, and dividend payments of $15.7 million. Our total debt outstanding at the end of fiscal 2026 was $244.0 million and our leverage ratio was 1.37x our trailing twelve-month pro forma adjusted EBITDA, as compared to 0.86x at the end of fiscal 2025.</w:t>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About Hawkins, Inc.</w:t>
      </w:r>
    </w:p>
    <w:p>
      <w:pPr>
        <w:spacing w:after="0" w:line="114"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Hawkins, Inc. was founded in 1938 and is a leading water treatment and specialty ingredients company that formulates, manufactures, distributes and blends products for its Water Treatment, Food &amp; Health Sciences and Industrial Solutions customers. Headquartered in Roseville, Minnesota, the Company has 66 facilities in 28 states and creates value for its customers through superb customer service and support, quality products and personalized applications. Hawkins, Inc. generated approximately $1.1 billion of revenue in fiscal 2026 and has approximately 1,200 employees. For more information, including registering to receive email alerts, please visit www.hawkinsinc.com/investors.</w:t>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Reconciliation of Non-GAAP Financial Measures</w:t>
      </w:r>
    </w:p>
    <w:p>
      <w:pPr>
        <w:spacing w:after="0" w:line="114"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We report our consolidated financial results in accordance with U.S. generally accepted accounting principles (GAAP). To assist investors in understanding our financial performance between periods, we have provided certain financial measures not computed according to GAAP, including adjusted EBITDA and return on equity. These non-GAAP financial measures are not meant to be considered in isolation or as a substitute for comparable GAAP measures. The method we use to produce non-GAAP results is not computed according to GAAP and may differ from the methods used by other companies.</w:t>
      </w:r>
    </w:p>
    <w:p>
      <w:pPr>
        <w:spacing w:after="0" w:line="68"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Management uses these non-GAAP financial measures internally to understand, manage and evaluate our business and to make operating decisions. Management believes that these non-GAAP financial measures reflects an additional way of viewing aspects of our operations that, when viewed with our GAAP results, provides a more complete understanding of the factors and trends affecting our financial condition and results of operations.</w:t>
      </w:r>
    </w:p>
    <w:p>
      <w:pPr>
        <w:spacing w:after="0" w:line="65"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We define adjusted EBITDA as GAAP net income adjusted for the impact of the following: net interest expense resulting from our net borrowing position; income tax expense; non-cash expenses including amortization of intangibles, depreciation, and charges for the employee stock purchase plan and restricted stock grants, non-recurring items of income or expense, and non-cash earnout related expense. The non-cash earnout related expense adjustment is a new adjustment which was made to better reflect results from operations.</w:t>
      </w:r>
    </w:p>
    <w:p>
      <w:pPr>
        <w:sectPr>
          <w:pgSz w:w="11900" w:h="16838" w:orient="portrait"/>
          <w:cols w:equalWidth="0" w:num="1">
            <w:col w:w="11240"/>
          </w:cols>
          <w:pgMar w:left="320" w:top="741"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19"/>
        </w:trPr>
        <w:tc>
          <w:tcPr>
            <w:tcW w:w="40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Adjusted EBITDA</w:t>
            </w:r>
          </w:p>
        </w:tc>
        <w:tc>
          <w:tcPr>
            <w:tcW w:w="160" w:type="dxa"/>
            <w:vAlign w:val="bottom"/>
            <w:shd w:val="clear" w:color="auto" w:fill="CCEEFF"/>
          </w:tcPr>
          <w:p>
            <w:pPr>
              <w:spacing w:after="0"/>
              <w:rPr>
                <w:sz w:val="19"/>
                <w:szCs w:val="19"/>
                <w:color w:val="auto"/>
              </w:rPr>
            </w:pPr>
          </w:p>
        </w:tc>
        <w:tc>
          <w:tcPr>
            <w:tcW w:w="3420" w:type="dxa"/>
            <w:vAlign w:val="bottom"/>
            <w:gridSpan w:val="5"/>
            <w:shd w:val="clear" w:color="auto" w:fill="CCEEFF"/>
          </w:tcPr>
          <w:p>
            <w:pPr>
              <w:ind w:left="700"/>
              <w:spacing w:after="0"/>
              <w:rPr>
                <w:sz w:val="20"/>
                <w:szCs w:val="20"/>
                <w:color w:val="auto"/>
              </w:rPr>
            </w:pPr>
            <w:r>
              <w:rPr>
                <w:rFonts w:ascii="Arial" w:cs="Arial" w:eastAsia="Arial" w:hAnsi="Arial"/>
                <w:sz w:val="17"/>
                <w:szCs w:val="17"/>
                <w:b w:val="1"/>
                <w:bCs w:val="1"/>
                <w:color w:val="auto"/>
              </w:rPr>
              <w:t>Three Months Ended</w:t>
            </w:r>
          </w:p>
        </w:tc>
        <w:tc>
          <w:tcPr>
            <w:tcW w:w="160" w:type="dxa"/>
            <w:vAlign w:val="bottom"/>
            <w:shd w:val="clear" w:color="auto" w:fill="CCEEFF"/>
          </w:tcPr>
          <w:p>
            <w:pPr>
              <w:spacing w:after="0"/>
              <w:rPr>
                <w:sz w:val="19"/>
                <w:szCs w:val="19"/>
                <w:color w:val="auto"/>
              </w:rPr>
            </w:pPr>
          </w:p>
        </w:tc>
        <w:tc>
          <w:tcPr>
            <w:tcW w:w="3280" w:type="dxa"/>
            <w:vAlign w:val="bottom"/>
            <w:gridSpan w:val="4"/>
            <w:shd w:val="clear" w:color="auto" w:fill="CCEEFF"/>
          </w:tcPr>
          <w:p>
            <w:pPr>
              <w:jc w:val="right"/>
              <w:ind w:right="914"/>
              <w:spacing w:after="0"/>
              <w:rPr>
                <w:sz w:val="20"/>
                <w:szCs w:val="20"/>
                <w:color w:val="auto"/>
              </w:rPr>
            </w:pPr>
            <w:r>
              <w:rPr>
                <w:rFonts w:ascii="Arial" w:cs="Arial" w:eastAsia="Arial" w:hAnsi="Arial"/>
                <w:sz w:val="17"/>
                <w:szCs w:val="17"/>
                <w:b w:val="1"/>
                <w:bCs w:val="1"/>
                <w:color w:val="auto"/>
              </w:rPr>
              <w:t>Fiscal Year Ended</w:t>
            </w:r>
          </w:p>
        </w:tc>
      </w:tr>
      <w:tr>
        <w:trPr>
          <w:trHeight w:val="212"/>
        </w:trPr>
        <w:tc>
          <w:tcPr>
            <w:tcW w:w="4000" w:type="dxa"/>
            <w:vAlign w:val="bottom"/>
          </w:tcPr>
          <w:p>
            <w:pPr>
              <w:ind w:left="20"/>
              <w:spacing w:after="0"/>
              <w:rPr>
                <w:sz w:val="20"/>
                <w:szCs w:val="20"/>
                <w:color w:val="auto"/>
              </w:rPr>
            </w:pPr>
            <w:r>
              <w:rPr>
                <w:rFonts w:ascii="Arial" w:cs="Arial" w:eastAsia="Arial" w:hAnsi="Arial"/>
                <w:sz w:val="17"/>
                <w:szCs w:val="17"/>
                <w:color w:val="auto"/>
              </w:rPr>
              <w:t>(In thousands)</w:t>
            </w:r>
          </w:p>
        </w:tc>
        <w:tc>
          <w:tcPr>
            <w:tcW w:w="16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gridSpan w:val="2"/>
          </w:tcPr>
          <w:p>
            <w:pPr>
              <w:ind w:left="40"/>
              <w:spacing w:after="0"/>
              <w:rPr>
                <w:sz w:val="20"/>
                <w:szCs w:val="20"/>
                <w:color w:val="auto"/>
              </w:rPr>
            </w:pPr>
            <w:r>
              <w:rPr>
                <w:rFonts w:ascii="Arial" w:cs="Arial" w:eastAsia="Arial" w:hAnsi="Arial"/>
                <w:sz w:val="17"/>
                <w:szCs w:val="17"/>
                <w:b w:val="1"/>
                <w:bCs w:val="1"/>
                <w:color w:val="auto"/>
              </w:rPr>
              <w:t>March 29, 2026</w:t>
            </w:r>
          </w:p>
        </w:tc>
        <w:tc>
          <w:tcPr>
            <w:tcW w:w="16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ind w:right="114"/>
              <w:spacing w:after="0"/>
              <w:rPr>
                <w:sz w:val="20"/>
                <w:szCs w:val="20"/>
                <w:color w:val="auto"/>
              </w:rPr>
            </w:pPr>
            <w:r>
              <w:rPr>
                <w:rFonts w:ascii="Arial" w:cs="Arial" w:eastAsia="Arial" w:hAnsi="Arial"/>
                <w:sz w:val="17"/>
                <w:szCs w:val="17"/>
                <w:b w:val="1"/>
                <w:bCs w:val="1"/>
                <w:color w:val="auto"/>
              </w:rPr>
              <w:t>March 30, 2025</w:t>
            </w: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gridSpan w:val="2"/>
          </w:tcPr>
          <w:p>
            <w:pPr>
              <w:ind w:left="40"/>
              <w:spacing w:after="0"/>
              <w:rPr>
                <w:sz w:val="20"/>
                <w:szCs w:val="20"/>
                <w:color w:val="auto"/>
              </w:rPr>
            </w:pPr>
            <w:r>
              <w:rPr>
                <w:rFonts w:ascii="Arial" w:cs="Arial" w:eastAsia="Arial" w:hAnsi="Arial"/>
                <w:sz w:val="17"/>
                <w:szCs w:val="17"/>
                <w:b w:val="1"/>
                <w:bCs w:val="1"/>
                <w:color w:val="auto"/>
              </w:rPr>
              <w:t>March 29, 2026</w:t>
            </w:r>
          </w:p>
        </w:tc>
        <w:tc>
          <w:tcPr>
            <w:tcW w:w="16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right"/>
              <w:ind w:right="134"/>
              <w:spacing w:after="0"/>
              <w:rPr>
                <w:sz w:val="20"/>
                <w:szCs w:val="20"/>
                <w:color w:val="auto"/>
              </w:rPr>
            </w:pPr>
            <w:r>
              <w:rPr>
                <w:rFonts w:ascii="Arial" w:cs="Arial" w:eastAsia="Arial" w:hAnsi="Arial"/>
                <w:sz w:val="17"/>
                <w:szCs w:val="17"/>
                <w:b w:val="1"/>
                <w:bCs w:val="1"/>
                <w:color w:val="auto"/>
              </w:rPr>
              <w:t>March 30, 2025</w:t>
            </w:r>
          </w:p>
        </w:tc>
      </w:tr>
      <w:tr>
        <w:trPr>
          <w:trHeight w:val="212"/>
        </w:trPr>
        <w:tc>
          <w:tcPr>
            <w:tcW w:w="4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Net income (GAAP)</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15,463</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16,327</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81,548</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84,345</w:t>
            </w:r>
          </w:p>
        </w:tc>
      </w:tr>
      <w:tr>
        <w:trPr>
          <w:trHeight w:val="219"/>
        </w:trPr>
        <w:tc>
          <w:tcPr>
            <w:tcW w:w="4000" w:type="dxa"/>
            <w:vAlign w:val="bottom"/>
          </w:tcPr>
          <w:p>
            <w:pPr>
              <w:ind w:left="140"/>
              <w:spacing w:after="0"/>
              <w:rPr>
                <w:sz w:val="20"/>
                <w:szCs w:val="20"/>
                <w:color w:val="auto"/>
              </w:rPr>
            </w:pPr>
            <w:r>
              <w:rPr>
                <w:rFonts w:ascii="Arial" w:cs="Arial" w:eastAsia="Arial" w:hAnsi="Arial"/>
                <w:sz w:val="17"/>
                <w:szCs w:val="17"/>
                <w:color w:val="auto"/>
              </w:rPr>
              <w:t>Interest expense, net</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2,972</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1,526</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13,507</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5,432</w:t>
            </w:r>
          </w:p>
        </w:tc>
      </w:tr>
      <w:tr>
        <w:trPr>
          <w:trHeight w:val="219"/>
        </w:trPr>
        <w:tc>
          <w:tcPr>
            <w:tcW w:w="40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Income tax expense</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4,461</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6,095</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27,792</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30,038</w:t>
            </w:r>
          </w:p>
        </w:tc>
      </w:tr>
      <w:tr>
        <w:trPr>
          <w:trHeight w:val="219"/>
        </w:trPr>
        <w:tc>
          <w:tcPr>
            <w:tcW w:w="4000" w:type="dxa"/>
            <w:vAlign w:val="bottom"/>
          </w:tcPr>
          <w:p>
            <w:pPr>
              <w:ind w:left="140"/>
              <w:spacing w:after="0"/>
              <w:rPr>
                <w:sz w:val="20"/>
                <w:szCs w:val="20"/>
                <w:color w:val="auto"/>
              </w:rPr>
            </w:pPr>
            <w:r>
              <w:rPr>
                <w:rFonts w:ascii="Arial" w:cs="Arial" w:eastAsia="Arial" w:hAnsi="Arial"/>
                <w:sz w:val="17"/>
                <w:szCs w:val="17"/>
                <w:color w:val="auto"/>
              </w:rPr>
              <w:t>Amortization of intangibles</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5,494</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3,553</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21,292</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12,764</w:t>
            </w:r>
          </w:p>
        </w:tc>
      </w:tr>
      <w:tr>
        <w:trPr>
          <w:trHeight w:val="219"/>
        </w:trPr>
        <w:tc>
          <w:tcPr>
            <w:tcW w:w="40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Depreciation expense</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8,085</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7,027</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31,250</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27,184</w:t>
            </w:r>
          </w:p>
        </w:tc>
      </w:tr>
      <w:tr>
        <w:trPr>
          <w:trHeight w:val="219"/>
        </w:trPr>
        <w:tc>
          <w:tcPr>
            <w:tcW w:w="4000" w:type="dxa"/>
            <w:vAlign w:val="bottom"/>
          </w:tcPr>
          <w:p>
            <w:pPr>
              <w:ind w:left="140"/>
              <w:spacing w:after="0"/>
              <w:rPr>
                <w:sz w:val="20"/>
                <w:szCs w:val="20"/>
                <w:color w:val="auto"/>
              </w:rPr>
            </w:pPr>
            <w:r>
              <w:rPr>
                <w:rFonts w:ascii="Arial" w:cs="Arial" w:eastAsia="Arial" w:hAnsi="Arial"/>
                <w:sz w:val="17"/>
                <w:szCs w:val="17"/>
                <w:color w:val="auto"/>
              </w:rPr>
              <w:t>Non-cash compensation expense</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2,135</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1,476</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8,573</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6,498</w:t>
            </w:r>
          </w:p>
        </w:tc>
      </w:tr>
      <w:tr>
        <w:trPr>
          <w:trHeight w:val="219"/>
        </w:trPr>
        <w:tc>
          <w:tcPr>
            <w:tcW w:w="40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Non-recurring acquisition expense</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649</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1,239</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1,229</w:t>
            </w:r>
          </w:p>
        </w:tc>
      </w:tr>
      <w:tr>
        <w:trPr>
          <w:trHeight w:val="219"/>
        </w:trPr>
        <w:tc>
          <w:tcPr>
            <w:tcW w:w="400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Non-cash earnout related expense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(1,410)</w:t>
            </w:r>
          </w:p>
        </w:tc>
        <w:tc>
          <w:tcPr>
            <w:tcW w:w="1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342</w:t>
            </w:r>
          </w:p>
        </w:tc>
        <w:tc>
          <w:tcPr>
            <w:tcW w:w="1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(6,177)</w:t>
            </w:r>
          </w:p>
        </w:tc>
        <w:tc>
          <w:tcPr>
            <w:tcW w:w="1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1,375</w:t>
            </w:r>
          </w:p>
        </w:tc>
      </w:tr>
      <w:tr>
        <w:trPr>
          <w:trHeight w:val="237"/>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Adjusted EBITDA</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37,218</w:t>
            </w:r>
          </w:p>
        </w:tc>
        <w:tc>
          <w:tcPr>
            <w:tcW w:w="1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36,995</w:t>
            </w:r>
          </w:p>
        </w:tc>
        <w:tc>
          <w:tcPr>
            <w:tcW w:w="1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179,024</w:t>
            </w:r>
          </w:p>
        </w:tc>
        <w:tc>
          <w:tcPr>
            <w:tcW w:w="1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168,865</w:t>
            </w: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spacing w:after="0" w:line="290" w:lineRule="auto"/>
        <w:rPr>
          <w:sz w:val="20"/>
          <w:szCs w:val="20"/>
          <w:color w:val="auto"/>
        </w:rPr>
      </w:pPr>
      <w:r>
        <w:rPr>
          <w:rFonts w:ascii="Arial" w:cs="Arial" w:eastAsia="Arial" w:hAnsi="Arial"/>
          <w:sz w:val="17"/>
          <w:szCs w:val="17"/>
          <w:color w:val="auto"/>
        </w:rPr>
        <w:t>Beginning with the Q4 and fiscal 2026 earnings release, we are including a return on equity. We define return on equity as net income divided by average shareholders' equity.</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90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Return on Equity</w:t>
            </w: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9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40" w:type="dxa"/>
            <w:vAlign w:val="bottom"/>
          </w:tcPr>
          <w:p>
            <w:pPr>
              <w:jc w:val="right"/>
              <w:ind w:right="114"/>
              <w:spacing w:after="0" w:line="167" w:lineRule="exact"/>
              <w:rPr>
                <w:sz w:val="20"/>
                <w:szCs w:val="20"/>
                <w:color w:val="auto"/>
              </w:rPr>
            </w:pPr>
            <w:r>
              <w:rPr>
                <w:rFonts w:ascii="Arial" w:cs="Arial" w:eastAsia="Arial" w:hAnsi="Arial"/>
                <w:sz w:val="17"/>
                <w:szCs w:val="17"/>
                <w:b w:val="1"/>
                <w:bCs w:val="1"/>
                <w:color w:val="auto"/>
              </w:rPr>
              <w:t>Fiscal Year Ended</w:t>
            </w:r>
          </w:p>
        </w:tc>
        <w:tc>
          <w:tcPr>
            <w:tcW w:w="0" w:type="dxa"/>
            <w:vAlign w:val="bottom"/>
          </w:tcPr>
          <w:p>
            <w:pPr>
              <w:spacing w:after="0"/>
              <w:rPr>
                <w:sz w:val="1"/>
                <w:szCs w:val="1"/>
                <w:color w:val="auto"/>
              </w:rPr>
            </w:pPr>
          </w:p>
        </w:tc>
      </w:tr>
      <w:tr>
        <w:trPr>
          <w:trHeight w:val="238"/>
        </w:trPr>
        <w:tc>
          <w:tcPr>
            <w:tcW w:w="9040" w:type="dxa"/>
            <w:vAlign w:val="bottom"/>
            <w:vMerge w:val="restart"/>
          </w:tcPr>
          <w:p>
            <w:pPr>
              <w:ind w:left="20"/>
              <w:spacing w:after="0"/>
              <w:rPr>
                <w:sz w:val="20"/>
                <w:szCs w:val="20"/>
                <w:color w:val="auto"/>
              </w:rPr>
            </w:pPr>
            <w:r>
              <w:rPr>
                <w:rFonts w:ascii="Arial" w:cs="Arial" w:eastAsia="Arial" w:hAnsi="Arial"/>
                <w:sz w:val="17"/>
                <w:szCs w:val="17"/>
                <w:color w:val="auto"/>
              </w:rPr>
              <w:t>($ in thousands)</w:t>
            </w:r>
          </w:p>
        </w:tc>
        <w:tc>
          <w:tcPr>
            <w:tcW w:w="180" w:type="dxa"/>
            <w:vAlign w:val="bottom"/>
          </w:tcPr>
          <w:p>
            <w:pPr>
              <w:spacing w:after="0"/>
              <w:rPr>
                <w:sz w:val="20"/>
                <w:szCs w:val="20"/>
                <w:color w:val="auto"/>
              </w:rPr>
            </w:pPr>
          </w:p>
        </w:tc>
        <w:tc>
          <w:tcPr>
            <w:tcW w:w="1740" w:type="dxa"/>
            <w:vAlign w:val="bottom"/>
          </w:tcPr>
          <w:p>
            <w:pPr>
              <w:jc w:val="right"/>
              <w:ind w:right="254"/>
              <w:spacing w:after="0"/>
              <w:rPr>
                <w:sz w:val="20"/>
                <w:szCs w:val="20"/>
                <w:color w:val="auto"/>
              </w:rPr>
            </w:pPr>
            <w:r>
              <w:rPr>
                <w:rFonts w:ascii="Arial" w:cs="Arial" w:eastAsia="Arial" w:hAnsi="Arial"/>
                <w:sz w:val="17"/>
                <w:szCs w:val="17"/>
                <w:b w:val="1"/>
                <w:bCs w:val="1"/>
                <w:color w:val="auto"/>
              </w:rPr>
              <w:t>March 29, 2026</w:t>
            </w:r>
          </w:p>
        </w:tc>
        <w:tc>
          <w:tcPr>
            <w:tcW w:w="0" w:type="dxa"/>
            <w:vAlign w:val="bottom"/>
          </w:tcPr>
          <w:p>
            <w:pPr>
              <w:spacing w:after="0"/>
              <w:rPr>
                <w:sz w:val="1"/>
                <w:szCs w:val="1"/>
                <w:color w:val="auto"/>
              </w:rPr>
            </w:pPr>
          </w:p>
        </w:tc>
      </w:tr>
      <w:tr>
        <w:trPr>
          <w:trHeight w:val="149"/>
        </w:trPr>
        <w:tc>
          <w:tcPr>
            <w:tcW w:w="9040" w:type="dxa"/>
            <w:vAlign w:val="bottom"/>
            <w:tcBorders>
              <w:bottom w:val="single" w:sz="8" w:color="CCEEFF"/>
            </w:tcBorders>
            <w:vMerge w:val="continue"/>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7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90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Net income (GAAP)</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74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81,548</w:t>
            </w:r>
          </w:p>
        </w:tc>
        <w:tc>
          <w:tcPr>
            <w:tcW w:w="0" w:type="dxa"/>
            <w:vAlign w:val="bottom"/>
          </w:tcPr>
          <w:p>
            <w:pPr>
              <w:spacing w:after="0"/>
              <w:rPr>
                <w:sz w:val="1"/>
                <w:szCs w:val="1"/>
                <w:color w:val="auto"/>
              </w:rPr>
            </w:pPr>
          </w:p>
        </w:tc>
      </w:tr>
      <w:tr>
        <w:trPr>
          <w:trHeight w:val="245"/>
        </w:trPr>
        <w:tc>
          <w:tcPr>
            <w:tcW w:w="90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9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Shareholders' equity at beginning of period</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74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460,292</w:t>
            </w:r>
          </w:p>
        </w:tc>
        <w:tc>
          <w:tcPr>
            <w:tcW w:w="0" w:type="dxa"/>
            <w:vAlign w:val="bottom"/>
          </w:tcPr>
          <w:p>
            <w:pPr>
              <w:spacing w:after="0"/>
              <w:rPr>
                <w:sz w:val="1"/>
                <w:szCs w:val="1"/>
                <w:color w:val="auto"/>
              </w:rPr>
            </w:pPr>
          </w:p>
        </w:tc>
      </w:tr>
      <w:tr>
        <w:trPr>
          <w:trHeight w:val="219"/>
        </w:trPr>
        <w:tc>
          <w:tcPr>
            <w:tcW w:w="90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Shareholders' equity at end of period</w:t>
            </w:r>
          </w:p>
        </w:tc>
        <w:tc>
          <w:tcPr>
            <w:tcW w:w="18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534,009</w:t>
            </w:r>
          </w:p>
        </w:tc>
        <w:tc>
          <w:tcPr>
            <w:tcW w:w="0" w:type="dxa"/>
            <w:vAlign w:val="bottom"/>
          </w:tcPr>
          <w:p>
            <w:pPr>
              <w:spacing w:after="0"/>
              <w:rPr>
                <w:sz w:val="1"/>
                <w:szCs w:val="1"/>
                <w:color w:val="auto"/>
              </w:rPr>
            </w:pPr>
          </w:p>
        </w:tc>
      </w:tr>
      <w:tr>
        <w:trPr>
          <w:trHeight w:val="212"/>
        </w:trPr>
        <w:tc>
          <w:tcPr>
            <w:tcW w:w="9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Average shareholders' equity</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74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497,151</w:t>
            </w:r>
          </w:p>
        </w:tc>
        <w:tc>
          <w:tcPr>
            <w:tcW w:w="0" w:type="dxa"/>
            <w:vAlign w:val="bottom"/>
          </w:tcPr>
          <w:p>
            <w:pPr>
              <w:spacing w:after="0"/>
              <w:rPr>
                <w:sz w:val="1"/>
                <w:szCs w:val="1"/>
                <w:color w:val="auto"/>
              </w:rPr>
            </w:pPr>
          </w:p>
        </w:tc>
      </w:tr>
      <w:tr>
        <w:trPr>
          <w:trHeight w:val="245"/>
        </w:trPr>
        <w:tc>
          <w:tcPr>
            <w:tcW w:w="90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90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Return on equity</w:t>
            </w: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16.4 %</w:t>
            </w:r>
          </w:p>
        </w:tc>
        <w:tc>
          <w:tcPr>
            <w:tcW w:w="0" w:type="dxa"/>
            <w:vAlign w:val="bottom"/>
          </w:tcPr>
          <w:p>
            <w:pPr>
              <w:spacing w:after="0"/>
              <w:rPr>
                <w:sz w:val="1"/>
                <w:szCs w:val="1"/>
                <w:color w:val="auto"/>
              </w:rPr>
            </w:pPr>
          </w:p>
        </w:tc>
      </w:tr>
    </w:tbl>
    <w:p>
      <w:pPr>
        <w:sectPr>
          <w:pgSz w:w="11900" w:h="16838" w:orient="portrait"/>
          <w:cols w:equalWidth="0" w:num="1">
            <w:col w:w="11240"/>
          </w:cols>
          <w:pgMar w:left="320" w:top="784" w:right="339" w:bottom="1440" w:gutter="0" w:footer="0" w:header="0"/>
        </w:sectPr>
      </w:pPr>
    </w:p>
    <w:bookmarkStart w:id="7" w:name="page8"/>
    <w:bookmarkEnd w:id="7"/>
    <w:p>
      <w:pPr>
        <w:spacing w:after="0" w:line="4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HAWKINS, INC.</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INCOME (UNAUDITED)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share and per-share data)</w:t>
      </w:r>
    </w:p>
    <w:p>
      <w:pPr>
        <w:sectPr>
          <w:pgSz w:w="11900" w:h="16838" w:orient="portrait"/>
          <w:cols w:equalWidth="0" w:num="1">
            <w:col w:w="11220"/>
          </w:cols>
          <w:pgMar w:left="340" w:top="1440" w:right="339" w:bottom="1440" w:gutter="0" w:footer="0" w:header="0"/>
        </w:sectPr>
      </w:pPr>
    </w:p>
    <w:p>
      <w:pPr>
        <w:spacing w:after="0" w:line="41" w:lineRule="exact"/>
        <w:rPr>
          <w:sz w:val="20"/>
          <w:szCs w:val="20"/>
          <w:color w:val="auto"/>
        </w:rPr>
      </w:pPr>
    </w:p>
    <w:p>
      <w:pPr>
        <w:jc w:val="center"/>
        <w:ind w:left="5760"/>
        <w:spacing w:after="0"/>
        <w:rPr>
          <w:sz w:val="20"/>
          <w:szCs w:val="20"/>
          <w:color w:val="auto"/>
        </w:rPr>
      </w:pPr>
      <w:r>
        <w:rPr>
          <w:rFonts w:ascii="Arial" w:cs="Arial" w:eastAsia="Arial" w:hAnsi="Arial"/>
          <w:sz w:val="14"/>
          <w:szCs w:val="14"/>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3558540</wp:posOffset>
            </wp:positionH>
            <wp:positionV relativeFrom="paragraph">
              <wp:posOffset>18415</wp:posOffset>
            </wp:positionV>
            <wp:extent cx="174371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43710" cy="8255"/>
                    </a:xfrm>
                    <a:prstGeom prst="rect">
                      <a:avLst/>
                    </a:prstGeom>
                    <a:noFill/>
                  </pic:spPr>
                </pic:pic>
              </a:graphicData>
            </a:graphic>
          </wp:anchor>
        </w:drawing>
      </w:r>
    </w:p>
    <w:p>
      <w:pPr>
        <w:spacing w:after="0" w:line="25" w:lineRule="exact"/>
        <w:rPr>
          <w:sz w:val="20"/>
          <w:szCs w:val="20"/>
          <w:color w:val="auto"/>
        </w:rPr>
      </w:pPr>
    </w:p>
    <w:p>
      <w:pPr>
        <w:ind w:left="5780"/>
        <w:spacing w:after="0"/>
        <w:tabs>
          <w:tab w:leader="none" w:pos="7180" w:val="left"/>
        </w:tabs>
        <w:rPr>
          <w:sz w:val="20"/>
          <w:szCs w:val="20"/>
          <w:color w:val="auto"/>
        </w:rPr>
      </w:pPr>
      <w:r>
        <w:rPr>
          <w:rFonts w:ascii="Arial" w:cs="Arial" w:eastAsia="Arial" w:hAnsi="Arial"/>
          <w:sz w:val="14"/>
          <w:szCs w:val="14"/>
          <w:b w:val="1"/>
          <w:bCs w:val="1"/>
          <w:color w:val="auto"/>
        </w:rPr>
        <w:t>March 29, 2026</w:t>
      </w:r>
      <w:r>
        <w:rPr>
          <w:sz w:val="20"/>
          <w:szCs w:val="20"/>
          <w:color w:val="auto"/>
        </w:rPr>
        <w:tab/>
      </w:r>
      <w:r>
        <w:rPr>
          <w:rFonts w:ascii="Arial" w:cs="Arial" w:eastAsia="Arial" w:hAnsi="Arial"/>
          <w:sz w:val="13"/>
          <w:szCs w:val="13"/>
          <w:b w:val="1"/>
          <w:bCs w:val="1"/>
          <w:color w:val="auto"/>
        </w:rPr>
        <w:t>March 30, 2025</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jc w:val="center"/>
        <w:ind w:right="180"/>
        <w:spacing w:after="0"/>
        <w:rPr>
          <w:sz w:val="20"/>
          <w:szCs w:val="20"/>
          <w:color w:val="auto"/>
        </w:rPr>
      </w:pPr>
      <w:r>
        <w:rPr>
          <w:rFonts w:ascii="Arial" w:cs="Arial" w:eastAsia="Arial" w:hAnsi="Arial"/>
          <w:sz w:val="14"/>
          <w:szCs w:val="14"/>
          <w:b w:val="1"/>
          <w:bCs w:val="1"/>
          <w:color w:val="auto"/>
        </w:rPr>
        <w:t>Fiscal Year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-105410</wp:posOffset>
            </wp:positionH>
            <wp:positionV relativeFrom="paragraph">
              <wp:posOffset>18415</wp:posOffset>
            </wp:positionV>
            <wp:extent cx="17519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51965" cy="8255"/>
                    </a:xfrm>
                    <a:prstGeom prst="rect">
                      <a:avLst/>
                    </a:prstGeom>
                    <a:noFill/>
                  </pic:spPr>
                </pic:pic>
              </a:graphicData>
            </a:graphic>
          </wp:anchor>
        </w:drawing>
      </w:r>
    </w:p>
    <w:p>
      <w:pPr>
        <w:spacing w:after="0" w:line="25" w:lineRule="exact"/>
        <w:rPr>
          <w:sz w:val="20"/>
          <w:szCs w:val="20"/>
          <w:color w:val="auto"/>
        </w:rPr>
      </w:pPr>
    </w:p>
    <w:p>
      <w:pPr>
        <w:spacing w:after="0"/>
        <w:tabs>
          <w:tab w:leader="none" w:pos="1420" w:val="left"/>
        </w:tabs>
        <w:rPr>
          <w:sz w:val="20"/>
          <w:szCs w:val="20"/>
          <w:color w:val="auto"/>
        </w:rPr>
      </w:pPr>
      <w:r>
        <w:rPr>
          <w:rFonts w:ascii="Arial" w:cs="Arial" w:eastAsia="Arial" w:hAnsi="Arial"/>
          <w:sz w:val="14"/>
          <w:szCs w:val="14"/>
          <w:b w:val="1"/>
          <w:bCs w:val="1"/>
          <w:color w:val="auto"/>
        </w:rPr>
        <w:t>March 29, 2026</w:t>
      </w:r>
      <w:r>
        <w:rPr>
          <w:sz w:val="20"/>
          <w:szCs w:val="20"/>
          <w:color w:val="auto"/>
        </w:rPr>
        <w:tab/>
      </w:r>
      <w:r>
        <w:rPr>
          <w:rFonts w:ascii="Arial" w:cs="Arial" w:eastAsia="Arial" w:hAnsi="Arial"/>
          <w:sz w:val="13"/>
          <w:szCs w:val="13"/>
          <w:b w:val="1"/>
          <w:bCs w:val="1"/>
          <w:color w:val="auto"/>
        </w:rPr>
        <w:t>March 30, 2025</w:t>
      </w:r>
    </w:p>
    <w:p>
      <w:pPr>
        <w:spacing w:after="0" w:line="27" w:lineRule="exact"/>
        <w:rPr>
          <w:sz w:val="20"/>
          <w:szCs w:val="20"/>
          <w:color w:val="auto"/>
        </w:rPr>
      </w:pPr>
    </w:p>
    <w:p>
      <w:pPr>
        <w:sectPr>
          <w:pgSz w:w="11900" w:h="16838" w:orient="portrait"/>
          <w:cols w:equalWidth="0" w:num="2">
            <w:col w:w="8180" w:space="440"/>
            <w:col w:w="2600"/>
          </w:cols>
          <w:pgMar w:left="340" w:top="1440" w:right="339" w:bottom="1440" w:gutter="0" w:footer="0" w:header="0"/>
          <w:type w:val="continuous"/>
        </w:sectPr>
      </w:pPr>
    </w:p>
    <w:tbl>
      <w:tblPr>
        <w:tblLayout w:type="fixed"/>
        <w:tblInd w:w="0" w:type="dxa"/>
        <w:tblCellMar>
          <w:top w:w="0" w:type="dxa"/>
          <w:left w:w="0" w:type="dxa"/>
          <w:bottom w:w="0" w:type="dxa"/>
          <w:right w:w="0" w:type="dxa"/>
        </w:tblCellMar>
      </w:tblPr>
      <w:tr>
        <w:trPr>
          <w:trHeight w:val="214"/>
        </w:trPr>
        <w:tc>
          <w:tcPr>
            <w:tcW w:w="56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7"/>
                <w:szCs w:val="17"/>
                <w:color w:val="auto"/>
              </w:rPr>
              <w:t>(unaudited)</w:t>
            </w: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r>
      <w:tr>
        <w:trPr>
          <w:trHeight w:val="219"/>
        </w:trPr>
        <w:tc>
          <w:tcPr>
            <w:tcW w:w="5600" w:type="dxa"/>
            <w:vAlign w:val="bottom"/>
          </w:tcPr>
          <w:p>
            <w:pPr>
              <w:ind w:left="20"/>
              <w:spacing w:after="0"/>
              <w:rPr>
                <w:sz w:val="20"/>
                <w:szCs w:val="20"/>
                <w:color w:val="auto"/>
              </w:rPr>
            </w:pPr>
            <w:r>
              <w:rPr>
                <w:rFonts w:ascii="Arial" w:cs="Arial" w:eastAsia="Arial" w:hAnsi="Arial"/>
                <w:sz w:val="17"/>
                <w:szCs w:val="17"/>
                <w:color w:val="auto"/>
              </w:rPr>
              <w:t>Sales</w:t>
            </w:r>
          </w:p>
        </w:tc>
        <w:tc>
          <w:tcPr>
            <w:tcW w:w="260" w:type="dxa"/>
            <w:vAlign w:val="bottom"/>
          </w:tcPr>
          <w:p>
            <w:pPr>
              <w:jc w:val="right"/>
              <w:ind w:right="54"/>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265,910</w:t>
            </w:r>
          </w:p>
        </w:tc>
        <w:tc>
          <w:tcPr>
            <w:tcW w:w="100" w:type="dxa"/>
            <w:vAlign w:val="bottom"/>
          </w:tcPr>
          <w:p>
            <w:pPr>
              <w:spacing w:after="0"/>
              <w:rPr>
                <w:sz w:val="19"/>
                <w:szCs w:val="19"/>
                <w:color w:val="auto"/>
              </w:rPr>
            </w:pPr>
          </w:p>
        </w:tc>
        <w:tc>
          <w:tcPr>
            <w:tcW w:w="360" w:type="dxa"/>
            <w:vAlign w:val="bottom"/>
          </w:tcPr>
          <w:p>
            <w:pPr>
              <w:jc w:val="right"/>
              <w:ind w:right="174"/>
              <w:spacing w:after="0"/>
              <w:rPr>
                <w:sz w:val="20"/>
                <w:szCs w:val="20"/>
                <w:color w:val="auto"/>
              </w:rPr>
            </w:pPr>
            <w:r>
              <w:rPr>
                <w:rFonts w:ascii="Arial" w:cs="Arial" w:eastAsia="Arial" w:hAnsi="Arial"/>
                <w:sz w:val="17"/>
                <w:szCs w:val="17"/>
                <w:color w:val="auto"/>
                <w:w w:val="84"/>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245,318</w:t>
            </w:r>
          </w:p>
        </w:tc>
        <w:tc>
          <w:tcPr>
            <w:tcW w:w="120" w:type="dxa"/>
            <w:vAlign w:val="bottom"/>
          </w:tcPr>
          <w:p>
            <w:pPr>
              <w:spacing w:after="0"/>
              <w:rPr>
                <w:sz w:val="19"/>
                <w:szCs w:val="19"/>
                <w:color w:val="auto"/>
              </w:rPr>
            </w:pP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1,083,696</w:t>
            </w:r>
          </w:p>
        </w:tc>
        <w:tc>
          <w:tcPr>
            <w:tcW w:w="100" w:type="dxa"/>
            <w:vAlign w:val="bottom"/>
          </w:tcPr>
          <w:p>
            <w:pPr>
              <w:spacing w:after="0"/>
              <w:rPr>
                <w:sz w:val="19"/>
                <w:szCs w:val="19"/>
                <w:color w:val="auto"/>
              </w:rPr>
            </w:pPr>
          </w:p>
        </w:tc>
        <w:tc>
          <w:tcPr>
            <w:tcW w:w="260" w:type="dxa"/>
            <w:vAlign w:val="bottom"/>
          </w:tcPr>
          <w:p>
            <w:pPr>
              <w:jc w:val="right"/>
              <w:ind w:right="54"/>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974,431</w:t>
            </w:r>
          </w:p>
        </w:tc>
      </w:tr>
      <w:tr>
        <w:trPr>
          <w:trHeight w:val="219"/>
        </w:trPr>
        <w:tc>
          <w:tcPr>
            <w:tcW w:w="56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Cost of sales</w:t>
            </w:r>
          </w:p>
        </w:tc>
        <w:tc>
          <w:tcPr>
            <w:tcW w:w="2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(211,673)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(193,081)</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(838,641)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(748,893)</w:t>
            </w:r>
          </w:p>
        </w:tc>
      </w:tr>
      <w:tr>
        <w:trPr>
          <w:trHeight w:val="212"/>
        </w:trPr>
        <w:tc>
          <w:tcPr>
            <w:tcW w:w="5600" w:type="dxa"/>
            <w:vAlign w:val="bottom"/>
          </w:tcPr>
          <w:p>
            <w:pPr>
              <w:ind w:left="20"/>
              <w:spacing w:after="0"/>
              <w:rPr>
                <w:sz w:val="20"/>
                <w:szCs w:val="20"/>
                <w:color w:val="auto"/>
              </w:rPr>
            </w:pPr>
            <w:r>
              <w:rPr>
                <w:rFonts w:ascii="Arial" w:cs="Arial" w:eastAsia="Arial" w:hAnsi="Arial"/>
                <w:sz w:val="17"/>
                <w:szCs w:val="17"/>
                <w:color w:val="auto"/>
              </w:rPr>
              <w:t>Gross profit</w:t>
            </w: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54,237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52,237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245,055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225,538</w:t>
            </w:r>
          </w:p>
        </w:tc>
      </w:tr>
      <w:tr>
        <w:trPr>
          <w:trHeight w:val="219"/>
        </w:trPr>
        <w:tc>
          <w:tcPr>
            <w:tcW w:w="560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Selling, general and administrative expenses</w:t>
            </w:r>
          </w:p>
        </w:tc>
        <w:tc>
          <w:tcPr>
            <w:tcW w:w="2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(30,773)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(27,662)</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(123,762)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(106,364)</w:t>
            </w:r>
          </w:p>
        </w:tc>
      </w:tr>
      <w:tr>
        <w:trPr>
          <w:trHeight w:val="212"/>
        </w:trPr>
        <w:tc>
          <w:tcPr>
            <w:tcW w:w="5600" w:type="dxa"/>
            <w:vAlign w:val="bottom"/>
          </w:tcPr>
          <w:p>
            <w:pPr>
              <w:ind w:left="20"/>
              <w:spacing w:after="0"/>
              <w:rPr>
                <w:sz w:val="20"/>
                <w:szCs w:val="20"/>
                <w:color w:val="auto"/>
              </w:rPr>
            </w:pPr>
            <w:r>
              <w:rPr>
                <w:rFonts w:ascii="Arial" w:cs="Arial" w:eastAsia="Arial" w:hAnsi="Arial"/>
                <w:sz w:val="17"/>
                <w:szCs w:val="17"/>
                <w:color w:val="auto"/>
              </w:rPr>
              <w:t>Operating income</w:t>
            </w: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23,464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24,575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121,293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119,174</w:t>
            </w:r>
          </w:p>
        </w:tc>
      </w:tr>
      <w:tr>
        <w:trPr>
          <w:trHeight w:val="219"/>
        </w:trPr>
        <w:tc>
          <w:tcPr>
            <w:tcW w:w="560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expense, net</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(2,972)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(1,526)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(13,507)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(5,432)</w:t>
            </w:r>
          </w:p>
        </w:tc>
      </w:tr>
      <w:tr>
        <w:trPr>
          <w:trHeight w:val="219"/>
        </w:trPr>
        <w:tc>
          <w:tcPr>
            <w:tcW w:w="56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income (expense)</w:t>
            </w: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(568)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(627)</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1,554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641</w:t>
            </w:r>
          </w:p>
        </w:tc>
      </w:tr>
      <w:tr>
        <w:trPr>
          <w:trHeight w:val="212"/>
        </w:trPr>
        <w:tc>
          <w:tcPr>
            <w:tcW w:w="560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Income before income taxes</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19,924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22,422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109,340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114,383</w:t>
            </w:r>
          </w:p>
        </w:tc>
      </w:tr>
      <w:tr>
        <w:trPr>
          <w:trHeight w:val="219"/>
        </w:trPr>
        <w:tc>
          <w:tcPr>
            <w:tcW w:w="56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Income tax expense</w:t>
            </w: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(4,461)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(6,095)</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(27,792)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(30,038)</w:t>
            </w:r>
          </w:p>
        </w:tc>
      </w:tr>
      <w:tr>
        <w:trPr>
          <w:trHeight w:val="237"/>
        </w:trPr>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income</w:t>
            </w:r>
          </w:p>
        </w:tc>
        <w:tc>
          <w:tcPr>
            <w:tcW w:w="26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15,463</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16,327</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81,548</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84,345</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5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19"/>
        </w:trPr>
        <w:tc>
          <w:tcPr>
            <w:tcW w:w="5600" w:type="dxa"/>
            <w:vAlign w:val="bottom"/>
            <w:shd w:val="clear" w:color="auto" w:fill="CCEEFF"/>
          </w:tcPr>
          <w:p>
            <w:pPr>
              <w:ind w:left="20"/>
              <w:spacing w:after="0"/>
              <w:rPr>
                <w:sz w:val="20"/>
                <w:szCs w:val="20"/>
                <w:color w:val="auto"/>
              </w:rPr>
            </w:pPr>
            <w:r>
              <w:rPr>
                <w:rFonts w:ascii="Arial" w:cs="Arial" w:eastAsia="Arial" w:hAnsi="Arial"/>
                <w:sz w:val="17"/>
                <w:szCs w:val="17"/>
                <w:color w:val="auto"/>
              </w:rPr>
              <w:t>Weighted average number of shares outstanding-basic</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20,751,747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20,728,528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20,736,815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20,803,872</w:t>
            </w:r>
          </w:p>
        </w:tc>
      </w:tr>
      <w:tr>
        <w:trPr>
          <w:trHeight w:val="219"/>
        </w:trPr>
        <w:tc>
          <w:tcPr>
            <w:tcW w:w="5600" w:type="dxa"/>
            <w:vAlign w:val="bottom"/>
          </w:tcPr>
          <w:p>
            <w:pPr>
              <w:ind w:left="20"/>
              <w:spacing w:after="0"/>
              <w:rPr>
                <w:sz w:val="20"/>
                <w:szCs w:val="20"/>
                <w:color w:val="auto"/>
              </w:rPr>
            </w:pPr>
            <w:r>
              <w:rPr>
                <w:rFonts w:ascii="Arial" w:cs="Arial" w:eastAsia="Arial" w:hAnsi="Arial"/>
                <w:sz w:val="17"/>
                <w:szCs w:val="17"/>
                <w:color w:val="auto"/>
              </w:rPr>
              <w:t>Weighted average number of shares outstanding-diluted</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20,870,810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20,848,118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20,861,860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20,936,502</w:t>
            </w:r>
          </w:p>
        </w:tc>
      </w:tr>
      <w:tr>
        <w:trPr>
          <w:trHeight w:val="258"/>
        </w:trPr>
        <w:tc>
          <w:tcPr>
            <w:tcW w:w="56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r>
      <w:tr>
        <w:trPr>
          <w:trHeight w:val="219"/>
        </w:trPr>
        <w:tc>
          <w:tcPr>
            <w:tcW w:w="5600" w:type="dxa"/>
            <w:vAlign w:val="bottom"/>
          </w:tcPr>
          <w:p>
            <w:pPr>
              <w:ind w:left="20"/>
              <w:spacing w:after="0"/>
              <w:rPr>
                <w:sz w:val="20"/>
                <w:szCs w:val="20"/>
                <w:color w:val="auto"/>
              </w:rPr>
            </w:pPr>
            <w:r>
              <w:rPr>
                <w:rFonts w:ascii="Arial" w:cs="Arial" w:eastAsia="Arial" w:hAnsi="Arial"/>
                <w:sz w:val="17"/>
                <w:szCs w:val="17"/>
                <w:color w:val="auto"/>
              </w:rPr>
              <w:t>Basic earnings per share</w:t>
            </w:r>
          </w:p>
        </w:tc>
        <w:tc>
          <w:tcPr>
            <w:tcW w:w="260" w:type="dxa"/>
            <w:vAlign w:val="bottom"/>
          </w:tcPr>
          <w:p>
            <w:pPr>
              <w:jc w:val="right"/>
              <w:ind w:right="54"/>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0.75</w:t>
            </w:r>
          </w:p>
        </w:tc>
        <w:tc>
          <w:tcPr>
            <w:tcW w:w="100" w:type="dxa"/>
            <w:vAlign w:val="bottom"/>
          </w:tcPr>
          <w:p>
            <w:pPr>
              <w:spacing w:after="0"/>
              <w:rPr>
                <w:sz w:val="19"/>
                <w:szCs w:val="19"/>
                <w:color w:val="auto"/>
              </w:rPr>
            </w:pPr>
          </w:p>
        </w:tc>
        <w:tc>
          <w:tcPr>
            <w:tcW w:w="360" w:type="dxa"/>
            <w:vAlign w:val="bottom"/>
          </w:tcPr>
          <w:p>
            <w:pPr>
              <w:jc w:val="right"/>
              <w:ind w:right="174"/>
              <w:spacing w:after="0"/>
              <w:rPr>
                <w:sz w:val="20"/>
                <w:szCs w:val="20"/>
                <w:color w:val="auto"/>
              </w:rPr>
            </w:pPr>
            <w:r>
              <w:rPr>
                <w:rFonts w:ascii="Arial" w:cs="Arial" w:eastAsia="Arial" w:hAnsi="Arial"/>
                <w:sz w:val="17"/>
                <w:szCs w:val="17"/>
                <w:color w:val="auto"/>
                <w:w w:val="84"/>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0.79</w:t>
            </w:r>
          </w:p>
        </w:tc>
        <w:tc>
          <w:tcPr>
            <w:tcW w:w="120" w:type="dxa"/>
            <w:vAlign w:val="bottom"/>
          </w:tcPr>
          <w:p>
            <w:pPr>
              <w:spacing w:after="0"/>
              <w:rPr>
                <w:sz w:val="19"/>
                <w:szCs w:val="19"/>
                <w:color w:val="auto"/>
              </w:rPr>
            </w:pP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3.93</w:t>
            </w:r>
          </w:p>
        </w:tc>
        <w:tc>
          <w:tcPr>
            <w:tcW w:w="100" w:type="dxa"/>
            <w:vAlign w:val="bottom"/>
          </w:tcPr>
          <w:p>
            <w:pPr>
              <w:spacing w:after="0"/>
              <w:rPr>
                <w:sz w:val="19"/>
                <w:szCs w:val="19"/>
                <w:color w:val="auto"/>
              </w:rPr>
            </w:pPr>
          </w:p>
        </w:tc>
        <w:tc>
          <w:tcPr>
            <w:tcW w:w="260" w:type="dxa"/>
            <w:vAlign w:val="bottom"/>
          </w:tcPr>
          <w:p>
            <w:pPr>
              <w:jc w:val="right"/>
              <w:ind w:right="54"/>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4.05</w:t>
            </w:r>
          </w:p>
        </w:tc>
      </w:tr>
      <w:tr>
        <w:trPr>
          <w:trHeight w:val="219"/>
        </w:trPr>
        <w:tc>
          <w:tcPr>
            <w:tcW w:w="5600" w:type="dxa"/>
            <w:vAlign w:val="bottom"/>
            <w:shd w:val="clear" w:color="auto" w:fill="CCEEFF"/>
          </w:tcPr>
          <w:p>
            <w:pPr>
              <w:ind w:left="20"/>
              <w:spacing w:after="0"/>
              <w:rPr>
                <w:sz w:val="20"/>
                <w:szCs w:val="20"/>
                <w:color w:val="auto"/>
              </w:rPr>
            </w:pPr>
            <w:r>
              <w:rPr>
                <w:rFonts w:ascii="Arial" w:cs="Arial" w:eastAsia="Arial" w:hAnsi="Arial"/>
                <w:sz w:val="17"/>
                <w:szCs w:val="17"/>
                <w:color w:val="auto"/>
              </w:rPr>
              <w:t>Diluted earnings per share</w:t>
            </w:r>
          </w:p>
        </w:tc>
        <w:tc>
          <w:tcPr>
            <w:tcW w:w="26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0.74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0.78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4.03</w:t>
            </w:r>
          </w:p>
        </w:tc>
      </w:tr>
    </w:tbl>
    <w:p>
      <w:pPr>
        <w:sectPr>
          <w:pgSz w:w="11900" w:h="16838" w:orient="portrait"/>
          <w:cols w:equalWidth="0" w:num="1">
            <w:col w:w="11220"/>
          </w:cols>
          <w:pgMar w:left="340" w:top="1440" w:right="339" w:bottom="1440" w:gutter="0" w:footer="0" w:header="0"/>
          <w:type w:val="continuous"/>
        </w:sectPr>
      </w:pPr>
    </w:p>
    <w:bookmarkStart w:id="8" w:name="page9"/>
    <w:bookmarkEnd w:id="8"/>
    <w:p>
      <w:pPr>
        <w:jc w:val="center"/>
        <w:spacing w:after="0"/>
        <w:rPr>
          <w:sz w:val="20"/>
          <w:szCs w:val="20"/>
          <w:color w:val="auto"/>
        </w:rPr>
      </w:pPr>
      <w:r>
        <w:rPr>
          <w:rFonts w:ascii="Arial" w:cs="Arial" w:eastAsia="Arial" w:hAnsi="Arial"/>
          <w:sz w:val="17"/>
          <w:szCs w:val="17"/>
          <w:b w:val="1"/>
          <w:bCs w:val="1"/>
          <w:color w:val="auto"/>
        </w:rPr>
        <w:t>HAWKINS, INC.</w:t>
      </w:r>
    </w:p>
    <w:p>
      <w:pPr>
        <w:spacing w:after="0" w:line="29" w:lineRule="exact"/>
        <w:rPr>
          <w:sz w:val="20"/>
          <w:szCs w:val="20"/>
          <w:color w:val="auto"/>
        </w:rPr>
      </w:pPr>
    </w:p>
    <w:p>
      <w:pPr>
        <w:jc w:val="center"/>
        <w:ind w:left="600"/>
        <w:spacing w:after="0"/>
        <w:rPr>
          <w:sz w:val="20"/>
          <w:szCs w:val="20"/>
          <w:color w:val="auto"/>
        </w:rPr>
      </w:pPr>
      <w:r>
        <w:rPr>
          <w:rFonts w:ascii="Arial" w:cs="Arial" w:eastAsia="Arial" w:hAnsi="Arial"/>
          <w:sz w:val="17"/>
          <w:szCs w:val="17"/>
          <w:b w:val="1"/>
          <w:bCs w:val="1"/>
          <w:color w:val="auto"/>
        </w:rPr>
        <w:t>CONSOLIDATED BALANCE SHEETS (UNAUDITED)</w:t>
      </w:r>
    </w:p>
    <w:p>
      <w:pPr>
        <w:spacing w:after="0" w:line="11" w:lineRule="exact"/>
        <w:rPr>
          <w:sz w:val="20"/>
          <w:szCs w:val="20"/>
          <w:color w:val="auto"/>
        </w:rPr>
      </w:pPr>
    </w:p>
    <w:p>
      <w:pPr>
        <w:jc w:val="center"/>
        <w:ind w:left="600"/>
        <w:spacing w:after="0"/>
        <w:rPr>
          <w:sz w:val="20"/>
          <w:szCs w:val="20"/>
          <w:color w:val="auto"/>
        </w:rPr>
      </w:pPr>
      <w:r>
        <w:rPr>
          <w:rFonts w:ascii="Arial" w:cs="Arial" w:eastAsia="Arial" w:hAnsi="Arial"/>
          <w:sz w:val="17"/>
          <w:szCs w:val="17"/>
          <w:b w:val="1"/>
          <w:bCs w:val="1"/>
          <w:color w:val="auto"/>
        </w:rPr>
        <w:t>(In thousands, except share and per-share data)</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gridSpan w:val="2"/>
          </w:tcPr>
          <w:p>
            <w:pPr>
              <w:ind w:left="60"/>
              <w:spacing w:after="0"/>
              <w:rPr>
                <w:sz w:val="20"/>
                <w:szCs w:val="20"/>
                <w:color w:val="auto"/>
              </w:rPr>
            </w:pPr>
            <w:r>
              <w:rPr>
                <w:rFonts w:ascii="Arial" w:cs="Arial" w:eastAsia="Arial" w:hAnsi="Arial"/>
                <w:sz w:val="17"/>
                <w:szCs w:val="17"/>
                <w:b w:val="1"/>
                <w:bCs w:val="1"/>
                <w:color w:val="auto"/>
              </w:rPr>
              <w:t>March 29, 2026</w:t>
            </w:r>
          </w:p>
        </w:tc>
        <w:tc>
          <w:tcPr>
            <w:tcW w:w="200" w:type="dxa"/>
            <w:vAlign w:val="bottom"/>
          </w:tcPr>
          <w:p>
            <w:pPr>
              <w:spacing w:after="0"/>
              <w:rPr>
                <w:sz w:val="19"/>
                <w:szCs w:val="19"/>
                <w:color w:val="auto"/>
              </w:rPr>
            </w:pPr>
          </w:p>
        </w:tc>
        <w:tc>
          <w:tcPr>
            <w:tcW w:w="1560" w:type="dxa"/>
            <w:vAlign w:val="bottom"/>
          </w:tcPr>
          <w:p>
            <w:pPr>
              <w:jc w:val="right"/>
              <w:ind w:right="174"/>
              <w:spacing w:after="0"/>
              <w:rPr>
                <w:sz w:val="20"/>
                <w:szCs w:val="20"/>
                <w:color w:val="auto"/>
              </w:rPr>
            </w:pPr>
            <w:r>
              <w:rPr>
                <w:rFonts w:ascii="Arial" w:cs="Arial" w:eastAsia="Arial" w:hAnsi="Arial"/>
                <w:sz w:val="17"/>
                <w:szCs w:val="17"/>
                <w:b w:val="1"/>
                <w:bCs w:val="1"/>
                <w:color w:val="auto"/>
              </w:rPr>
              <w:t>March 30, 2025</w:t>
            </w:r>
          </w:p>
        </w:tc>
        <w:tc>
          <w:tcPr>
            <w:tcW w:w="0" w:type="dxa"/>
            <w:vAlign w:val="bottom"/>
          </w:tcPr>
          <w:p>
            <w:pPr>
              <w:spacing w:after="0"/>
              <w:rPr>
                <w:sz w:val="1"/>
                <w:szCs w:val="1"/>
                <w:color w:val="auto"/>
              </w:rPr>
            </w:pPr>
          </w:p>
        </w:tc>
      </w:tr>
      <w:tr>
        <w:trPr>
          <w:trHeight w:val="199"/>
        </w:trPr>
        <w:tc>
          <w:tcPr>
            <w:tcW w:w="7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ASSETS</w:t>
            </w:r>
          </w:p>
        </w:tc>
        <w:tc>
          <w:tcPr>
            <w:tcW w:w="200" w:type="dxa"/>
            <w:vAlign w:val="bottom"/>
            <w:tcBorders>
              <w:top w:val="single" w:sz="8" w:color="auto"/>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620" w:type="dxa"/>
            <w:vAlign w:val="bottom"/>
          </w:tcPr>
          <w:p>
            <w:pPr>
              <w:ind w:left="20"/>
              <w:spacing w:after="0"/>
              <w:rPr>
                <w:sz w:val="20"/>
                <w:szCs w:val="20"/>
                <w:color w:val="auto"/>
              </w:rPr>
            </w:pPr>
            <w:r>
              <w:rPr>
                <w:rFonts w:ascii="Arial" w:cs="Arial" w:eastAsia="Arial" w:hAnsi="Arial"/>
                <w:sz w:val="17"/>
                <w:szCs w:val="17"/>
                <w:color w:val="auto"/>
              </w:rPr>
              <w:t>CURRENT ASSETS:</w:t>
            </w:r>
          </w:p>
        </w:tc>
        <w:tc>
          <w:tcPr>
            <w:tcW w:w="2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6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Cash and cash equivalents</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3,914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5,103</w:t>
            </w:r>
          </w:p>
        </w:tc>
        <w:tc>
          <w:tcPr>
            <w:tcW w:w="0" w:type="dxa"/>
            <w:vAlign w:val="bottom"/>
          </w:tcPr>
          <w:p>
            <w:pPr>
              <w:spacing w:after="0"/>
              <w:rPr>
                <w:sz w:val="1"/>
                <w:szCs w:val="1"/>
                <w:color w:val="auto"/>
              </w:rPr>
            </w:pPr>
          </w:p>
        </w:tc>
      </w:tr>
      <w:tr>
        <w:trPr>
          <w:trHeight w:val="219"/>
        </w:trPr>
        <w:tc>
          <w:tcPr>
            <w:tcW w:w="7620" w:type="dxa"/>
            <w:vAlign w:val="bottom"/>
          </w:tcPr>
          <w:p>
            <w:pPr>
              <w:ind w:left="320"/>
              <w:spacing w:after="0"/>
              <w:rPr>
                <w:sz w:val="20"/>
                <w:szCs w:val="20"/>
                <w:color w:val="auto"/>
              </w:rPr>
            </w:pPr>
            <w:r>
              <w:rPr>
                <w:rFonts w:ascii="Arial" w:cs="Arial" w:eastAsia="Arial" w:hAnsi="Arial"/>
                <w:sz w:val="17"/>
                <w:szCs w:val="17"/>
                <w:color w:val="auto"/>
              </w:rPr>
              <w:t>Trade accounts receivables, net</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139,796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131,795</w:t>
            </w:r>
          </w:p>
        </w:tc>
        <w:tc>
          <w:tcPr>
            <w:tcW w:w="0" w:type="dxa"/>
            <w:vAlign w:val="bottom"/>
          </w:tcPr>
          <w:p>
            <w:pPr>
              <w:spacing w:after="0"/>
              <w:rPr>
                <w:sz w:val="1"/>
                <w:szCs w:val="1"/>
                <w:color w:val="auto"/>
              </w:rPr>
            </w:pPr>
          </w:p>
        </w:tc>
      </w:tr>
      <w:tr>
        <w:trPr>
          <w:trHeight w:val="219"/>
        </w:trPr>
        <w:tc>
          <w:tcPr>
            <w:tcW w:w="76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Inventories</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78,199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83,512</w:t>
            </w:r>
          </w:p>
        </w:tc>
        <w:tc>
          <w:tcPr>
            <w:tcW w:w="0" w:type="dxa"/>
            <w:vAlign w:val="bottom"/>
          </w:tcPr>
          <w:p>
            <w:pPr>
              <w:spacing w:after="0"/>
              <w:rPr>
                <w:sz w:val="1"/>
                <w:szCs w:val="1"/>
                <w:color w:val="auto"/>
              </w:rPr>
            </w:pPr>
          </w:p>
        </w:tc>
      </w:tr>
      <w:tr>
        <w:trPr>
          <w:trHeight w:val="219"/>
        </w:trPr>
        <w:tc>
          <w:tcPr>
            <w:tcW w:w="7620" w:type="dxa"/>
            <w:vAlign w:val="bottom"/>
          </w:tcPr>
          <w:p>
            <w:pPr>
              <w:ind w:left="320"/>
              <w:spacing w:after="0"/>
              <w:rPr>
                <w:sz w:val="20"/>
                <w:szCs w:val="20"/>
                <w:color w:val="auto"/>
              </w:rPr>
            </w:pPr>
            <w:r>
              <w:rPr>
                <w:rFonts w:ascii="Arial" w:cs="Arial" w:eastAsia="Arial" w:hAnsi="Arial"/>
                <w:sz w:val="17"/>
                <w:szCs w:val="17"/>
                <w:color w:val="auto"/>
              </w:rPr>
              <w:t>Income taxes receivable</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891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2,864</w:t>
            </w:r>
          </w:p>
        </w:tc>
        <w:tc>
          <w:tcPr>
            <w:tcW w:w="0" w:type="dxa"/>
            <w:vAlign w:val="bottom"/>
          </w:tcPr>
          <w:p>
            <w:pPr>
              <w:spacing w:after="0"/>
              <w:rPr>
                <w:sz w:val="1"/>
                <w:szCs w:val="1"/>
                <w:color w:val="auto"/>
              </w:rPr>
            </w:pPr>
          </w:p>
        </w:tc>
      </w:tr>
      <w:tr>
        <w:trPr>
          <w:trHeight w:val="219"/>
        </w:trPr>
        <w:tc>
          <w:tcPr>
            <w:tcW w:w="76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Prepaid expenses and other current assets</w:t>
            </w: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8,665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7,417</w:t>
            </w:r>
          </w:p>
        </w:tc>
        <w:tc>
          <w:tcPr>
            <w:tcW w:w="0" w:type="dxa"/>
            <w:vAlign w:val="bottom"/>
          </w:tcPr>
          <w:p>
            <w:pPr>
              <w:spacing w:after="0"/>
              <w:rPr>
                <w:sz w:val="1"/>
                <w:szCs w:val="1"/>
                <w:color w:val="auto"/>
              </w:rPr>
            </w:pPr>
          </w:p>
        </w:tc>
      </w:tr>
      <w:tr>
        <w:trPr>
          <w:trHeight w:val="212"/>
        </w:trPr>
        <w:tc>
          <w:tcPr>
            <w:tcW w:w="7620" w:type="dxa"/>
            <w:vAlign w:val="bottom"/>
          </w:tcPr>
          <w:p>
            <w:pPr>
              <w:ind w:left="1060"/>
              <w:spacing w:after="0"/>
              <w:rPr>
                <w:sz w:val="20"/>
                <w:szCs w:val="20"/>
                <w:color w:val="auto"/>
              </w:rPr>
            </w:pPr>
            <w:r>
              <w:rPr>
                <w:rFonts w:ascii="Arial" w:cs="Arial" w:eastAsia="Arial" w:hAnsi="Arial"/>
                <w:sz w:val="17"/>
                <w:szCs w:val="17"/>
                <w:color w:val="auto"/>
              </w:rPr>
              <w:t>Total current assets</w:t>
            </w: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231,465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230,691</w:t>
            </w:r>
          </w:p>
        </w:tc>
        <w:tc>
          <w:tcPr>
            <w:tcW w:w="0" w:type="dxa"/>
            <w:vAlign w:val="bottom"/>
          </w:tcPr>
          <w:p>
            <w:pPr>
              <w:spacing w:after="0"/>
              <w:rPr>
                <w:sz w:val="1"/>
                <w:szCs w:val="1"/>
                <w:color w:val="auto"/>
              </w:rPr>
            </w:pPr>
          </w:p>
        </w:tc>
      </w:tr>
      <w:tr>
        <w:trPr>
          <w:trHeight w:val="219"/>
        </w:trPr>
        <w:tc>
          <w:tcPr>
            <w:tcW w:w="7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PROPERTY, PLANT, AND EQUIPMENT:</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620" w:type="dxa"/>
            <w:vAlign w:val="bottom"/>
          </w:tcPr>
          <w:p>
            <w:pPr>
              <w:ind w:left="320"/>
              <w:spacing w:after="0"/>
              <w:rPr>
                <w:sz w:val="20"/>
                <w:szCs w:val="20"/>
                <w:color w:val="auto"/>
              </w:rPr>
            </w:pPr>
            <w:r>
              <w:rPr>
                <w:rFonts w:ascii="Arial" w:cs="Arial" w:eastAsia="Arial" w:hAnsi="Arial"/>
                <w:sz w:val="17"/>
                <w:szCs w:val="17"/>
                <w:color w:val="auto"/>
              </w:rPr>
              <w:t>Land</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21,223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18,679</w:t>
            </w:r>
          </w:p>
        </w:tc>
        <w:tc>
          <w:tcPr>
            <w:tcW w:w="0" w:type="dxa"/>
            <w:vAlign w:val="bottom"/>
          </w:tcPr>
          <w:p>
            <w:pPr>
              <w:spacing w:after="0"/>
              <w:rPr>
                <w:sz w:val="1"/>
                <w:szCs w:val="1"/>
                <w:color w:val="auto"/>
              </w:rPr>
            </w:pPr>
          </w:p>
        </w:tc>
      </w:tr>
      <w:tr>
        <w:trPr>
          <w:trHeight w:val="219"/>
        </w:trPr>
        <w:tc>
          <w:tcPr>
            <w:tcW w:w="76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Buildings and improvements</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193,210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163,913</w:t>
            </w:r>
          </w:p>
        </w:tc>
        <w:tc>
          <w:tcPr>
            <w:tcW w:w="0" w:type="dxa"/>
            <w:vAlign w:val="bottom"/>
          </w:tcPr>
          <w:p>
            <w:pPr>
              <w:spacing w:after="0"/>
              <w:rPr>
                <w:sz w:val="1"/>
                <w:szCs w:val="1"/>
                <w:color w:val="auto"/>
              </w:rPr>
            </w:pPr>
          </w:p>
        </w:tc>
      </w:tr>
      <w:tr>
        <w:trPr>
          <w:trHeight w:val="219"/>
        </w:trPr>
        <w:tc>
          <w:tcPr>
            <w:tcW w:w="7620" w:type="dxa"/>
            <w:vAlign w:val="bottom"/>
          </w:tcPr>
          <w:p>
            <w:pPr>
              <w:ind w:left="320"/>
              <w:spacing w:after="0"/>
              <w:rPr>
                <w:sz w:val="20"/>
                <w:szCs w:val="20"/>
                <w:color w:val="auto"/>
              </w:rPr>
            </w:pPr>
            <w:r>
              <w:rPr>
                <w:rFonts w:ascii="Arial" w:cs="Arial" w:eastAsia="Arial" w:hAnsi="Arial"/>
                <w:sz w:val="17"/>
                <w:szCs w:val="17"/>
                <w:color w:val="auto"/>
              </w:rPr>
              <w:t>Machinery and equipment</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175,495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150,981</w:t>
            </w:r>
          </w:p>
        </w:tc>
        <w:tc>
          <w:tcPr>
            <w:tcW w:w="0" w:type="dxa"/>
            <w:vAlign w:val="bottom"/>
          </w:tcPr>
          <w:p>
            <w:pPr>
              <w:spacing w:after="0"/>
              <w:rPr>
                <w:sz w:val="1"/>
                <w:szCs w:val="1"/>
                <w:color w:val="auto"/>
              </w:rPr>
            </w:pPr>
          </w:p>
        </w:tc>
      </w:tr>
      <w:tr>
        <w:trPr>
          <w:trHeight w:val="219"/>
        </w:trPr>
        <w:tc>
          <w:tcPr>
            <w:tcW w:w="76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Transportation equipment</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89,220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78,064</w:t>
            </w:r>
          </w:p>
        </w:tc>
        <w:tc>
          <w:tcPr>
            <w:tcW w:w="0" w:type="dxa"/>
            <w:vAlign w:val="bottom"/>
          </w:tcPr>
          <w:p>
            <w:pPr>
              <w:spacing w:after="0"/>
              <w:rPr>
                <w:sz w:val="1"/>
                <w:szCs w:val="1"/>
                <w:color w:val="auto"/>
              </w:rPr>
            </w:pPr>
          </w:p>
        </w:tc>
      </w:tr>
      <w:tr>
        <w:trPr>
          <w:trHeight w:val="219"/>
        </w:trPr>
        <w:tc>
          <w:tcPr>
            <w:tcW w:w="7620" w:type="dxa"/>
            <w:vAlign w:val="bottom"/>
            <w:tcBorders>
              <w:bottom w:val="single" w:sz="8" w:color="CCEEFF"/>
            </w:tcBorders>
          </w:tcPr>
          <w:p>
            <w:pPr>
              <w:ind w:left="320"/>
              <w:spacing w:after="0"/>
              <w:rPr>
                <w:sz w:val="20"/>
                <w:szCs w:val="20"/>
                <w:color w:val="auto"/>
              </w:rPr>
            </w:pPr>
            <w:r>
              <w:rPr>
                <w:rFonts w:ascii="Arial" w:cs="Arial" w:eastAsia="Arial" w:hAnsi="Arial"/>
                <w:sz w:val="17"/>
                <w:szCs w:val="17"/>
                <w:color w:val="auto"/>
              </w:rPr>
              <w:t>Office furniture and equipment</w:t>
            </w: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10,514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9,316</w:t>
            </w:r>
          </w:p>
        </w:tc>
        <w:tc>
          <w:tcPr>
            <w:tcW w:w="0" w:type="dxa"/>
            <w:vAlign w:val="bottom"/>
          </w:tcPr>
          <w:p>
            <w:pPr>
              <w:spacing w:after="0"/>
              <w:rPr>
                <w:sz w:val="1"/>
                <w:szCs w:val="1"/>
                <w:color w:val="auto"/>
              </w:rPr>
            </w:pPr>
          </w:p>
        </w:tc>
      </w:tr>
      <w:tr>
        <w:trPr>
          <w:trHeight w:val="212"/>
        </w:trPr>
        <w:tc>
          <w:tcPr>
            <w:tcW w:w="7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489,662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420,953</w:t>
            </w:r>
          </w:p>
        </w:tc>
        <w:tc>
          <w:tcPr>
            <w:tcW w:w="0" w:type="dxa"/>
            <w:vAlign w:val="bottom"/>
          </w:tcPr>
          <w:p>
            <w:pPr>
              <w:spacing w:after="0"/>
              <w:rPr>
                <w:sz w:val="1"/>
                <w:szCs w:val="1"/>
                <w:color w:val="auto"/>
              </w:rPr>
            </w:pPr>
          </w:p>
        </w:tc>
      </w:tr>
      <w:tr>
        <w:trPr>
          <w:trHeight w:val="219"/>
        </w:trPr>
        <w:tc>
          <w:tcPr>
            <w:tcW w:w="7620" w:type="dxa"/>
            <w:vAlign w:val="bottom"/>
            <w:tcBorders>
              <w:bottom w:val="single" w:sz="8" w:color="CCEEFF"/>
            </w:tcBorders>
          </w:tcPr>
          <w:p>
            <w:pPr>
              <w:ind w:left="640"/>
              <w:spacing w:after="0"/>
              <w:rPr>
                <w:sz w:val="20"/>
                <w:szCs w:val="20"/>
                <w:color w:val="auto"/>
              </w:rPr>
            </w:pPr>
            <w:r>
              <w:rPr>
                <w:rFonts w:ascii="Arial" w:cs="Arial" w:eastAsia="Arial" w:hAnsi="Arial"/>
                <w:sz w:val="17"/>
                <w:szCs w:val="17"/>
                <w:color w:val="auto"/>
              </w:rPr>
              <w:t>Less accumulated depreciation</w:t>
            </w: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223,406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195,667</w:t>
            </w:r>
          </w:p>
        </w:tc>
        <w:tc>
          <w:tcPr>
            <w:tcW w:w="0" w:type="dxa"/>
            <w:vAlign w:val="bottom"/>
          </w:tcPr>
          <w:p>
            <w:pPr>
              <w:spacing w:after="0"/>
              <w:rPr>
                <w:sz w:val="1"/>
                <w:szCs w:val="1"/>
                <w:color w:val="auto"/>
              </w:rPr>
            </w:pPr>
          </w:p>
        </w:tc>
      </w:tr>
      <w:tr>
        <w:trPr>
          <w:trHeight w:val="212"/>
        </w:trPr>
        <w:tc>
          <w:tcPr>
            <w:tcW w:w="7620" w:type="dxa"/>
            <w:vAlign w:val="bottom"/>
            <w:shd w:val="clear" w:color="auto" w:fill="CCEEFF"/>
          </w:tcPr>
          <w:p>
            <w:pPr>
              <w:ind w:left="1060"/>
              <w:spacing w:after="0"/>
              <w:rPr>
                <w:sz w:val="20"/>
                <w:szCs w:val="20"/>
                <w:color w:val="auto"/>
              </w:rPr>
            </w:pPr>
            <w:r>
              <w:rPr>
                <w:rFonts w:ascii="Arial" w:cs="Arial" w:eastAsia="Arial" w:hAnsi="Arial"/>
                <w:sz w:val="17"/>
                <w:szCs w:val="17"/>
                <w:color w:val="auto"/>
              </w:rPr>
              <w:t>Net property, plant, and equipment</w:t>
            </w:r>
          </w:p>
        </w:tc>
        <w:tc>
          <w:tcPr>
            <w:tcW w:w="2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266,256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225,286</w:t>
            </w:r>
          </w:p>
        </w:tc>
        <w:tc>
          <w:tcPr>
            <w:tcW w:w="0" w:type="dxa"/>
            <w:vAlign w:val="bottom"/>
          </w:tcPr>
          <w:p>
            <w:pPr>
              <w:spacing w:after="0"/>
              <w:rPr>
                <w:sz w:val="1"/>
                <w:szCs w:val="1"/>
                <w:color w:val="auto"/>
              </w:rPr>
            </w:pPr>
          </w:p>
        </w:tc>
      </w:tr>
      <w:tr>
        <w:trPr>
          <w:trHeight w:val="219"/>
        </w:trPr>
        <w:tc>
          <w:tcPr>
            <w:tcW w:w="7620" w:type="dxa"/>
            <w:vAlign w:val="bottom"/>
          </w:tcPr>
          <w:p>
            <w:pPr>
              <w:ind w:left="20"/>
              <w:spacing w:after="0"/>
              <w:rPr>
                <w:sz w:val="20"/>
                <w:szCs w:val="20"/>
                <w:color w:val="auto"/>
              </w:rPr>
            </w:pPr>
            <w:r>
              <w:rPr>
                <w:rFonts w:ascii="Arial" w:cs="Arial" w:eastAsia="Arial" w:hAnsi="Arial"/>
                <w:sz w:val="17"/>
                <w:szCs w:val="17"/>
                <w:color w:val="auto"/>
              </w:rPr>
              <w:t>OTHER ASSETS:</w:t>
            </w:r>
          </w:p>
        </w:tc>
        <w:tc>
          <w:tcPr>
            <w:tcW w:w="2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6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Right-of-use assets</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16,840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13,449</w:t>
            </w:r>
          </w:p>
        </w:tc>
        <w:tc>
          <w:tcPr>
            <w:tcW w:w="0" w:type="dxa"/>
            <w:vAlign w:val="bottom"/>
          </w:tcPr>
          <w:p>
            <w:pPr>
              <w:spacing w:after="0"/>
              <w:rPr>
                <w:sz w:val="1"/>
                <w:szCs w:val="1"/>
                <w:color w:val="auto"/>
              </w:rPr>
            </w:pPr>
          </w:p>
        </w:tc>
      </w:tr>
      <w:tr>
        <w:trPr>
          <w:trHeight w:val="219"/>
        </w:trPr>
        <w:tc>
          <w:tcPr>
            <w:tcW w:w="7620" w:type="dxa"/>
            <w:vAlign w:val="bottom"/>
          </w:tcPr>
          <w:p>
            <w:pPr>
              <w:ind w:left="320"/>
              <w:spacing w:after="0"/>
              <w:rPr>
                <w:sz w:val="20"/>
                <w:szCs w:val="20"/>
                <w:color w:val="auto"/>
              </w:rPr>
            </w:pPr>
            <w:r>
              <w:rPr>
                <w:rFonts w:ascii="Arial" w:cs="Arial" w:eastAsia="Arial" w:hAnsi="Arial"/>
                <w:sz w:val="17"/>
                <w:szCs w:val="17"/>
                <w:color w:val="auto"/>
              </w:rPr>
              <w:t>Goodwill</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223,042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135,409</w:t>
            </w:r>
          </w:p>
        </w:tc>
        <w:tc>
          <w:tcPr>
            <w:tcW w:w="0" w:type="dxa"/>
            <w:vAlign w:val="bottom"/>
          </w:tcPr>
          <w:p>
            <w:pPr>
              <w:spacing w:after="0"/>
              <w:rPr>
                <w:sz w:val="1"/>
                <w:szCs w:val="1"/>
                <w:color w:val="auto"/>
              </w:rPr>
            </w:pPr>
          </w:p>
        </w:tc>
      </w:tr>
      <w:tr>
        <w:trPr>
          <w:trHeight w:val="219"/>
        </w:trPr>
        <w:tc>
          <w:tcPr>
            <w:tcW w:w="76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Intangible assets, net</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232,887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150,121</w:t>
            </w:r>
          </w:p>
        </w:tc>
        <w:tc>
          <w:tcPr>
            <w:tcW w:w="0" w:type="dxa"/>
            <w:vAlign w:val="bottom"/>
          </w:tcPr>
          <w:p>
            <w:pPr>
              <w:spacing w:after="0"/>
              <w:rPr>
                <w:sz w:val="1"/>
                <w:szCs w:val="1"/>
                <w:color w:val="auto"/>
              </w:rPr>
            </w:pPr>
          </w:p>
        </w:tc>
      </w:tr>
      <w:tr>
        <w:trPr>
          <w:trHeight w:val="219"/>
        </w:trPr>
        <w:tc>
          <w:tcPr>
            <w:tcW w:w="7620" w:type="dxa"/>
            <w:vAlign w:val="bottom"/>
          </w:tcPr>
          <w:p>
            <w:pPr>
              <w:ind w:left="320"/>
              <w:spacing w:after="0"/>
              <w:rPr>
                <w:sz w:val="20"/>
                <w:szCs w:val="20"/>
                <w:color w:val="auto"/>
              </w:rPr>
            </w:pPr>
            <w:r>
              <w:rPr>
                <w:rFonts w:ascii="Arial" w:cs="Arial" w:eastAsia="Arial" w:hAnsi="Arial"/>
                <w:sz w:val="17"/>
                <w:szCs w:val="17"/>
                <w:color w:val="auto"/>
              </w:rPr>
              <w:t>Deferred compensation plan assets</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12,812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11,185</w:t>
            </w:r>
          </w:p>
        </w:tc>
        <w:tc>
          <w:tcPr>
            <w:tcW w:w="0" w:type="dxa"/>
            <w:vAlign w:val="bottom"/>
          </w:tcPr>
          <w:p>
            <w:pPr>
              <w:spacing w:after="0"/>
              <w:rPr>
                <w:sz w:val="1"/>
                <w:szCs w:val="1"/>
                <w:color w:val="auto"/>
              </w:rPr>
            </w:pPr>
          </w:p>
        </w:tc>
      </w:tr>
      <w:tr>
        <w:trPr>
          <w:trHeight w:val="219"/>
        </w:trPr>
        <w:tc>
          <w:tcPr>
            <w:tcW w:w="76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Other assets</w:t>
            </w: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2,988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3,907</w:t>
            </w:r>
          </w:p>
        </w:tc>
        <w:tc>
          <w:tcPr>
            <w:tcW w:w="0" w:type="dxa"/>
            <w:vAlign w:val="bottom"/>
          </w:tcPr>
          <w:p>
            <w:pPr>
              <w:spacing w:after="0"/>
              <w:rPr>
                <w:sz w:val="1"/>
                <w:szCs w:val="1"/>
                <w:color w:val="auto"/>
              </w:rPr>
            </w:pPr>
          </w:p>
        </w:tc>
      </w:tr>
      <w:tr>
        <w:trPr>
          <w:trHeight w:val="212"/>
        </w:trPr>
        <w:tc>
          <w:tcPr>
            <w:tcW w:w="7620" w:type="dxa"/>
            <w:vAlign w:val="bottom"/>
            <w:tcBorders>
              <w:bottom w:val="single" w:sz="8" w:color="CCEEFF"/>
            </w:tcBorders>
          </w:tcPr>
          <w:p>
            <w:pPr>
              <w:ind w:left="1060"/>
              <w:spacing w:after="0"/>
              <w:rPr>
                <w:sz w:val="20"/>
                <w:szCs w:val="20"/>
                <w:color w:val="auto"/>
              </w:rPr>
            </w:pPr>
            <w:r>
              <w:rPr>
                <w:rFonts w:ascii="Arial" w:cs="Arial" w:eastAsia="Arial" w:hAnsi="Arial"/>
                <w:sz w:val="17"/>
                <w:szCs w:val="17"/>
                <w:color w:val="auto"/>
              </w:rPr>
              <w:t>Total other assets</w:t>
            </w:r>
          </w:p>
        </w:tc>
        <w:tc>
          <w:tcPr>
            <w:tcW w:w="2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488,569</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314,071</w:t>
            </w:r>
          </w:p>
        </w:tc>
        <w:tc>
          <w:tcPr>
            <w:tcW w:w="0" w:type="dxa"/>
            <w:vAlign w:val="bottom"/>
          </w:tcPr>
          <w:p>
            <w:pPr>
              <w:spacing w:after="0"/>
              <w:rPr>
                <w:sz w:val="1"/>
                <w:szCs w:val="1"/>
                <w:color w:val="auto"/>
              </w:rPr>
            </w:pPr>
          </w:p>
        </w:tc>
      </w:tr>
      <w:tr>
        <w:trPr>
          <w:trHeight w:val="237"/>
        </w:trPr>
        <w:tc>
          <w:tcPr>
            <w:tcW w:w="762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7"/>
                <w:szCs w:val="17"/>
                <w:color w:val="auto"/>
              </w:rPr>
              <w:t>Total assets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986,290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770,048</w:t>
            </w:r>
          </w:p>
        </w:tc>
        <w:tc>
          <w:tcPr>
            <w:tcW w:w="0" w:type="dxa"/>
            <w:vAlign w:val="bottom"/>
          </w:tcPr>
          <w:p>
            <w:pPr>
              <w:spacing w:after="0"/>
              <w:rPr>
                <w:sz w:val="1"/>
                <w:szCs w:val="1"/>
                <w:color w:val="auto"/>
              </w:rPr>
            </w:pPr>
          </w:p>
        </w:tc>
      </w:tr>
      <w:tr>
        <w:trPr>
          <w:trHeight w:val="20"/>
        </w:trPr>
        <w:tc>
          <w:tcPr>
            <w:tcW w:w="76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b w:val="1"/>
                <w:bCs w:val="1"/>
                <w:color w:val="auto"/>
              </w:rPr>
              <w:t>LIABILITIES AND SHAREHOLDERS’ EQUITY</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76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7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CURRENT LIABILITIES:</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620" w:type="dxa"/>
            <w:vAlign w:val="bottom"/>
          </w:tcPr>
          <w:p>
            <w:pPr>
              <w:ind w:left="320"/>
              <w:spacing w:after="0"/>
              <w:rPr>
                <w:sz w:val="20"/>
                <w:szCs w:val="20"/>
                <w:color w:val="auto"/>
              </w:rPr>
            </w:pPr>
            <w:r>
              <w:rPr>
                <w:rFonts w:ascii="Arial" w:cs="Arial" w:eastAsia="Arial" w:hAnsi="Arial"/>
                <w:sz w:val="17"/>
                <w:szCs w:val="17"/>
                <w:color w:val="auto"/>
              </w:rPr>
              <w:t>Accounts payable — trade</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560" w:type="dxa"/>
            <w:vAlign w:val="bottom"/>
          </w:tcPr>
          <w:p>
            <w:pPr>
              <w:jc w:val="right"/>
              <w:spacing w:after="0"/>
              <w:rPr>
                <w:sz w:val="20"/>
                <w:szCs w:val="20"/>
                <w:color w:val="auto"/>
              </w:rPr>
            </w:pPr>
            <w:r>
              <w:rPr>
                <w:rFonts w:ascii="Arial" w:cs="Arial" w:eastAsia="Arial" w:hAnsi="Arial"/>
                <w:sz w:val="17"/>
                <w:szCs w:val="17"/>
                <w:color w:val="auto"/>
              </w:rPr>
              <w:t>59,835</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560" w:type="dxa"/>
            <w:vAlign w:val="bottom"/>
          </w:tcPr>
          <w:p>
            <w:pPr>
              <w:jc w:val="right"/>
              <w:spacing w:after="0"/>
              <w:rPr>
                <w:sz w:val="20"/>
                <w:szCs w:val="20"/>
                <w:color w:val="auto"/>
              </w:rPr>
            </w:pPr>
            <w:r>
              <w:rPr>
                <w:rFonts w:ascii="Arial" w:cs="Arial" w:eastAsia="Arial" w:hAnsi="Arial"/>
                <w:sz w:val="17"/>
                <w:szCs w:val="17"/>
                <w:color w:val="auto"/>
              </w:rPr>
              <w:t>61,195</w:t>
            </w:r>
          </w:p>
        </w:tc>
        <w:tc>
          <w:tcPr>
            <w:tcW w:w="0" w:type="dxa"/>
            <w:vAlign w:val="bottom"/>
          </w:tcPr>
          <w:p>
            <w:pPr>
              <w:spacing w:after="0"/>
              <w:rPr>
                <w:sz w:val="1"/>
                <w:szCs w:val="1"/>
                <w:color w:val="auto"/>
              </w:rPr>
            </w:pPr>
          </w:p>
        </w:tc>
      </w:tr>
      <w:tr>
        <w:trPr>
          <w:trHeight w:val="219"/>
        </w:trPr>
        <w:tc>
          <w:tcPr>
            <w:tcW w:w="76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Accrued payroll and employee benefits</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20,092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19,659</w:t>
            </w:r>
          </w:p>
        </w:tc>
        <w:tc>
          <w:tcPr>
            <w:tcW w:w="0" w:type="dxa"/>
            <w:vAlign w:val="bottom"/>
          </w:tcPr>
          <w:p>
            <w:pPr>
              <w:spacing w:after="0"/>
              <w:rPr>
                <w:sz w:val="1"/>
                <w:szCs w:val="1"/>
                <w:color w:val="auto"/>
              </w:rPr>
            </w:pPr>
          </w:p>
        </w:tc>
      </w:tr>
      <w:tr>
        <w:trPr>
          <w:trHeight w:val="219"/>
        </w:trPr>
        <w:tc>
          <w:tcPr>
            <w:tcW w:w="7620" w:type="dxa"/>
            <w:vAlign w:val="bottom"/>
          </w:tcPr>
          <w:p>
            <w:pPr>
              <w:ind w:left="320"/>
              <w:spacing w:after="0"/>
              <w:rPr>
                <w:sz w:val="20"/>
                <w:szCs w:val="20"/>
                <w:color w:val="auto"/>
              </w:rPr>
            </w:pPr>
            <w:r>
              <w:rPr>
                <w:rFonts w:ascii="Arial" w:cs="Arial" w:eastAsia="Arial" w:hAnsi="Arial"/>
                <w:sz w:val="17"/>
                <w:szCs w:val="17"/>
                <w:color w:val="auto"/>
              </w:rPr>
              <w:t>Short-term lease liabilities</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3,000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2,900</w:t>
            </w:r>
          </w:p>
        </w:tc>
        <w:tc>
          <w:tcPr>
            <w:tcW w:w="0" w:type="dxa"/>
            <w:vAlign w:val="bottom"/>
          </w:tcPr>
          <w:p>
            <w:pPr>
              <w:spacing w:after="0"/>
              <w:rPr>
                <w:sz w:val="1"/>
                <w:szCs w:val="1"/>
                <w:color w:val="auto"/>
              </w:rPr>
            </w:pPr>
          </w:p>
        </w:tc>
      </w:tr>
      <w:tr>
        <w:trPr>
          <w:trHeight w:val="219"/>
        </w:trPr>
        <w:tc>
          <w:tcPr>
            <w:tcW w:w="76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Contract liability</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1,580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9"/>
        </w:trPr>
        <w:tc>
          <w:tcPr>
            <w:tcW w:w="7620" w:type="dxa"/>
            <w:vAlign w:val="bottom"/>
          </w:tcPr>
          <w:p>
            <w:pPr>
              <w:ind w:left="320"/>
              <w:spacing w:after="0"/>
              <w:rPr>
                <w:sz w:val="20"/>
                <w:szCs w:val="20"/>
                <w:color w:val="auto"/>
              </w:rPr>
            </w:pPr>
            <w:r>
              <w:rPr>
                <w:rFonts w:ascii="Arial" w:cs="Arial" w:eastAsia="Arial" w:hAnsi="Arial"/>
                <w:sz w:val="17"/>
                <w:szCs w:val="17"/>
                <w:color w:val="auto"/>
              </w:rPr>
              <w:t>Accrued real estate taxes</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1,224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1,030</w:t>
            </w:r>
          </w:p>
        </w:tc>
        <w:tc>
          <w:tcPr>
            <w:tcW w:w="0" w:type="dxa"/>
            <w:vAlign w:val="bottom"/>
          </w:tcPr>
          <w:p>
            <w:pPr>
              <w:spacing w:after="0"/>
              <w:rPr>
                <w:sz w:val="1"/>
                <w:szCs w:val="1"/>
                <w:color w:val="auto"/>
              </w:rPr>
            </w:pPr>
          </w:p>
        </w:tc>
      </w:tr>
      <w:tr>
        <w:trPr>
          <w:trHeight w:val="219"/>
        </w:trPr>
        <w:tc>
          <w:tcPr>
            <w:tcW w:w="76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Current portion of deferred compensation liability</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1,334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538</w:t>
            </w:r>
          </w:p>
        </w:tc>
        <w:tc>
          <w:tcPr>
            <w:tcW w:w="0" w:type="dxa"/>
            <w:vAlign w:val="bottom"/>
          </w:tcPr>
          <w:p>
            <w:pPr>
              <w:spacing w:after="0"/>
              <w:rPr>
                <w:sz w:val="1"/>
                <w:szCs w:val="1"/>
                <w:color w:val="auto"/>
              </w:rPr>
            </w:pPr>
          </w:p>
        </w:tc>
      </w:tr>
      <w:tr>
        <w:trPr>
          <w:trHeight w:val="219"/>
        </w:trPr>
        <w:tc>
          <w:tcPr>
            <w:tcW w:w="7620" w:type="dxa"/>
            <w:vAlign w:val="bottom"/>
          </w:tcPr>
          <w:p>
            <w:pPr>
              <w:ind w:left="320"/>
              <w:spacing w:after="0"/>
              <w:rPr>
                <w:sz w:val="20"/>
                <w:szCs w:val="20"/>
                <w:color w:val="auto"/>
              </w:rPr>
            </w:pPr>
            <w:r>
              <w:rPr>
                <w:rFonts w:ascii="Arial" w:cs="Arial" w:eastAsia="Arial" w:hAnsi="Arial"/>
                <w:sz w:val="17"/>
                <w:szCs w:val="17"/>
                <w:color w:val="auto"/>
              </w:rPr>
              <w:t>Container deposits</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1,383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1,914</w:t>
            </w:r>
          </w:p>
        </w:tc>
        <w:tc>
          <w:tcPr>
            <w:tcW w:w="0" w:type="dxa"/>
            <w:vAlign w:val="bottom"/>
          </w:tcPr>
          <w:p>
            <w:pPr>
              <w:spacing w:after="0"/>
              <w:rPr>
                <w:sz w:val="1"/>
                <w:szCs w:val="1"/>
                <w:color w:val="auto"/>
              </w:rPr>
            </w:pPr>
          </w:p>
        </w:tc>
      </w:tr>
      <w:tr>
        <w:trPr>
          <w:trHeight w:val="219"/>
        </w:trPr>
        <w:tc>
          <w:tcPr>
            <w:tcW w:w="76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Current portion of earnout liability</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4,529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9"/>
        </w:trPr>
        <w:tc>
          <w:tcPr>
            <w:tcW w:w="7620" w:type="dxa"/>
            <w:vAlign w:val="bottom"/>
          </w:tcPr>
          <w:p>
            <w:pPr>
              <w:ind w:left="320"/>
              <w:spacing w:after="0"/>
              <w:rPr>
                <w:sz w:val="20"/>
                <w:szCs w:val="20"/>
                <w:color w:val="auto"/>
              </w:rPr>
            </w:pPr>
            <w:r>
              <w:rPr>
                <w:rFonts w:ascii="Arial" w:cs="Arial" w:eastAsia="Arial" w:hAnsi="Arial"/>
                <w:sz w:val="17"/>
                <w:szCs w:val="17"/>
                <w:color w:val="auto"/>
              </w:rPr>
              <w:t>Environmental remediation</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7,700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7,700</w:t>
            </w:r>
          </w:p>
        </w:tc>
        <w:tc>
          <w:tcPr>
            <w:tcW w:w="0" w:type="dxa"/>
            <w:vAlign w:val="bottom"/>
          </w:tcPr>
          <w:p>
            <w:pPr>
              <w:spacing w:after="0"/>
              <w:rPr>
                <w:sz w:val="1"/>
                <w:szCs w:val="1"/>
                <w:color w:val="auto"/>
              </w:rPr>
            </w:pPr>
          </w:p>
        </w:tc>
      </w:tr>
      <w:tr>
        <w:trPr>
          <w:trHeight w:val="219"/>
        </w:trPr>
        <w:tc>
          <w:tcPr>
            <w:tcW w:w="76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Other current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4,167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2,286</w:t>
            </w:r>
          </w:p>
        </w:tc>
        <w:tc>
          <w:tcPr>
            <w:tcW w:w="0" w:type="dxa"/>
            <w:vAlign w:val="bottom"/>
          </w:tcPr>
          <w:p>
            <w:pPr>
              <w:spacing w:after="0"/>
              <w:rPr>
                <w:sz w:val="1"/>
                <w:szCs w:val="1"/>
                <w:color w:val="auto"/>
              </w:rPr>
            </w:pPr>
          </w:p>
        </w:tc>
      </w:tr>
      <w:tr>
        <w:trPr>
          <w:trHeight w:val="218"/>
        </w:trPr>
        <w:tc>
          <w:tcPr>
            <w:tcW w:w="7620" w:type="dxa"/>
            <w:vAlign w:val="bottom"/>
          </w:tcPr>
          <w:p>
            <w:pPr>
              <w:ind w:left="1060"/>
              <w:spacing w:after="0"/>
              <w:rPr>
                <w:sz w:val="20"/>
                <w:szCs w:val="20"/>
                <w:color w:val="auto"/>
              </w:rPr>
            </w:pPr>
            <w:r>
              <w:rPr>
                <w:rFonts w:ascii="Arial" w:cs="Arial" w:eastAsia="Arial" w:hAnsi="Arial"/>
                <w:sz w:val="17"/>
                <w:szCs w:val="17"/>
                <w:color w:val="auto"/>
              </w:rPr>
              <w:t>Total current liabilities</w:t>
            </w: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104,844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97,222</w:t>
            </w:r>
          </w:p>
        </w:tc>
        <w:tc>
          <w:tcPr>
            <w:tcW w:w="0" w:type="dxa"/>
            <w:vAlign w:val="bottom"/>
          </w:tcPr>
          <w:p>
            <w:pPr>
              <w:spacing w:after="0"/>
              <w:rPr>
                <w:sz w:val="1"/>
                <w:szCs w:val="1"/>
                <w:color w:val="auto"/>
              </w:rPr>
            </w:pPr>
          </w:p>
        </w:tc>
      </w:tr>
    </w:tbl>
    <w:p>
      <w:pPr>
        <w:sectPr>
          <w:pgSz w:w="11900" w:h="16838" w:orient="portrait"/>
          <w:cols w:equalWidth="0" w:num="1">
            <w:col w:w="11240"/>
          </w:cols>
          <w:pgMar w:left="320" w:top="856" w:right="339" w:bottom="144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gridSpan w:val="2"/>
          </w:tcPr>
          <w:p>
            <w:pPr>
              <w:ind w:left="60"/>
              <w:spacing w:after="0"/>
              <w:rPr>
                <w:sz w:val="20"/>
                <w:szCs w:val="20"/>
                <w:color w:val="auto"/>
              </w:rPr>
            </w:pPr>
            <w:r>
              <w:rPr>
                <w:rFonts w:ascii="Arial" w:cs="Arial" w:eastAsia="Arial" w:hAnsi="Arial"/>
                <w:sz w:val="17"/>
                <w:szCs w:val="17"/>
                <w:b w:val="1"/>
                <w:bCs w:val="1"/>
                <w:color w:val="auto"/>
              </w:rPr>
              <w:t>March 29, 2026</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b w:val="1"/>
                <w:bCs w:val="1"/>
                <w:color w:val="auto"/>
              </w:rPr>
              <w:t>March 30, 2</w:t>
            </w:r>
          </w:p>
        </w:tc>
      </w:tr>
      <w:tr>
        <w:trPr>
          <w:trHeight w:val="199"/>
        </w:trPr>
        <w:tc>
          <w:tcPr>
            <w:tcW w:w="7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LONG-TERM LIABILITIES:</w:t>
            </w:r>
          </w:p>
        </w:tc>
        <w:tc>
          <w:tcPr>
            <w:tcW w:w="200" w:type="dxa"/>
            <w:vAlign w:val="bottom"/>
            <w:tcBorders>
              <w:top w:val="single" w:sz="8" w:color="auto"/>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r>
      <w:tr>
        <w:trPr>
          <w:trHeight w:val="219"/>
        </w:trPr>
        <w:tc>
          <w:tcPr>
            <w:tcW w:w="7620" w:type="dxa"/>
            <w:vAlign w:val="bottom"/>
          </w:tcPr>
          <w:p>
            <w:pPr>
              <w:ind w:left="320"/>
              <w:spacing w:after="0"/>
              <w:rPr>
                <w:sz w:val="20"/>
                <w:szCs w:val="20"/>
                <w:color w:val="auto"/>
              </w:rPr>
            </w:pPr>
            <w:r>
              <w:rPr>
                <w:rFonts w:ascii="Arial" w:cs="Arial" w:eastAsia="Arial" w:hAnsi="Arial"/>
                <w:sz w:val="17"/>
                <w:szCs w:val="17"/>
                <w:color w:val="auto"/>
              </w:rPr>
              <w:t>Long-term debt</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244,000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14</w:t>
            </w:r>
          </w:p>
        </w:tc>
      </w:tr>
      <w:tr>
        <w:trPr>
          <w:trHeight w:val="219"/>
        </w:trPr>
        <w:tc>
          <w:tcPr>
            <w:tcW w:w="76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Long-term lease liabilities</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14,457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r>
      <w:tr>
        <w:trPr>
          <w:trHeight w:val="219"/>
        </w:trPr>
        <w:tc>
          <w:tcPr>
            <w:tcW w:w="7620" w:type="dxa"/>
            <w:vAlign w:val="bottom"/>
          </w:tcPr>
          <w:p>
            <w:pPr>
              <w:ind w:left="320"/>
              <w:spacing w:after="0"/>
              <w:rPr>
                <w:sz w:val="20"/>
                <w:szCs w:val="20"/>
                <w:color w:val="auto"/>
              </w:rPr>
            </w:pPr>
            <w:r>
              <w:rPr>
                <w:rFonts w:ascii="Arial" w:cs="Arial" w:eastAsia="Arial" w:hAnsi="Arial"/>
                <w:sz w:val="17"/>
                <w:szCs w:val="17"/>
                <w:color w:val="auto"/>
              </w:rPr>
              <w:t>Pension withdrawal liability</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2,763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19"/>
        </w:trPr>
        <w:tc>
          <w:tcPr>
            <w:tcW w:w="76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Deferred income taxes</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25,110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r>
      <w:tr>
        <w:trPr>
          <w:trHeight w:val="219"/>
        </w:trPr>
        <w:tc>
          <w:tcPr>
            <w:tcW w:w="7620" w:type="dxa"/>
            <w:vAlign w:val="bottom"/>
          </w:tcPr>
          <w:p>
            <w:pPr>
              <w:ind w:left="320"/>
              <w:spacing w:after="0"/>
              <w:rPr>
                <w:sz w:val="20"/>
                <w:szCs w:val="20"/>
                <w:color w:val="auto"/>
              </w:rPr>
            </w:pPr>
            <w:r>
              <w:rPr>
                <w:rFonts w:ascii="Arial" w:cs="Arial" w:eastAsia="Arial" w:hAnsi="Arial"/>
                <w:sz w:val="17"/>
                <w:szCs w:val="17"/>
                <w:color w:val="auto"/>
              </w:rPr>
              <w:t>Deferred compensation liability</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14,850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219"/>
        </w:trPr>
        <w:tc>
          <w:tcPr>
            <w:tcW w:w="76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Earnout liability</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44,898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r>
      <w:tr>
        <w:trPr>
          <w:trHeight w:val="219"/>
        </w:trPr>
        <w:tc>
          <w:tcPr>
            <w:tcW w:w="7620" w:type="dxa"/>
            <w:vAlign w:val="bottom"/>
            <w:tcBorders>
              <w:bottom w:val="single" w:sz="8" w:color="CCEEFF"/>
            </w:tcBorders>
          </w:tcPr>
          <w:p>
            <w:pPr>
              <w:ind w:left="320"/>
              <w:spacing w:after="0"/>
              <w:rPr>
                <w:sz w:val="20"/>
                <w:szCs w:val="20"/>
                <w:color w:val="auto"/>
              </w:rPr>
            </w:pPr>
            <w:r>
              <w:rPr>
                <w:rFonts w:ascii="Arial" w:cs="Arial" w:eastAsia="Arial" w:hAnsi="Arial"/>
                <w:sz w:val="17"/>
                <w:szCs w:val="17"/>
                <w:color w:val="auto"/>
              </w:rPr>
              <w:t>Other long-term liabilities</w:t>
            </w: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1,359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r>
      <w:tr>
        <w:trPr>
          <w:trHeight w:val="212"/>
        </w:trPr>
        <w:tc>
          <w:tcPr>
            <w:tcW w:w="7620" w:type="dxa"/>
            <w:vAlign w:val="bottom"/>
            <w:shd w:val="clear" w:color="auto" w:fill="CCEEFF"/>
          </w:tcPr>
          <w:p>
            <w:pPr>
              <w:ind w:left="760"/>
              <w:spacing w:after="0"/>
              <w:rPr>
                <w:sz w:val="20"/>
                <w:szCs w:val="20"/>
                <w:color w:val="auto"/>
              </w:rPr>
            </w:pPr>
            <w:r>
              <w:rPr>
                <w:rFonts w:ascii="Arial" w:cs="Arial" w:eastAsia="Arial" w:hAnsi="Arial"/>
                <w:sz w:val="17"/>
                <w:szCs w:val="17"/>
                <w:color w:val="auto"/>
              </w:rPr>
              <w:t>Total long-term liabilities</w:t>
            </w:r>
          </w:p>
        </w:tc>
        <w:tc>
          <w:tcPr>
            <w:tcW w:w="20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347,437</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w:t>
            </w:r>
          </w:p>
        </w:tc>
      </w:tr>
      <w:tr>
        <w:trPr>
          <w:trHeight w:val="212"/>
        </w:trPr>
        <w:tc>
          <w:tcPr>
            <w:tcW w:w="7620" w:type="dxa"/>
            <w:vAlign w:val="bottom"/>
          </w:tcPr>
          <w:p>
            <w:pPr>
              <w:ind w:left="760"/>
              <w:spacing w:after="0"/>
              <w:rPr>
                <w:sz w:val="20"/>
                <w:szCs w:val="20"/>
                <w:color w:val="auto"/>
              </w:rPr>
            </w:pPr>
            <w:r>
              <w:rPr>
                <w:rFonts w:ascii="Arial" w:cs="Arial" w:eastAsia="Arial" w:hAnsi="Arial"/>
                <w:sz w:val="17"/>
                <w:szCs w:val="17"/>
                <w:color w:val="auto"/>
              </w:rPr>
              <w:t>Total liabilities</w:t>
            </w: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452,281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30</w:t>
            </w:r>
          </w:p>
        </w:tc>
      </w:tr>
      <w:tr>
        <w:trPr>
          <w:trHeight w:val="219"/>
        </w:trPr>
        <w:tc>
          <w:tcPr>
            <w:tcW w:w="7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COMMITMENTS AND CONTINGENCIES</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19"/>
        </w:trPr>
        <w:tc>
          <w:tcPr>
            <w:tcW w:w="7620" w:type="dxa"/>
            <w:vAlign w:val="bottom"/>
          </w:tcPr>
          <w:p>
            <w:pPr>
              <w:ind w:left="20"/>
              <w:spacing w:after="0"/>
              <w:rPr>
                <w:sz w:val="20"/>
                <w:szCs w:val="20"/>
                <w:color w:val="auto"/>
              </w:rPr>
            </w:pPr>
            <w:r>
              <w:rPr>
                <w:rFonts w:ascii="Arial" w:cs="Arial" w:eastAsia="Arial" w:hAnsi="Arial"/>
                <w:sz w:val="17"/>
                <w:szCs w:val="17"/>
                <w:color w:val="auto"/>
              </w:rPr>
              <w:t>SHAREHOLDERS’ EQUITY:</w:t>
            </w:r>
          </w:p>
        </w:tc>
        <w:tc>
          <w:tcPr>
            <w:tcW w:w="2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168"/>
        </w:trPr>
        <w:tc>
          <w:tcPr>
            <w:tcW w:w="7620" w:type="dxa"/>
            <w:vAlign w:val="bottom"/>
            <w:shd w:val="clear" w:color="auto" w:fill="CCEEFF"/>
          </w:tcPr>
          <w:p>
            <w:pPr>
              <w:ind w:left="320"/>
              <w:spacing w:after="0" w:line="167" w:lineRule="exact"/>
              <w:rPr>
                <w:sz w:val="20"/>
                <w:szCs w:val="20"/>
                <w:color w:val="auto"/>
              </w:rPr>
            </w:pPr>
            <w:r>
              <w:rPr>
                <w:rFonts w:ascii="Arial" w:cs="Arial" w:eastAsia="Arial" w:hAnsi="Arial"/>
                <w:sz w:val="17"/>
                <w:szCs w:val="17"/>
                <w:color w:val="auto"/>
              </w:rPr>
              <w:t>Common shares; authorized: 60,000,000 shares of $0.01 par value; 20,752,138 and</w:t>
            </w:r>
          </w:p>
        </w:tc>
        <w:tc>
          <w:tcPr>
            <w:tcW w:w="20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r>
      <w:tr>
        <w:trPr>
          <w:trHeight w:val="232"/>
        </w:trPr>
        <w:tc>
          <w:tcPr>
            <w:tcW w:w="76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20,684,621 shares issued and outstanding for 2026 and 2025, respectively</w:t>
            </w:r>
          </w:p>
        </w:tc>
        <w:tc>
          <w:tcPr>
            <w:tcW w:w="20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208</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r>
      <w:tr>
        <w:trPr>
          <w:trHeight w:val="219"/>
        </w:trPr>
        <w:tc>
          <w:tcPr>
            <w:tcW w:w="7620" w:type="dxa"/>
            <w:vAlign w:val="bottom"/>
          </w:tcPr>
          <w:p>
            <w:pPr>
              <w:ind w:left="320"/>
              <w:spacing w:after="0"/>
              <w:rPr>
                <w:sz w:val="20"/>
                <w:szCs w:val="20"/>
                <w:color w:val="auto"/>
              </w:rPr>
            </w:pPr>
            <w:r>
              <w:rPr>
                <w:rFonts w:ascii="Arial" w:cs="Arial" w:eastAsia="Arial" w:hAnsi="Arial"/>
                <w:sz w:val="17"/>
                <w:szCs w:val="17"/>
                <w:color w:val="auto"/>
              </w:rPr>
              <w:t>Additional paid-in capital</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32,678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w:t>
            </w:r>
          </w:p>
        </w:tc>
      </w:tr>
      <w:tr>
        <w:trPr>
          <w:trHeight w:val="219"/>
        </w:trPr>
        <w:tc>
          <w:tcPr>
            <w:tcW w:w="76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Retained earnings</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500,142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w:t>
            </w:r>
          </w:p>
        </w:tc>
      </w:tr>
      <w:tr>
        <w:trPr>
          <w:trHeight w:val="219"/>
        </w:trPr>
        <w:tc>
          <w:tcPr>
            <w:tcW w:w="7620" w:type="dxa"/>
            <w:vAlign w:val="bottom"/>
            <w:tcBorders>
              <w:bottom w:val="single" w:sz="8" w:color="CCEEFF"/>
            </w:tcBorders>
          </w:tcPr>
          <w:p>
            <w:pPr>
              <w:ind w:left="320"/>
              <w:spacing w:after="0"/>
              <w:rPr>
                <w:sz w:val="20"/>
                <w:szCs w:val="20"/>
                <w:color w:val="auto"/>
              </w:rPr>
            </w:pPr>
            <w:r>
              <w:rPr>
                <w:rFonts w:ascii="Arial" w:cs="Arial" w:eastAsia="Arial" w:hAnsi="Arial"/>
                <w:sz w:val="17"/>
                <w:szCs w:val="17"/>
                <w:color w:val="auto"/>
              </w:rPr>
              <w:t>Accumulated other comprehensive income</w:t>
            </w: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981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r>
      <w:tr>
        <w:trPr>
          <w:trHeight w:val="212"/>
        </w:trPr>
        <w:tc>
          <w:tcPr>
            <w:tcW w:w="7620" w:type="dxa"/>
            <w:vAlign w:val="bottom"/>
            <w:shd w:val="clear" w:color="auto" w:fill="CCEEFF"/>
          </w:tcPr>
          <w:p>
            <w:pPr>
              <w:ind w:left="1060"/>
              <w:spacing w:after="0"/>
              <w:rPr>
                <w:sz w:val="20"/>
                <w:szCs w:val="20"/>
                <w:color w:val="auto"/>
              </w:rPr>
            </w:pPr>
            <w:r>
              <w:rPr>
                <w:rFonts w:ascii="Arial" w:cs="Arial" w:eastAsia="Arial" w:hAnsi="Arial"/>
                <w:sz w:val="17"/>
                <w:szCs w:val="17"/>
                <w:color w:val="auto"/>
              </w:rPr>
              <w:t>Total shareholders’ equity</w:t>
            </w:r>
          </w:p>
        </w:tc>
        <w:tc>
          <w:tcPr>
            <w:tcW w:w="2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534,009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w:t>
            </w:r>
          </w:p>
        </w:tc>
      </w:tr>
      <w:tr>
        <w:trPr>
          <w:trHeight w:val="219"/>
        </w:trPr>
        <w:tc>
          <w:tcPr>
            <w:tcW w:w="7620" w:type="dxa"/>
            <w:vAlign w:val="bottom"/>
          </w:tcPr>
          <w:p>
            <w:pPr>
              <w:ind w:left="1060"/>
              <w:spacing w:after="0"/>
              <w:rPr>
                <w:sz w:val="20"/>
                <w:szCs w:val="20"/>
                <w:color w:val="auto"/>
              </w:rPr>
            </w:pPr>
            <w:r>
              <w:rPr>
                <w:rFonts w:ascii="Arial" w:cs="Arial" w:eastAsia="Arial" w:hAnsi="Arial"/>
                <w:sz w:val="17"/>
                <w:szCs w:val="17"/>
                <w:color w:val="auto"/>
              </w:rPr>
              <w:t>Total liabilities and shareholders’ equity</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986,290</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77</w:t>
            </w:r>
          </w:p>
        </w:tc>
      </w:tr>
      <w:tr>
        <w:trPr>
          <w:trHeight w:val="20"/>
        </w:trPr>
        <w:tc>
          <w:tcPr>
            <w:tcW w:w="7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0720"/>
          </w:cols>
          <w:pgMar w:left="940" w:top="894" w:right="239" w:bottom="1440" w:gutter="0" w:footer="0" w:header="0"/>
        </w:sectPr>
      </w:pPr>
    </w:p>
    <w:bookmarkStart w:id="10" w:name="page11"/>
    <w:bookmarkEnd w:id="10"/>
    <w:p>
      <w:pPr>
        <w:jc w:val="center"/>
        <w:ind w:left="600"/>
        <w:spacing w:after="0"/>
        <w:rPr>
          <w:sz w:val="20"/>
          <w:szCs w:val="20"/>
          <w:color w:val="auto"/>
        </w:rPr>
      </w:pPr>
      <w:r>
        <w:rPr>
          <w:rFonts w:ascii="Arial" w:cs="Arial" w:eastAsia="Arial" w:hAnsi="Arial"/>
          <w:sz w:val="17"/>
          <w:szCs w:val="17"/>
          <w:b w:val="1"/>
          <w:bCs w:val="1"/>
          <w:color w:val="auto"/>
        </w:rPr>
        <w:t>HAWKINS, INC.</w:t>
      </w:r>
    </w:p>
    <w:p>
      <w:pPr>
        <w:spacing w:after="0" w:line="29" w:lineRule="exact"/>
        <w:rPr>
          <w:sz w:val="20"/>
          <w:szCs w:val="20"/>
          <w:color w:val="auto"/>
        </w:rPr>
      </w:pPr>
    </w:p>
    <w:p>
      <w:pPr>
        <w:jc w:val="center"/>
        <w:ind w:left="600"/>
        <w:spacing w:after="0"/>
        <w:rPr>
          <w:sz w:val="20"/>
          <w:szCs w:val="20"/>
          <w:color w:val="auto"/>
        </w:rPr>
      </w:pPr>
      <w:r>
        <w:rPr>
          <w:rFonts w:ascii="Arial" w:cs="Arial" w:eastAsia="Arial" w:hAnsi="Arial"/>
          <w:sz w:val="17"/>
          <w:szCs w:val="17"/>
          <w:b w:val="1"/>
          <w:bCs w:val="1"/>
          <w:color w:val="auto"/>
        </w:rPr>
        <w:t>CONSOLIDATED STATEMENTS OF CASH FLOWS (UNAUDITED)</w:t>
      </w:r>
    </w:p>
    <w:p>
      <w:pPr>
        <w:spacing w:after="0" w:line="11" w:lineRule="exact"/>
        <w:rPr>
          <w:sz w:val="20"/>
          <w:szCs w:val="20"/>
          <w:color w:val="auto"/>
        </w:rPr>
      </w:pPr>
    </w:p>
    <w:p>
      <w:pPr>
        <w:jc w:val="center"/>
        <w:ind w:left="600"/>
        <w:spacing w:after="0"/>
        <w:rPr>
          <w:sz w:val="20"/>
          <w:szCs w:val="20"/>
          <w:color w:val="auto"/>
        </w:rPr>
      </w:pPr>
      <w:r>
        <w:rPr>
          <w:rFonts w:ascii="Arial" w:cs="Arial" w:eastAsia="Arial" w:hAnsi="Arial"/>
          <w:sz w:val="17"/>
          <w:szCs w:val="17"/>
          <w:b w:val="1"/>
          <w:bCs w:val="1"/>
          <w:color w:val="auto"/>
        </w:rPr>
        <w:t>(In thousands)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7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320" w:type="dxa"/>
            <w:vAlign w:val="bottom"/>
            <w:tcBorders>
              <w:bottom w:val="single" w:sz="8" w:color="auto"/>
            </w:tcBorders>
            <w:gridSpan w:val="4"/>
          </w:tcPr>
          <w:p>
            <w:pPr>
              <w:jc w:val="right"/>
              <w:ind w:right="934"/>
              <w:spacing w:after="0"/>
              <w:rPr>
                <w:sz w:val="20"/>
                <w:szCs w:val="20"/>
                <w:color w:val="auto"/>
              </w:rPr>
            </w:pPr>
            <w:r>
              <w:rPr>
                <w:rFonts w:ascii="Arial" w:cs="Arial" w:eastAsia="Arial" w:hAnsi="Arial"/>
                <w:sz w:val="17"/>
                <w:szCs w:val="17"/>
                <w:b w:val="1"/>
                <w:bCs w:val="1"/>
                <w:color w:val="auto"/>
              </w:rPr>
              <w:t>Fiscal Year Ended</w:t>
            </w:r>
          </w:p>
        </w:tc>
        <w:tc>
          <w:tcPr>
            <w:tcW w:w="0" w:type="dxa"/>
            <w:vAlign w:val="bottom"/>
          </w:tcPr>
          <w:p>
            <w:pPr>
              <w:spacing w:after="0"/>
              <w:rPr>
                <w:sz w:val="1"/>
                <w:szCs w:val="1"/>
                <w:color w:val="auto"/>
              </w:rPr>
            </w:pPr>
          </w:p>
        </w:tc>
      </w:tr>
      <w:tr>
        <w:trPr>
          <w:trHeight w:val="212"/>
        </w:trPr>
        <w:tc>
          <w:tcPr>
            <w:tcW w:w="7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gridSpan w:val="2"/>
          </w:tcPr>
          <w:p>
            <w:pPr>
              <w:ind w:left="60"/>
              <w:spacing w:after="0"/>
              <w:rPr>
                <w:sz w:val="20"/>
                <w:szCs w:val="20"/>
                <w:color w:val="auto"/>
              </w:rPr>
            </w:pPr>
            <w:r>
              <w:rPr>
                <w:rFonts w:ascii="Arial" w:cs="Arial" w:eastAsia="Arial" w:hAnsi="Arial"/>
                <w:sz w:val="17"/>
                <w:szCs w:val="17"/>
                <w:b w:val="1"/>
                <w:bCs w:val="1"/>
                <w:color w:val="auto"/>
              </w:rPr>
              <w:t>March 29, 2026</w:t>
            </w:r>
          </w:p>
        </w:tc>
        <w:tc>
          <w:tcPr>
            <w:tcW w:w="180" w:type="dxa"/>
            <w:vAlign w:val="bottom"/>
          </w:tcPr>
          <w:p>
            <w:pPr>
              <w:spacing w:after="0"/>
              <w:rPr>
                <w:sz w:val="18"/>
                <w:szCs w:val="18"/>
                <w:color w:val="auto"/>
              </w:rPr>
            </w:pPr>
          </w:p>
        </w:tc>
        <w:tc>
          <w:tcPr>
            <w:tcW w:w="1520" w:type="dxa"/>
            <w:vAlign w:val="bottom"/>
          </w:tcPr>
          <w:p>
            <w:pPr>
              <w:jc w:val="right"/>
              <w:ind w:right="154"/>
              <w:spacing w:after="0"/>
              <w:rPr>
                <w:sz w:val="20"/>
                <w:szCs w:val="20"/>
                <w:color w:val="auto"/>
              </w:rPr>
            </w:pPr>
            <w:r>
              <w:rPr>
                <w:rFonts w:ascii="Arial" w:cs="Arial" w:eastAsia="Arial" w:hAnsi="Arial"/>
                <w:sz w:val="17"/>
                <w:szCs w:val="17"/>
                <w:b w:val="1"/>
                <w:bCs w:val="1"/>
                <w:color w:val="auto"/>
              </w:rPr>
              <w:t>March 30, 2025</w:t>
            </w:r>
          </w:p>
        </w:tc>
        <w:tc>
          <w:tcPr>
            <w:tcW w:w="0" w:type="dxa"/>
            <w:vAlign w:val="bottom"/>
          </w:tcPr>
          <w:p>
            <w:pPr>
              <w:spacing w:after="0"/>
              <w:rPr>
                <w:sz w:val="1"/>
                <w:szCs w:val="1"/>
                <w:color w:val="auto"/>
              </w:rPr>
            </w:pPr>
          </w:p>
        </w:tc>
      </w:tr>
      <w:tr>
        <w:trPr>
          <w:trHeight w:val="199"/>
        </w:trPr>
        <w:tc>
          <w:tcPr>
            <w:tcW w:w="7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CASH FLOWS FROM OPERATING ACTIVITIES:</w:t>
            </w:r>
          </w:p>
        </w:tc>
        <w:tc>
          <w:tcPr>
            <w:tcW w:w="180" w:type="dxa"/>
            <w:vAlign w:val="bottom"/>
            <w:tcBorders>
              <w:top w:val="single" w:sz="8" w:color="auto"/>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740" w:type="dxa"/>
            <w:vAlign w:val="bottom"/>
          </w:tcPr>
          <w:p>
            <w:pPr>
              <w:ind w:left="320"/>
              <w:spacing w:after="0"/>
              <w:rPr>
                <w:sz w:val="20"/>
                <w:szCs w:val="20"/>
                <w:color w:val="auto"/>
              </w:rPr>
            </w:pPr>
            <w:r>
              <w:rPr>
                <w:rFonts w:ascii="Arial" w:cs="Arial" w:eastAsia="Arial" w:hAnsi="Arial"/>
                <w:sz w:val="17"/>
                <w:szCs w:val="17"/>
                <w:color w:val="auto"/>
              </w:rPr>
              <w:t>Net income</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520" w:type="dxa"/>
            <w:vAlign w:val="bottom"/>
          </w:tcPr>
          <w:p>
            <w:pPr>
              <w:jc w:val="right"/>
              <w:spacing w:after="0"/>
              <w:rPr>
                <w:sz w:val="20"/>
                <w:szCs w:val="20"/>
                <w:color w:val="auto"/>
              </w:rPr>
            </w:pPr>
            <w:r>
              <w:rPr>
                <w:rFonts w:ascii="Arial" w:cs="Arial" w:eastAsia="Arial" w:hAnsi="Arial"/>
                <w:sz w:val="17"/>
                <w:szCs w:val="17"/>
                <w:color w:val="auto"/>
              </w:rPr>
              <w:t>81,548</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520" w:type="dxa"/>
            <w:vAlign w:val="bottom"/>
          </w:tcPr>
          <w:p>
            <w:pPr>
              <w:jc w:val="right"/>
              <w:spacing w:after="0"/>
              <w:rPr>
                <w:sz w:val="20"/>
                <w:szCs w:val="20"/>
                <w:color w:val="auto"/>
              </w:rPr>
            </w:pPr>
            <w:r>
              <w:rPr>
                <w:rFonts w:ascii="Arial" w:cs="Arial" w:eastAsia="Arial" w:hAnsi="Arial"/>
                <w:sz w:val="17"/>
                <w:szCs w:val="17"/>
                <w:color w:val="auto"/>
              </w:rPr>
              <w:t>84,345</w:t>
            </w:r>
          </w:p>
        </w:tc>
        <w:tc>
          <w:tcPr>
            <w:tcW w:w="0" w:type="dxa"/>
            <w:vAlign w:val="bottom"/>
          </w:tcPr>
          <w:p>
            <w:pPr>
              <w:spacing w:after="0"/>
              <w:rPr>
                <w:sz w:val="1"/>
                <w:szCs w:val="1"/>
                <w:color w:val="auto"/>
              </w:rPr>
            </w:pPr>
          </w:p>
        </w:tc>
      </w:tr>
      <w:tr>
        <w:trPr>
          <w:trHeight w:val="219"/>
        </w:trPr>
        <w:tc>
          <w:tcPr>
            <w:tcW w:w="77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Reconciliation to cash flows:</w:t>
            </w: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740" w:type="dxa"/>
            <w:vAlign w:val="bottom"/>
          </w:tcPr>
          <w:p>
            <w:pPr>
              <w:ind w:left="640"/>
              <w:spacing w:after="0"/>
              <w:rPr>
                <w:sz w:val="20"/>
                <w:szCs w:val="20"/>
                <w:color w:val="auto"/>
              </w:rPr>
            </w:pPr>
            <w:r>
              <w:rPr>
                <w:rFonts w:ascii="Arial" w:cs="Arial" w:eastAsia="Arial" w:hAnsi="Arial"/>
                <w:sz w:val="17"/>
                <w:szCs w:val="17"/>
                <w:color w:val="auto"/>
              </w:rPr>
              <w:t>Depreciation and amortization</w:t>
            </w: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52,542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39,948</w:t>
            </w:r>
          </w:p>
        </w:tc>
        <w:tc>
          <w:tcPr>
            <w:tcW w:w="0" w:type="dxa"/>
            <w:vAlign w:val="bottom"/>
          </w:tcPr>
          <w:p>
            <w:pPr>
              <w:spacing w:after="0"/>
              <w:rPr>
                <w:sz w:val="1"/>
                <w:szCs w:val="1"/>
                <w:color w:val="auto"/>
              </w:rPr>
            </w:pPr>
          </w:p>
        </w:tc>
      </w:tr>
      <w:tr>
        <w:trPr>
          <w:trHeight w:val="219"/>
        </w:trPr>
        <w:tc>
          <w:tcPr>
            <w:tcW w:w="7740" w:type="dxa"/>
            <w:vAlign w:val="bottom"/>
            <w:shd w:val="clear" w:color="auto" w:fill="CCEEFF"/>
          </w:tcPr>
          <w:p>
            <w:pPr>
              <w:ind w:left="640"/>
              <w:spacing w:after="0"/>
              <w:rPr>
                <w:sz w:val="20"/>
                <w:szCs w:val="20"/>
                <w:color w:val="auto"/>
              </w:rPr>
            </w:pPr>
            <w:r>
              <w:rPr>
                <w:rFonts w:ascii="Arial" w:cs="Arial" w:eastAsia="Arial" w:hAnsi="Arial"/>
                <w:sz w:val="17"/>
                <w:szCs w:val="17"/>
                <w:color w:val="auto"/>
              </w:rPr>
              <w:t>Change in fair value of earnout liability</w:t>
            </w: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(6,177)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1,369</w:t>
            </w:r>
          </w:p>
        </w:tc>
        <w:tc>
          <w:tcPr>
            <w:tcW w:w="0" w:type="dxa"/>
            <w:vAlign w:val="bottom"/>
          </w:tcPr>
          <w:p>
            <w:pPr>
              <w:spacing w:after="0"/>
              <w:rPr>
                <w:sz w:val="1"/>
                <w:szCs w:val="1"/>
                <w:color w:val="auto"/>
              </w:rPr>
            </w:pPr>
          </w:p>
        </w:tc>
      </w:tr>
      <w:tr>
        <w:trPr>
          <w:trHeight w:val="219"/>
        </w:trPr>
        <w:tc>
          <w:tcPr>
            <w:tcW w:w="7740" w:type="dxa"/>
            <w:vAlign w:val="bottom"/>
          </w:tcPr>
          <w:p>
            <w:pPr>
              <w:ind w:left="640"/>
              <w:spacing w:after="0"/>
              <w:rPr>
                <w:sz w:val="20"/>
                <w:szCs w:val="20"/>
                <w:color w:val="auto"/>
              </w:rPr>
            </w:pPr>
            <w:r>
              <w:rPr>
                <w:rFonts w:ascii="Arial" w:cs="Arial" w:eastAsia="Arial" w:hAnsi="Arial"/>
                <w:sz w:val="17"/>
                <w:szCs w:val="17"/>
                <w:color w:val="auto"/>
              </w:rPr>
              <w:t>Operating leases</w:t>
            </w: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3,982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3,475</w:t>
            </w:r>
          </w:p>
        </w:tc>
        <w:tc>
          <w:tcPr>
            <w:tcW w:w="0" w:type="dxa"/>
            <w:vAlign w:val="bottom"/>
          </w:tcPr>
          <w:p>
            <w:pPr>
              <w:spacing w:after="0"/>
              <w:rPr>
                <w:sz w:val="1"/>
                <w:szCs w:val="1"/>
                <w:color w:val="auto"/>
              </w:rPr>
            </w:pPr>
          </w:p>
        </w:tc>
      </w:tr>
      <w:tr>
        <w:trPr>
          <w:trHeight w:val="219"/>
        </w:trPr>
        <w:tc>
          <w:tcPr>
            <w:tcW w:w="7740" w:type="dxa"/>
            <w:vAlign w:val="bottom"/>
            <w:shd w:val="clear" w:color="auto" w:fill="CCEEFF"/>
          </w:tcPr>
          <w:p>
            <w:pPr>
              <w:ind w:left="640"/>
              <w:spacing w:after="0"/>
              <w:rPr>
                <w:sz w:val="20"/>
                <w:szCs w:val="20"/>
                <w:color w:val="auto"/>
              </w:rPr>
            </w:pPr>
            <w:r>
              <w:rPr>
                <w:rFonts w:ascii="Arial" w:cs="Arial" w:eastAsia="Arial" w:hAnsi="Arial"/>
                <w:sz w:val="17"/>
                <w:szCs w:val="17"/>
                <w:color w:val="auto"/>
              </w:rPr>
              <w:t>Gain on deferred compensation assets</w:t>
            </w: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(1,554)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(641)</w:t>
            </w:r>
          </w:p>
        </w:tc>
        <w:tc>
          <w:tcPr>
            <w:tcW w:w="0" w:type="dxa"/>
            <w:vAlign w:val="bottom"/>
          </w:tcPr>
          <w:p>
            <w:pPr>
              <w:spacing w:after="0"/>
              <w:rPr>
                <w:sz w:val="1"/>
                <w:szCs w:val="1"/>
                <w:color w:val="auto"/>
              </w:rPr>
            </w:pPr>
          </w:p>
        </w:tc>
      </w:tr>
      <w:tr>
        <w:trPr>
          <w:trHeight w:val="219"/>
        </w:trPr>
        <w:tc>
          <w:tcPr>
            <w:tcW w:w="7740" w:type="dxa"/>
            <w:vAlign w:val="bottom"/>
          </w:tcPr>
          <w:p>
            <w:pPr>
              <w:ind w:left="640"/>
              <w:spacing w:after="0"/>
              <w:rPr>
                <w:sz w:val="20"/>
                <w:szCs w:val="20"/>
                <w:color w:val="auto"/>
              </w:rPr>
            </w:pPr>
            <w:r>
              <w:rPr>
                <w:rFonts w:ascii="Arial" w:cs="Arial" w:eastAsia="Arial" w:hAnsi="Arial"/>
                <w:sz w:val="17"/>
                <w:szCs w:val="17"/>
                <w:color w:val="auto"/>
              </w:rPr>
              <w:t>Deferred income taxes</w:t>
            </w: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3,053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461</w:t>
            </w:r>
          </w:p>
        </w:tc>
        <w:tc>
          <w:tcPr>
            <w:tcW w:w="0" w:type="dxa"/>
            <w:vAlign w:val="bottom"/>
          </w:tcPr>
          <w:p>
            <w:pPr>
              <w:spacing w:after="0"/>
              <w:rPr>
                <w:sz w:val="1"/>
                <w:szCs w:val="1"/>
                <w:color w:val="auto"/>
              </w:rPr>
            </w:pPr>
          </w:p>
        </w:tc>
      </w:tr>
      <w:tr>
        <w:trPr>
          <w:trHeight w:val="219"/>
        </w:trPr>
        <w:tc>
          <w:tcPr>
            <w:tcW w:w="7740" w:type="dxa"/>
            <w:vAlign w:val="bottom"/>
            <w:shd w:val="clear" w:color="auto" w:fill="CCEEFF"/>
          </w:tcPr>
          <w:p>
            <w:pPr>
              <w:ind w:left="640"/>
              <w:spacing w:after="0"/>
              <w:rPr>
                <w:sz w:val="20"/>
                <w:szCs w:val="20"/>
                <w:color w:val="auto"/>
              </w:rPr>
            </w:pPr>
            <w:r>
              <w:rPr>
                <w:rFonts w:ascii="Arial" w:cs="Arial" w:eastAsia="Arial" w:hAnsi="Arial"/>
                <w:sz w:val="17"/>
                <w:szCs w:val="17"/>
                <w:color w:val="auto"/>
              </w:rPr>
              <w:t>Stock compensation expense</w:t>
            </w: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8,573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6,498</w:t>
            </w:r>
          </w:p>
        </w:tc>
        <w:tc>
          <w:tcPr>
            <w:tcW w:w="0" w:type="dxa"/>
            <w:vAlign w:val="bottom"/>
          </w:tcPr>
          <w:p>
            <w:pPr>
              <w:spacing w:after="0"/>
              <w:rPr>
                <w:sz w:val="1"/>
                <w:szCs w:val="1"/>
                <w:color w:val="auto"/>
              </w:rPr>
            </w:pPr>
          </w:p>
        </w:tc>
      </w:tr>
      <w:tr>
        <w:trPr>
          <w:trHeight w:val="219"/>
        </w:trPr>
        <w:tc>
          <w:tcPr>
            <w:tcW w:w="7740" w:type="dxa"/>
            <w:vAlign w:val="bottom"/>
          </w:tcPr>
          <w:p>
            <w:pPr>
              <w:ind w:left="640"/>
              <w:spacing w:after="0"/>
              <w:rPr>
                <w:sz w:val="20"/>
                <w:szCs w:val="20"/>
                <w:color w:val="auto"/>
              </w:rPr>
            </w:pPr>
            <w:r>
              <w:rPr>
                <w:rFonts w:ascii="Arial" w:cs="Arial" w:eastAsia="Arial" w:hAnsi="Arial"/>
                <w:sz w:val="17"/>
                <w:szCs w:val="17"/>
                <w:color w:val="auto"/>
              </w:rPr>
              <w:t>Gain from asset disposals</w:t>
            </w: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(202)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(61)</w:t>
            </w:r>
          </w:p>
        </w:tc>
        <w:tc>
          <w:tcPr>
            <w:tcW w:w="0" w:type="dxa"/>
            <w:vAlign w:val="bottom"/>
          </w:tcPr>
          <w:p>
            <w:pPr>
              <w:spacing w:after="0"/>
              <w:rPr>
                <w:sz w:val="1"/>
                <w:szCs w:val="1"/>
                <w:color w:val="auto"/>
              </w:rPr>
            </w:pPr>
          </w:p>
        </w:tc>
      </w:tr>
      <w:tr>
        <w:trPr>
          <w:trHeight w:val="219"/>
        </w:trPr>
        <w:tc>
          <w:tcPr>
            <w:tcW w:w="7740" w:type="dxa"/>
            <w:vAlign w:val="bottom"/>
            <w:shd w:val="clear" w:color="auto" w:fill="CCEEFF"/>
          </w:tcPr>
          <w:p>
            <w:pPr>
              <w:ind w:left="640"/>
              <w:spacing w:after="0"/>
              <w:rPr>
                <w:sz w:val="20"/>
                <w:szCs w:val="20"/>
                <w:color w:val="auto"/>
              </w:rPr>
            </w:pPr>
            <w:r>
              <w:rPr>
                <w:rFonts w:ascii="Arial" w:cs="Arial" w:eastAsia="Arial" w:hAnsi="Arial"/>
                <w:sz w:val="17"/>
                <w:szCs w:val="17"/>
                <w:color w:val="auto"/>
              </w:rPr>
              <w:t>Other, net</w:t>
            </w: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w:t>
            </w:r>
          </w:p>
        </w:tc>
        <w:tc>
          <w:tcPr>
            <w:tcW w:w="0" w:type="dxa"/>
            <w:vAlign w:val="bottom"/>
          </w:tcPr>
          <w:p>
            <w:pPr>
              <w:spacing w:after="0"/>
              <w:rPr>
                <w:sz w:val="1"/>
                <w:szCs w:val="1"/>
                <w:color w:val="auto"/>
              </w:rPr>
            </w:pPr>
          </w:p>
        </w:tc>
      </w:tr>
      <w:tr>
        <w:trPr>
          <w:trHeight w:val="219"/>
        </w:trPr>
        <w:tc>
          <w:tcPr>
            <w:tcW w:w="7740" w:type="dxa"/>
            <w:vAlign w:val="bottom"/>
          </w:tcPr>
          <w:p>
            <w:pPr>
              <w:ind w:left="640"/>
              <w:spacing w:after="0"/>
              <w:rPr>
                <w:sz w:val="20"/>
                <w:szCs w:val="20"/>
                <w:color w:val="auto"/>
              </w:rPr>
            </w:pPr>
            <w:r>
              <w:rPr>
                <w:rFonts w:ascii="Arial" w:cs="Arial" w:eastAsia="Arial" w:hAnsi="Arial"/>
                <w:sz w:val="17"/>
                <w:szCs w:val="17"/>
                <w:color w:val="auto"/>
              </w:rPr>
              <w:t>Changes in operating accounts (using) providing cash, net of acquisitions:</w:t>
            </w:r>
          </w:p>
        </w:tc>
        <w:tc>
          <w:tcPr>
            <w:tcW w:w="1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740" w:type="dxa"/>
            <w:vAlign w:val="bottom"/>
            <w:shd w:val="clear" w:color="auto" w:fill="CCEEFF"/>
          </w:tcPr>
          <w:p>
            <w:pPr>
              <w:ind w:left="960"/>
              <w:spacing w:after="0"/>
              <w:rPr>
                <w:sz w:val="20"/>
                <w:szCs w:val="20"/>
                <w:color w:val="auto"/>
              </w:rPr>
            </w:pPr>
            <w:r>
              <w:rPr>
                <w:rFonts w:ascii="Arial" w:cs="Arial" w:eastAsia="Arial" w:hAnsi="Arial"/>
                <w:sz w:val="17"/>
                <w:szCs w:val="17"/>
                <w:color w:val="auto"/>
              </w:rPr>
              <w:t>Trade receivables</w:t>
            </w: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(2,467)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(11,230)</w:t>
            </w:r>
          </w:p>
        </w:tc>
        <w:tc>
          <w:tcPr>
            <w:tcW w:w="0" w:type="dxa"/>
            <w:vAlign w:val="bottom"/>
          </w:tcPr>
          <w:p>
            <w:pPr>
              <w:spacing w:after="0"/>
              <w:rPr>
                <w:sz w:val="1"/>
                <w:szCs w:val="1"/>
                <w:color w:val="auto"/>
              </w:rPr>
            </w:pPr>
          </w:p>
        </w:tc>
      </w:tr>
      <w:tr>
        <w:trPr>
          <w:trHeight w:val="219"/>
        </w:trPr>
        <w:tc>
          <w:tcPr>
            <w:tcW w:w="7740" w:type="dxa"/>
            <w:vAlign w:val="bottom"/>
          </w:tcPr>
          <w:p>
            <w:pPr>
              <w:ind w:left="960"/>
              <w:spacing w:after="0"/>
              <w:rPr>
                <w:sz w:val="20"/>
                <w:szCs w:val="20"/>
                <w:color w:val="auto"/>
              </w:rPr>
            </w:pPr>
            <w:r>
              <w:rPr>
                <w:rFonts w:ascii="Arial" w:cs="Arial" w:eastAsia="Arial" w:hAnsi="Arial"/>
                <w:sz w:val="17"/>
                <w:szCs w:val="17"/>
                <w:color w:val="auto"/>
              </w:rPr>
              <w:t>Inventories</w:t>
            </w: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10,053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(6,572)</w:t>
            </w:r>
          </w:p>
        </w:tc>
        <w:tc>
          <w:tcPr>
            <w:tcW w:w="0" w:type="dxa"/>
            <w:vAlign w:val="bottom"/>
          </w:tcPr>
          <w:p>
            <w:pPr>
              <w:spacing w:after="0"/>
              <w:rPr>
                <w:sz w:val="1"/>
                <w:szCs w:val="1"/>
                <w:color w:val="auto"/>
              </w:rPr>
            </w:pPr>
          </w:p>
        </w:tc>
      </w:tr>
      <w:tr>
        <w:trPr>
          <w:trHeight w:val="219"/>
        </w:trPr>
        <w:tc>
          <w:tcPr>
            <w:tcW w:w="7740" w:type="dxa"/>
            <w:vAlign w:val="bottom"/>
            <w:shd w:val="clear" w:color="auto" w:fill="CCEEFF"/>
          </w:tcPr>
          <w:p>
            <w:pPr>
              <w:ind w:left="960"/>
              <w:spacing w:after="0"/>
              <w:rPr>
                <w:sz w:val="20"/>
                <w:szCs w:val="20"/>
                <w:color w:val="auto"/>
              </w:rPr>
            </w:pPr>
            <w:r>
              <w:rPr>
                <w:rFonts w:ascii="Arial" w:cs="Arial" w:eastAsia="Arial" w:hAnsi="Arial"/>
                <w:sz w:val="17"/>
                <w:szCs w:val="17"/>
                <w:color w:val="auto"/>
              </w:rPr>
              <w:t>Accounts payable</w:t>
            </w: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(5,841)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2,445</w:t>
            </w:r>
          </w:p>
        </w:tc>
        <w:tc>
          <w:tcPr>
            <w:tcW w:w="0" w:type="dxa"/>
            <w:vAlign w:val="bottom"/>
          </w:tcPr>
          <w:p>
            <w:pPr>
              <w:spacing w:after="0"/>
              <w:rPr>
                <w:sz w:val="1"/>
                <w:szCs w:val="1"/>
                <w:color w:val="auto"/>
              </w:rPr>
            </w:pPr>
          </w:p>
        </w:tc>
      </w:tr>
      <w:tr>
        <w:trPr>
          <w:trHeight w:val="219"/>
        </w:trPr>
        <w:tc>
          <w:tcPr>
            <w:tcW w:w="7740" w:type="dxa"/>
            <w:vAlign w:val="bottom"/>
          </w:tcPr>
          <w:p>
            <w:pPr>
              <w:ind w:left="960"/>
              <w:spacing w:after="0"/>
              <w:rPr>
                <w:sz w:val="20"/>
                <w:szCs w:val="20"/>
                <w:color w:val="auto"/>
              </w:rPr>
            </w:pPr>
            <w:r>
              <w:rPr>
                <w:rFonts w:ascii="Arial" w:cs="Arial" w:eastAsia="Arial" w:hAnsi="Arial"/>
                <w:sz w:val="17"/>
                <w:szCs w:val="17"/>
                <w:color w:val="auto"/>
              </w:rPr>
              <w:t>Accrued liabilities</w:t>
            </w: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2,195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476</w:t>
            </w:r>
          </w:p>
        </w:tc>
        <w:tc>
          <w:tcPr>
            <w:tcW w:w="0" w:type="dxa"/>
            <w:vAlign w:val="bottom"/>
          </w:tcPr>
          <w:p>
            <w:pPr>
              <w:spacing w:after="0"/>
              <w:rPr>
                <w:sz w:val="1"/>
                <w:szCs w:val="1"/>
                <w:color w:val="auto"/>
              </w:rPr>
            </w:pPr>
          </w:p>
        </w:tc>
      </w:tr>
      <w:tr>
        <w:trPr>
          <w:trHeight w:val="219"/>
        </w:trPr>
        <w:tc>
          <w:tcPr>
            <w:tcW w:w="7740" w:type="dxa"/>
            <w:vAlign w:val="bottom"/>
            <w:shd w:val="clear" w:color="auto" w:fill="CCEEFF"/>
          </w:tcPr>
          <w:p>
            <w:pPr>
              <w:ind w:left="960"/>
              <w:spacing w:after="0"/>
              <w:rPr>
                <w:sz w:val="20"/>
                <w:szCs w:val="20"/>
                <w:color w:val="auto"/>
              </w:rPr>
            </w:pPr>
            <w:r>
              <w:rPr>
                <w:rFonts w:ascii="Arial" w:cs="Arial" w:eastAsia="Arial" w:hAnsi="Arial"/>
                <w:sz w:val="17"/>
                <w:szCs w:val="17"/>
                <w:color w:val="auto"/>
              </w:rPr>
              <w:t>Lease liabilities</w:t>
            </w: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(3,775)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(3,468)</w:t>
            </w:r>
          </w:p>
        </w:tc>
        <w:tc>
          <w:tcPr>
            <w:tcW w:w="0" w:type="dxa"/>
            <w:vAlign w:val="bottom"/>
          </w:tcPr>
          <w:p>
            <w:pPr>
              <w:spacing w:after="0"/>
              <w:rPr>
                <w:sz w:val="1"/>
                <w:szCs w:val="1"/>
                <w:color w:val="auto"/>
              </w:rPr>
            </w:pPr>
          </w:p>
        </w:tc>
      </w:tr>
      <w:tr>
        <w:trPr>
          <w:trHeight w:val="219"/>
        </w:trPr>
        <w:tc>
          <w:tcPr>
            <w:tcW w:w="7740" w:type="dxa"/>
            <w:vAlign w:val="bottom"/>
          </w:tcPr>
          <w:p>
            <w:pPr>
              <w:ind w:left="960"/>
              <w:spacing w:after="0"/>
              <w:rPr>
                <w:sz w:val="20"/>
                <w:szCs w:val="20"/>
                <w:color w:val="auto"/>
              </w:rPr>
            </w:pPr>
            <w:r>
              <w:rPr>
                <w:rFonts w:ascii="Arial" w:cs="Arial" w:eastAsia="Arial" w:hAnsi="Arial"/>
                <w:sz w:val="17"/>
                <w:szCs w:val="17"/>
                <w:color w:val="auto"/>
              </w:rPr>
              <w:t>Income taxes</w:t>
            </w: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2,071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(4,807)</w:t>
            </w:r>
          </w:p>
        </w:tc>
        <w:tc>
          <w:tcPr>
            <w:tcW w:w="0" w:type="dxa"/>
            <w:vAlign w:val="bottom"/>
          </w:tcPr>
          <w:p>
            <w:pPr>
              <w:spacing w:after="0"/>
              <w:rPr>
                <w:sz w:val="1"/>
                <w:szCs w:val="1"/>
                <w:color w:val="auto"/>
              </w:rPr>
            </w:pPr>
          </w:p>
        </w:tc>
      </w:tr>
      <w:tr>
        <w:trPr>
          <w:trHeight w:val="219"/>
        </w:trPr>
        <w:tc>
          <w:tcPr>
            <w:tcW w:w="7740" w:type="dxa"/>
            <w:vAlign w:val="bottom"/>
            <w:shd w:val="clear" w:color="auto" w:fill="CCEEFF"/>
          </w:tcPr>
          <w:p>
            <w:pPr>
              <w:ind w:left="960"/>
              <w:spacing w:after="0"/>
              <w:rPr>
                <w:sz w:val="20"/>
                <w:szCs w:val="20"/>
                <w:color w:val="auto"/>
              </w:rPr>
            </w:pPr>
            <w:r>
              <w:rPr>
                <w:rFonts w:ascii="Arial" w:cs="Arial" w:eastAsia="Arial" w:hAnsi="Arial"/>
                <w:sz w:val="17"/>
                <w:szCs w:val="17"/>
                <w:color w:val="auto"/>
              </w:rPr>
              <w:t>Other, net</w:t>
            </w:r>
          </w:p>
        </w:tc>
        <w:tc>
          <w:tcPr>
            <w:tcW w:w="1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(1,229)</w:t>
            </w:r>
          </w:p>
        </w:tc>
        <w:tc>
          <w:tcPr>
            <w:tcW w:w="0" w:type="dxa"/>
            <w:vAlign w:val="bottom"/>
          </w:tcPr>
          <w:p>
            <w:pPr>
              <w:spacing w:after="0"/>
              <w:rPr>
                <w:sz w:val="1"/>
                <w:szCs w:val="1"/>
                <w:color w:val="auto"/>
              </w:rPr>
            </w:pPr>
          </w:p>
        </w:tc>
      </w:tr>
      <w:tr>
        <w:trPr>
          <w:trHeight w:val="212"/>
        </w:trPr>
        <w:tc>
          <w:tcPr>
            <w:tcW w:w="7740" w:type="dxa"/>
            <w:vAlign w:val="bottom"/>
          </w:tcPr>
          <w:p>
            <w:pPr>
              <w:ind w:left="1380"/>
              <w:spacing w:after="0"/>
              <w:rPr>
                <w:sz w:val="20"/>
                <w:szCs w:val="20"/>
                <w:color w:val="auto"/>
              </w:rPr>
            </w:pPr>
            <w:r>
              <w:rPr>
                <w:rFonts w:ascii="Arial" w:cs="Arial" w:eastAsia="Arial" w:hAnsi="Arial"/>
                <w:sz w:val="17"/>
                <w:szCs w:val="17"/>
                <w:color w:val="auto"/>
              </w:rPr>
              <w:t>Net cash provided by operating activities</w:t>
            </w: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144,327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111,096</w:t>
            </w:r>
          </w:p>
        </w:tc>
        <w:tc>
          <w:tcPr>
            <w:tcW w:w="0" w:type="dxa"/>
            <w:vAlign w:val="bottom"/>
          </w:tcPr>
          <w:p>
            <w:pPr>
              <w:spacing w:after="0"/>
              <w:rPr>
                <w:sz w:val="1"/>
                <w:szCs w:val="1"/>
                <w:color w:val="auto"/>
              </w:rPr>
            </w:pPr>
          </w:p>
        </w:tc>
      </w:tr>
      <w:tr>
        <w:trPr>
          <w:trHeight w:val="219"/>
        </w:trPr>
        <w:tc>
          <w:tcPr>
            <w:tcW w:w="7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FLOWS FROM INVESTING ACTIVITIES:</w:t>
            </w: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740" w:type="dxa"/>
            <w:vAlign w:val="bottom"/>
          </w:tcPr>
          <w:p>
            <w:pPr>
              <w:ind w:left="320"/>
              <w:spacing w:after="0"/>
              <w:rPr>
                <w:sz w:val="20"/>
                <w:szCs w:val="20"/>
                <w:color w:val="auto"/>
              </w:rPr>
            </w:pPr>
            <w:r>
              <w:rPr>
                <w:rFonts w:ascii="Arial" w:cs="Arial" w:eastAsia="Arial" w:hAnsi="Arial"/>
                <w:sz w:val="17"/>
                <w:szCs w:val="17"/>
                <w:color w:val="auto"/>
              </w:rPr>
              <w:t>Additions to property, plant, and equipment</w:t>
            </w: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(58,239)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(41,096)</w:t>
            </w:r>
          </w:p>
        </w:tc>
        <w:tc>
          <w:tcPr>
            <w:tcW w:w="0" w:type="dxa"/>
            <w:vAlign w:val="bottom"/>
          </w:tcPr>
          <w:p>
            <w:pPr>
              <w:spacing w:after="0"/>
              <w:rPr>
                <w:sz w:val="1"/>
                <w:szCs w:val="1"/>
                <w:color w:val="auto"/>
              </w:rPr>
            </w:pPr>
          </w:p>
        </w:tc>
      </w:tr>
      <w:tr>
        <w:trPr>
          <w:trHeight w:val="219"/>
        </w:trPr>
        <w:tc>
          <w:tcPr>
            <w:tcW w:w="77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Acquisitions</w:t>
            </w: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(167,108)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(87,400)</w:t>
            </w:r>
          </w:p>
        </w:tc>
        <w:tc>
          <w:tcPr>
            <w:tcW w:w="0" w:type="dxa"/>
            <w:vAlign w:val="bottom"/>
          </w:tcPr>
          <w:p>
            <w:pPr>
              <w:spacing w:after="0"/>
              <w:rPr>
                <w:sz w:val="1"/>
                <w:szCs w:val="1"/>
                <w:color w:val="auto"/>
              </w:rPr>
            </w:pPr>
          </w:p>
        </w:tc>
      </w:tr>
      <w:tr>
        <w:trPr>
          <w:trHeight w:val="219"/>
        </w:trPr>
        <w:tc>
          <w:tcPr>
            <w:tcW w:w="7740" w:type="dxa"/>
            <w:vAlign w:val="bottom"/>
            <w:tcBorders>
              <w:bottom w:val="single" w:sz="8" w:color="CCEEFF"/>
            </w:tcBorders>
          </w:tcPr>
          <w:p>
            <w:pPr>
              <w:ind w:left="320"/>
              <w:spacing w:after="0"/>
              <w:rPr>
                <w:sz w:val="20"/>
                <w:szCs w:val="20"/>
                <w:color w:val="auto"/>
              </w:rPr>
            </w:pPr>
            <w:r>
              <w:rPr>
                <w:rFonts w:ascii="Arial" w:cs="Arial" w:eastAsia="Arial" w:hAnsi="Arial"/>
                <w:sz w:val="17"/>
                <w:szCs w:val="17"/>
                <w:color w:val="auto"/>
              </w:rPr>
              <w:t>Proceeds from asset disposals</w:t>
            </w: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1,248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544</w:t>
            </w:r>
          </w:p>
        </w:tc>
        <w:tc>
          <w:tcPr>
            <w:tcW w:w="0" w:type="dxa"/>
            <w:vAlign w:val="bottom"/>
          </w:tcPr>
          <w:p>
            <w:pPr>
              <w:spacing w:after="0"/>
              <w:rPr>
                <w:sz w:val="1"/>
                <w:szCs w:val="1"/>
                <w:color w:val="auto"/>
              </w:rPr>
            </w:pPr>
          </w:p>
        </w:tc>
      </w:tr>
      <w:tr>
        <w:trPr>
          <w:trHeight w:val="212"/>
        </w:trPr>
        <w:tc>
          <w:tcPr>
            <w:tcW w:w="7740" w:type="dxa"/>
            <w:vAlign w:val="bottom"/>
            <w:shd w:val="clear" w:color="auto" w:fill="CCEEFF"/>
          </w:tcPr>
          <w:p>
            <w:pPr>
              <w:ind w:left="1380"/>
              <w:spacing w:after="0"/>
              <w:rPr>
                <w:sz w:val="20"/>
                <w:szCs w:val="20"/>
                <w:color w:val="auto"/>
              </w:rPr>
            </w:pPr>
            <w:r>
              <w:rPr>
                <w:rFonts w:ascii="Arial" w:cs="Arial" w:eastAsia="Arial" w:hAnsi="Arial"/>
                <w:sz w:val="17"/>
                <w:szCs w:val="17"/>
                <w:color w:val="auto"/>
              </w:rPr>
              <w:t>Net cash used in investing activities</w:t>
            </w: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(224,099)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(127,952)</w:t>
            </w:r>
          </w:p>
        </w:tc>
        <w:tc>
          <w:tcPr>
            <w:tcW w:w="0" w:type="dxa"/>
            <w:vAlign w:val="bottom"/>
          </w:tcPr>
          <w:p>
            <w:pPr>
              <w:spacing w:after="0"/>
              <w:rPr>
                <w:sz w:val="1"/>
                <w:szCs w:val="1"/>
                <w:color w:val="auto"/>
              </w:rPr>
            </w:pPr>
          </w:p>
        </w:tc>
      </w:tr>
      <w:tr>
        <w:trPr>
          <w:trHeight w:val="219"/>
        </w:trPr>
        <w:tc>
          <w:tcPr>
            <w:tcW w:w="7740" w:type="dxa"/>
            <w:vAlign w:val="bottom"/>
          </w:tcPr>
          <w:p>
            <w:pPr>
              <w:ind w:left="20"/>
              <w:spacing w:after="0"/>
              <w:rPr>
                <w:sz w:val="20"/>
                <w:szCs w:val="20"/>
                <w:color w:val="auto"/>
              </w:rPr>
            </w:pPr>
            <w:r>
              <w:rPr>
                <w:rFonts w:ascii="Arial" w:cs="Arial" w:eastAsia="Arial" w:hAnsi="Arial"/>
                <w:sz w:val="17"/>
                <w:szCs w:val="17"/>
                <w:color w:val="auto"/>
              </w:rPr>
              <w:t>CASH FLOWS FROM FINANCING ACTIVITIES:</w:t>
            </w:r>
          </w:p>
        </w:tc>
        <w:tc>
          <w:tcPr>
            <w:tcW w:w="1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7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Cash dividends paid</w:t>
            </w: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(15,665)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(14,635)</w:t>
            </w:r>
          </w:p>
        </w:tc>
        <w:tc>
          <w:tcPr>
            <w:tcW w:w="0" w:type="dxa"/>
            <w:vAlign w:val="bottom"/>
          </w:tcPr>
          <w:p>
            <w:pPr>
              <w:spacing w:after="0"/>
              <w:rPr>
                <w:sz w:val="1"/>
                <w:szCs w:val="1"/>
                <w:color w:val="auto"/>
              </w:rPr>
            </w:pPr>
          </w:p>
        </w:tc>
      </w:tr>
      <w:tr>
        <w:trPr>
          <w:trHeight w:val="219"/>
        </w:trPr>
        <w:tc>
          <w:tcPr>
            <w:tcW w:w="7740" w:type="dxa"/>
            <w:vAlign w:val="bottom"/>
          </w:tcPr>
          <w:p>
            <w:pPr>
              <w:ind w:left="320"/>
              <w:spacing w:after="0"/>
              <w:rPr>
                <w:sz w:val="20"/>
                <w:szCs w:val="20"/>
                <w:color w:val="auto"/>
              </w:rPr>
            </w:pPr>
            <w:r>
              <w:rPr>
                <w:rFonts w:ascii="Arial" w:cs="Arial" w:eastAsia="Arial" w:hAnsi="Arial"/>
                <w:sz w:val="17"/>
                <w:szCs w:val="17"/>
                <w:color w:val="auto"/>
              </w:rPr>
              <w:t>ESPP shares issued</w:t>
            </w: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3,040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2,658</w:t>
            </w:r>
          </w:p>
        </w:tc>
        <w:tc>
          <w:tcPr>
            <w:tcW w:w="0" w:type="dxa"/>
            <w:vAlign w:val="bottom"/>
          </w:tcPr>
          <w:p>
            <w:pPr>
              <w:spacing w:after="0"/>
              <w:rPr>
                <w:sz w:val="1"/>
                <w:szCs w:val="1"/>
                <w:color w:val="auto"/>
              </w:rPr>
            </w:pPr>
          </w:p>
        </w:tc>
      </w:tr>
      <w:tr>
        <w:trPr>
          <w:trHeight w:val="219"/>
        </w:trPr>
        <w:tc>
          <w:tcPr>
            <w:tcW w:w="77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Shares surrendered for payroll taxes</w:t>
            </w: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(3,028)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(2,541)</w:t>
            </w:r>
          </w:p>
        </w:tc>
        <w:tc>
          <w:tcPr>
            <w:tcW w:w="0" w:type="dxa"/>
            <w:vAlign w:val="bottom"/>
          </w:tcPr>
          <w:p>
            <w:pPr>
              <w:spacing w:after="0"/>
              <w:rPr>
                <w:sz w:val="1"/>
                <w:szCs w:val="1"/>
                <w:color w:val="auto"/>
              </w:rPr>
            </w:pPr>
          </w:p>
        </w:tc>
      </w:tr>
      <w:tr>
        <w:trPr>
          <w:trHeight w:val="219"/>
        </w:trPr>
        <w:tc>
          <w:tcPr>
            <w:tcW w:w="7740" w:type="dxa"/>
            <w:vAlign w:val="bottom"/>
          </w:tcPr>
          <w:p>
            <w:pPr>
              <w:ind w:left="320"/>
              <w:spacing w:after="0"/>
              <w:rPr>
                <w:sz w:val="20"/>
                <w:szCs w:val="20"/>
                <w:color w:val="auto"/>
              </w:rPr>
            </w:pPr>
            <w:r>
              <w:rPr>
                <w:rFonts w:ascii="Arial" w:cs="Arial" w:eastAsia="Arial" w:hAnsi="Arial"/>
                <w:sz w:val="17"/>
                <w:szCs w:val="17"/>
                <w:color w:val="auto"/>
              </w:rPr>
              <w:t>Shares repurchased</w:t>
            </w:r>
          </w:p>
        </w:tc>
        <w:tc>
          <w:tcPr>
            <w:tcW w:w="180" w:type="dxa"/>
            <w:vAlign w:val="bottom"/>
          </w:tcPr>
          <w:p>
            <w:pPr>
              <w:spacing w:after="0"/>
              <w:rPr>
                <w:sz w:val="19"/>
                <w:szCs w:val="19"/>
                <w:color w:val="auto"/>
              </w:rPr>
            </w:pPr>
          </w:p>
        </w:tc>
        <w:tc>
          <w:tcPr>
            <w:tcW w:w="16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(20,676)</w:t>
            </w:r>
          </w:p>
        </w:tc>
        <w:tc>
          <w:tcPr>
            <w:tcW w:w="0" w:type="dxa"/>
            <w:vAlign w:val="bottom"/>
          </w:tcPr>
          <w:p>
            <w:pPr>
              <w:spacing w:after="0"/>
              <w:rPr>
                <w:sz w:val="1"/>
                <w:szCs w:val="1"/>
                <w:color w:val="auto"/>
              </w:rPr>
            </w:pPr>
          </w:p>
        </w:tc>
      </w:tr>
      <w:tr>
        <w:trPr>
          <w:trHeight w:val="219"/>
        </w:trPr>
        <w:tc>
          <w:tcPr>
            <w:tcW w:w="77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Payments for debt issuance costs</w:t>
            </w: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9"/>
        </w:trPr>
        <w:tc>
          <w:tcPr>
            <w:tcW w:w="7740" w:type="dxa"/>
            <w:vAlign w:val="bottom"/>
          </w:tcPr>
          <w:p>
            <w:pPr>
              <w:ind w:left="320"/>
              <w:spacing w:after="0"/>
              <w:rPr>
                <w:sz w:val="20"/>
                <w:szCs w:val="20"/>
                <w:color w:val="auto"/>
              </w:rPr>
            </w:pPr>
            <w:r>
              <w:rPr>
                <w:rFonts w:ascii="Arial" w:cs="Arial" w:eastAsia="Arial" w:hAnsi="Arial"/>
                <w:sz w:val="17"/>
                <w:szCs w:val="17"/>
                <w:color w:val="auto"/>
              </w:rPr>
              <w:t>Payments on senior secured revolving loan</w:t>
            </w: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(75,000)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(60,000)</w:t>
            </w:r>
          </w:p>
        </w:tc>
        <w:tc>
          <w:tcPr>
            <w:tcW w:w="0" w:type="dxa"/>
            <w:vAlign w:val="bottom"/>
          </w:tcPr>
          <w:p>
            <w:pPr>
              <w:spacing w:after="0"/>
              <w:rPr>
                <w:sz w:val="1"/>
                <w:szCs w:val="1"/>
                <w:color w:val="auto"/>
              </w:rPr>
            </w:pPr>
          </w:p>
        </w:tc>
      </w:tr>
      <w:tr>
        <w:trPr>
          <w:trHeight w:val="219"/>
        </w:trPr>
        <w:tc>
          <w:tcPr>
            <w:tcW w:w="77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Borrowings on senior secured revolving loan</w:t>
            </w:r>
          </w:p>
        </w:tc>
        <w:tc>
          <w:tcPr>
            <w:tcW w:w="1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170,000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110,000</w:t>
            </w:r>
          </w:p>
        </w:tc>
        <w:tc>
          <w:tcPr>
            <w:tcW w:w="0" w:type="dxa"/>
            <w:vAlign w:val="bottom"/>
          </w:tcPr>
          <w:p>
            <w:pPr>
              <w:spacing w:after="0"/>
              <w:rPr>
                <w:sz w:val="1"/>
                <w:szCs w:val="1"/>
                <w:color w:val="auto"/>
              </w:rPr>
            </w:pPr>
          </w:p>
        </w:tc>
      </w:tr>
      <w:tr>
        <w:trPr>
          <w:trHeight w:val="212"/>
        </w:trPr>
        <w:tc>
          <w:tcPr>
            <w:tcW w:w="7740" w:type="dxa"/>
            <w:vAlign w:val="bottom"/>
            <w:tcBorders>
              <w:bottom w:val="single" w:sz="8" w:color="CCEEFF"/>
            </w:tcBorders>
          </w:tcPr>
          <w:p>
            <w:pPr>
              <w:ind w:left="1380"/>
              <w:spacing w:after="0"/>
              <w:rPr>
                <w:sz w:val="20"/>
                <w:szCs w:val="20"/>
                <w:color w:val="auto"/>
              </w:rPr>
            </w:pPr>
            <w:r>
              <w:rPr>
                <w:rFonts w:ascii="Arial" w:cs="Arial" w:eastAsia="Arial" w:hAnsi="Arial"/>
                <w:sz w:val="17"/>
                <w:szCs w:val="17"/>
                <w:color w:val="auto"/>
              </w:rPr>
              <w:t>Net cash provided by (used in) financing activities</w:t>
            </w:r>
          </w:p>
        </w:tc>
        <w:tc>
          <w:tcPr>
            <w:tcW w:w="1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78,583</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14,806</w:t>
            </w:r>
          </w:p>
        </w:tc>
        <w:tc>
          <w:tcPr>
            <w:tcW w:w="0" w:type="dxa"/>
            <w:vAlign w:val="bottom"/>
          </w:tcPr>
          <w:p>
            <w:pPr>
              <w:spacing w:after="0"/>
              <w:rPr>
                <w:sz w:val="1"/>
                <w:szCs w:val="1"/>
                <w:color w:val="auto"/>
              </w:rPr>
            </w:pPr>
          </w:p>
        </w:tc>
      </w:tr>
      <w:tr>
        <w:trPr>
          <w:trHeight w:val="212"/>
        </w:trPr>
        <w:tc>
          <w:tcPr>
            <w:tcW w:w="77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NET DECREASE IN CASH AND CASH EQUIVALENTS</w:t>
            </w: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(1,189)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(2,050)</w:t>
            </w:r>
          </w:p>
        </w:tc>
        <w:tc>
          <w:tcPr>
            <w:tcW w:w="0" w:type="dxa"/>
            <w:vAlign w:val="bottom"/>
          </w:tcPr>
          <w:p>
            <w:pPr>
              <w:spacing w:after="0"/>
              <w:rPr>
                <w:sz w:val="1"/>
                <w:szCs w:val="1"/>
                <w:color w:val="auto"/>
              </w:rPr>
            </w:pPr>
          </w:p>
        </w:tc>
      </w:tr>
      <w:tr>
        <w:trPr>
          <w:trHeight w:val="219"/>
        </w:trPr>
        <w:tc>
          <w:tcPr>
            <w:tcW w:w="7740" w:type="dxa"/>
            <w:vAlign w:val="bottom"/>
            <w:tcBorders>
              <w:bottom w:val="single" w:sz="8" w:color="CCEEFF"/>
            </w:tcBorders>
          </w:tcPr>
          <w:p>
            <w:pPr>
              <w:ind w:left="320"/>
              <w:spacing w:after="0"/>
              <w:rPr>
                <w:sz w:val="20"/>
                <w:szCs w:val="20"/>
                <w:color w:val="auto"/>
              </w:rPr>
            </w:pPr>
            <w:r>
              <w:rPr>
                <w:rFonts w:ascii="Arial" w:cs="Arial" w:eastAsia="Arial" w:hAnsi="Arial"/>
                <w:sz w:val="17"/>
                <w:szCs w:val="17"/>
                <w:color w:val="auto"/>
              </w:rPr>
              <w:t>CASH AND CASH EQUIVALENTS - beginning of year</w:t>
            </w: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5,103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7,153</w:t>
            </w:r>
          </w:p>
        </w:tc>
        <w:tc>
          <w:tcPr>
            <w:tcW w:w="0" w:type="dxa"/>
            <w:vAlign w:val="bottom"/>
          </w:tcPr>
          <w:p>
            <w:pPr>
              <w:spacing w:after="0"/>
              <w:rPr>
                <w:sz w:val="1"/>
                <w:szCs w:val="1"/>
                <w:color w:val="auto"/>
              </w:rPr>
            </w:pPr>
          </w:p>
        </w:tc>
      </w:tr>
      <w:tr>
        <w:trPr>
          <w:trHeight w:val="237"/>
        </w:trPr>
        <w:tc>
          <w:tcPr>
            <w:tcW w:w="77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7"/>
                <w:szCs w:val="17"/>
                <w:color w:val="auto"/>
              </w:rPr>
              <w:t>CASH AND CASH EQUIVALENTS - end of year</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3,914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5,103</w:t>
            </w:r>
          </w:p>
        </w:tc>
        <w:tc>
          <w:tcPr>
            <w:tcW w:w="0" w:type="dxa"/>
            <w:vAlign w:val="bottom"/>
          </w:tcPr>
          <w:p>
            <w:pPr>
              <w:spacing w:after="0"/>
              <w:rPr>
                <w:sz w:val="1"/>
                <w:szCs w:val="1"/>
                <w:color w:val="auto"/>
              </w:rPr>
            </w:pPr>
          </w:p>
        </w:tc>
      </w:tr>
      <w:tr>
        <w:trPr>
          <w:trHeight w:val="20"/>
        </w:trPr>
        <w:tc>
          <w:tcPr>
            <w:tcW w:w="774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7"/>
                <w:szCs w:val="17"/>
                <w:color w:val="auto"/>
              </w:rPr>
              <w:t>SUPPLEMENTAL DISCLOSURES OF CASH FLOW INFORMATION-</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77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77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Cash paid during the year for income taxes, net of refunds</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22,685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34,386</w:t>
            </w:r>
          </w:p>
        </w:tc>
        <w:tc>
          <w:tcPr>
            <w:tcW w:w="0" w:type="dxa"/>
            <w:vAlign w:val="bottom"/>
          </w:tcPr>
          <w:p>
            <w:pPr>
              <w:spacing w:after="0"/>
              <w:rPr>
                <w:sz w:val="1"/>
                <w:szCs w:val="1"/>
                <w:color w:val="auto"/>
              </w:rPr>
            </w:pPr>
          </w:p>
        </w:tc>
      </w:tr>
      <w:tr>
        <w:trPr>
          <w:trHeight w:val="219"/>
        </w:trPr>
        <w:tc>
          <w:tcPr>
            <w:tcW w:w="7740" w:type="dxa"/>
            <w:vAlign w:val="bottom"/>
          </w:tcPr>
          <w:p>
            <w:pPr>
              <w:ind w:left="320"/>
              <w:spacing w:after="0"/>
              <w:rPr>
                <w:sz w:val="20"/>
                <w:szCs w:val="20"/>
                <w:color w:val="auto"/>
              </w:rPr>
            </w:pPr>
            <w:r>
              <w:rPr>
                <w:rFonts w:ascii="Arial" w:cs="Arial" w:eastAsia="Arial" w:hAnsi="Arial"/>
                <w:sz w:val="17"/>
                <w:szCs w:val="17"/>
                <w:color w:val="auto"/>
              </w:rPr>
              <w:t>Cash paid for interest</w:t>
            </w: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13,650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5,785</w:t>
            </w:r>
          </w:p>
        </w:tc>
        <w:tc>
          <w:tcPr>
            <w:tcW w:w="0" w:type="dxa"/>
            <w:vAlign w:val="bottom"/>
          </w:tcPr>
          <w:p>
            <w:pPr>
              <w:spacing w:after="0"/>
              <w:rPr>
                <w:sz w:val="1"/>
                <w:szCs w:val="1"/>
                <w:color w:val="auto"/>
              </w:rPr>
            </w:pPr>
          </w:p>
        </w:tc>
      </w:tr>
      <w:tr>
        <w:trPr>
          <w:trHeight w:val="219"/>
        </w:trPr>
        <w:tc>
          <w:tcPr>
            <w:tcW w:w="77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Noncash investing activities - Capital expenditures in accounts payable</w:t>
            </w: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2,536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1,841</w:t>
            </w:r>
          </w:p>
        </w:tc>
        <w:tc>
          <w:tcPr>
            <w:tcW w:w="0" w:type="dxa"/>
            <w:vAlign w:val="bottom"/>
          </w:tcPr>
          <w:p>
            <w:pPr>
              <w:spacing w:after="0"/>
              <w:rPr>
                <w:sz w:val="1"/>
                <w:szCs w:val="1"/>
                <w:color w:val="auto"/>
              </w:rPr>
            </w:pPr>
          </w:p>
        </w:tc>
      </w:tr>
    </w:tbl>
    <w:p>
      <w:pPr>
        <w:sectPr>
          <w:pgSz w:w="11900" w:h="16838" w:orient="portrait"/>
          <w:cols w:equalWidth="0" w:num="1">
            <w:col w:w="11240"/>
          </w:cols>
          <w:pgMar w:left="320" w:top="856"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7"/>
          <w:szCs w:val="17"/>
          <w:b w:val="1"/>
          <w:bCs w:val="1"/>
          <w:color w:val="auto"/>
        </w:rPr>
        <w:t>HAWKINS, INC.</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REPORTABLE SEGMENTS (UNAUDITED)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center"/>
              <w:ind w:right="340"/>
              <w:spacing w:after="0"/>
              <w:rPr>
                <w:sz w:val="20"/>
                <w:szCs w:val="20"/>
                <w:color w:val="auto"/>
              </w:rPr>
            </w:pPr>
            <w:r>
              <w:rPr>
                <w:rFonts w:ascii="Arial" w:cs="Arial" w:eastAsia="Arial" w:hAnsi="Arial"/>
                <w:sz w:val="14"/>
                <w:szCs w:val="14"/>
                <w:b w:val="1"/>
                <w:bCs w:val="1"/>
                <w:color w:val="auto"/>
                <w:w w:val="97"/>
              </w:rPr>
              <w:t>Water</w:t>
            </w:r>
          </w:p>
        </w:tc>
        <w:tc>
          <w:tcPr>
            <w:tcW w:w="12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center"/>
              <w:ind w:right="220"/>
              <w:spacing w:after="0"/>
              <w:rPr>
                <w:sz w:val="20"/>
                <w:szCs w:val="20"/>
                <w:color w:val="auto"/>
              </w:rPr>
            </w:pPr>
            <w:r>
              <w:rPr>
                <w:rFonts w:ascii="Arial" w:cs="Arial" w:eastAsia="Arial" w:hAnsi="Arial"/>
                <w:sz w:val="14"/>
                <w:szCs w:val="14"/>
                <w:b w:val="1"/>
                <w:bCs w:val="1"/>
                <w:color w:val="auto"/>
                <w:w w:val="98"/>
              </w:rPr>
              <w:t>Food and Health</w:t>
            </w:r>
          </w:p>
        </w:tc>
        <w:tc>
          <w:tcPr>
            <w:tcW w:w="1500" w:type="dxa"/>
            <w:vAlign w:val="bottom"/>
            <w:gridSpan w:val="3"/>
            <w:vMerge w:val="restart"/>
            <w:shd w:val="clear" w:color="auto" w:fill="CCEEFF"/>
          </w:tcPr>
          <w:p>
            <w:pPr>
              <w:ind w:left="60"/>
              <w:spacing w:after="0"/>
              <w:rPr>
                <w:sz w:val="20"/>
                <w:szCs w:val="20"/>
                <w:color w:val="auto"/>
              </w:rPr>
            </w:pPr>
            <w:r>
              <w:rPr>
                <w:rFonts w:ascii="Arial" w:cs="Arial" w:eastAsia="Arial" w:hAnsi="Arial"/>
                <w:sz w:val="14"/>
                <w:szCs w:val="14"/>
                <w:b w:val="1"/>
                <w:bCs w:val="1"/>
                <w:color w:val="auto"/>
              </w:rPr>
              <w:t>Industrial Solutions</w:t>
            </w:r>
          </w:p>
        </w:tc>
        <w:tc>
          <w:tcPr>
            <w:tcW w:w="32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ind w:right="45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7"/>
        </w:trPr>
        <w:tc>
          <w:tcPr>
            <w:tcW w:w="53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center"/>
              <w:ind w:right="340"/>
              <w:spacing w:after="0"/>
              <w:rPr>
                <w:sz w:val="20"/>
                <w:szCs w:val="20"/>
                <w:color w:val="auto"/>
              </w:rPr>
            </w:pPr>
            <w:r>
              <w:rPr>
                <w:rFonts w:ascii="Arial" w:cs="Arial" w:eastAsia="Arial" w:hAnsi="Arial"/>
                <w:sz w:val="14"/>
                <w:szCs w:val="14"/>
                <w:b w:val="1"/>
                <w:bCs w:val="1"/>
                <w:color w:val="auto"/>
                <w:w w:val="97"/>
              </w:rPr>
              <w:t>Treatment</w:t>
            </w:r>
          </w:p>
        </w:tc>
        <w:tc>
          <w:tcPr>
            <w:tcW w:w="12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jc w:val="center"/>
              <w:ind w:right="220"/>
              <w:spacing w:after="0"/>
              <w:rPr>
                <w:sz w:val="20"/>
                <w:szCs w:val="20"/>
                <w:color w:val="auto"/>
              </w:rPr>
            </w:pPr>
            <w:r>
              <w:rPr>
                <w:rFonts w:ascii="Arial" w:cs="Arial" w:eastAsia="Arial" w:hAnsi="Arial"/>
                <w:sz w:val="14"/>
                <w:szCs w:val="14"/>
                <w:b w:val="1"/>
                <w:bCs w:val="1"/>
                <w:color w:val="auto"/>
                <w:w w:val="98"/>
              </w:rPr>
              <w:t>Sciences</w:t>
            </w:r>
          </w:p>
        </w:tc>
        <w:tc>
          <w:tcPr>
            <w:tcW w:w="1500" w:type="dxa"/>
            <w:vAlign w:val="bottom"/>
            <w:gridSpan w:val="3"/>
            <w:vMerge w:val="continue"/>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5300" w:type="dxa"/>
            <w:vAlign w:val="bottom"/>
          </w:tcPr>
          <w:p>
            <w:pPr>
              <w:ind w:left="20"/>
              <w:spacing w:after="0"/>
              <w:rPr>
                <w:sz w:val="20"/>
                <w:szCs w:val="20"/>
                <w:color w:val="auto"/>
              </w:rPr>
            </w:pPr>
            <w:r>
              <w:rPr>
                <w:rFonts w:ascii="Arial" w:cs="Arial" w:eastAsia="Arial" w:hAnsi="Arial"/>
                <w:sz w:val="17"/>
                <w:szCs w:val="17"/>
                <w:color w:val="auto"/>
              </w:rPr>
              <w:t>Fiscal Year Ended March 29, 2026:</w:t>
            </w:r>
          </w:p>
        </w:tc>
        <w:tc>
          <w:tcPr>
            <w:tcW w:w="2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3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Sales</w:t>
            </w:r>
          </w:p>
        </w:tc>
        <w:tc>
          <w:tcPr>
            <w:tcW w:w="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543,303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320,700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219,693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1,083,696</w:t>
            </w:r>
          </w:p>
        </w:tc>
        <w:tc>
          <w:tcPr>
            <w:tcW w:w="0" w:type="dxa"/>
            <w:vAlign w:val="bottom"/>
          </w:tcPr>
          <w:p>
            <w:pPr>
              <w:spacing w:after="0"/>
              <w:rPr>
                <w:sz w:val="1"/>
                <w:szCs w:val="1"/>
                <w:color w:val="auto"/>
              </w:rPr>
            </w:pPr>
          </w:p>
        </w:tc>
      </w:tr>
      <w:tr>
        <w:trPr>
          <w:trHeight w:val="219"/>
        </w:trPr>
        <w:tc>
          <w:tcPr>
            <w:tcW w:w="5300" w:type="dxa"/>
            <w:vAlign w:val="bottom"/>
          </w:tcPr>
          <w:p>
            <w:pPr>
              <w:ind w:left="320"/>
              <w:spacing w:after="0"/>
              <w:rPr>
                <w:sz w:val="20"/>
                <w:szCs w:val="20"/>
                <w:color w:val="auto"/>
              </w:rPr>
            </w:pPr>
            <w:r>
              <w:rPr>
                <w:rFonts w:ascii="Arial" w:cs="Arial" w:eastAsia="Arial" w:hAnsi="Arial"/>
                <w:sz w:val="17"/>
                <w:szCs w:val="17"/>
                <w:color w:val="auto"/>
              </w:rPr>
              <w:t>Cost of sales - materials</w:t>
            </w:r>
          </w:p>
        </w:tc>
        <w:tc>
          <w:tcPr>
            <w:tcW w:w="240" w:type="dxa"/>
            <w:vAlign w:val="bottom"/>
          </w:tcPr>
          <w:p>
            <w:pPr>
              <w:ind w:left="20"/>
              <w:spacing w:after="0"/>
              <w:rPr>
                <w:sz w:val="20"/>
                <w:szCs w:val="20"/>
                <w:color w:val="auto"/>
              </w:rPr>
            </w:pPr>
            <w:r>
              <w:rPr>
                <w:rFonts w:ascii="Arial" w:cs="Arial" w:eastAsia="Arial" w:hAnsi="Arial"/>
                <w:sz w:val="17"/>
                <w:szCs w:val="17"/>
                <w:color w:val="auto"/>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327,821 )</w:t>
            </w:r>
          </w:p>
        </w:tc>
        <w:tc>
          <w:tcPr>
            <w:tcW w:w="12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7"/>
                <w:szCs w:val="17"/>
                <w:color w:val="auto"/>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233,960 )</w:t>
            </w:r>
          </w:p>
        </w:tc>
        <w:tc>
          <w:tcPr>
            <w:tcW w:w="100" w:type="dxa"/>
            <w:vAlign w:val="bottom"/>
          </w:tcPr>
          <w:p>
            <w:pPr>
              <w:spacing w:after="0"/>
              <w:rPr>
                <w:sz w:val="19"/>
                <w:szCs w:val="19"/>
                <w:color w:val="auto"/>
              </w:rPr>
            </w:pPr>
          </w:p>
        </w:tc>
        <w:tc>
          <w:tcPr>
            <w:tcW w:w="380" w:type="dxa"/>
            <w:vAlign w:val="bottom"/>
          </w:tcPr>
          <w:p>
            <w:pPr>
              <w:ind w:left="20"/>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174,415 )</w:t>
            </w:r>
          </w:p>
        </w:tc>
        <w:tc>
          <w:tcPr>
            <w:tcW w:w="100" w:type="dxa"/>
            <w:vAlign w:val="bottom"/>
          </w:tcPr>
          <w:p>
            <w:pPr>
              <w:spacing w:after="0"/>
              <w:rPr>
                <w:sz w:val="19"/>
                <w:szCs w:val="19"/>
                <w:color w:val="auto"/>
              </w:rPr>
            </w:pPr>
          </w:p>
        </w:tc>
        <w:tc>
          <w:tcPr>
            <w:tcW w:w="320" w:type="dxa"/>
            <w:vAlign w:val="bottom"/>
          </w:tcPr>
          <w:p>
            <w:pPr>
              <w:ind w:left="20"/>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736,196 )</w:t>
            </w:r>
          </w:p>
        </w:tc>
        <w:tc>
          <w:tcPr>
            <w:tcW w:w="0" w:type="dxa"/>
            <w:vAlign w:val="bottom"/>
          </w:tcPr>
          <w:p>
            <w:pPr>
              <w:spacing w:after="0"/>
              <w:rPr>
                <w:sz w:val="1"/>
                <w:szCs w:val="1"/>
                <w:color w:val="auto"/>
              </w:rPr>
            </w:pPr>
          </w:p>
        </w:tc>
      </w:tr>
      <w:tr>
        <w:trPr>
          <w:trHeight w:val="219"/>
        </w:trPr>
        <w:tc>
          <w:tcPr>
            <w:tcW w:w="53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Cost of sales - operational overhead</w:t>
            </w: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70,529 )</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19,408 )</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12,508 )</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102,445 )</w:t>
            </w:r>
          </w:p>
        </w:tc>
        <w:tc>
          <w:tcPr>
            <w:tcW w:w="0" w:type="dxa"/>
            <w:vAlign w:val="bottom"/>
          </w:tcPr>
          <w:p>
            <w:pPr>
              <w:spacing w:after="0"/>
              <w:rPr>
                <w:sz w:val="1"/>
                <w:szCs w:val="1"/>
                <w:color w:val="auto"/>
              </w:rPr>
            </w:pPr>
          </w:p>
        </w:tc>
      </w:tr>
      <w:tr>
        <w:trPr>
          <w:trHeight w:val="212"/>
        </w:trPr>
        <w:tc>
          <w:tcPr>
            <w:tcW w:w="5300" w:type="dxa"/>
            <w:vAlign w:val="bottom"/>
          </w:tcPr>
          <w:p>
            <w:pPr>
              <w:ind w:left="320"/>
              <w:spacing w:after="0"/>
              <w:rPr>
                <w:sz w:val="20"/>
                <w:szCs w:val="20"/>
                <w:color w:val="auto"/>
              </w:rPr>
            </w:pPr>
            <w:r>
              <w:rPr>
                <w:rFonts w:ascii="Arial" w:cs="Arial" w:eastAsia="Arial" w:hAnsi="Arial"/>
                <w:sz w:val="17"/>
                <w:szCs w:val="17"/>
                <w:color w:val="auto"/>
              </w:rPr>
              <w:t>Gross profit</w:t>
            </w:r>
          </w:p>
        </w:tc>
        <w:tc>
          <w:tcPr>
            <w:tcW w:w="240" w:type="dxa"/>
            <w:vAlign w:val="bottom"/>
          </w:tcPr>
          <w:p>
            <w:pPr>
              <w:spacing w:after="0"/>
              <w:rPr>
                <w:sz w:val="18"/>
                <w:szCs w:val="18"/>
                <w:color w:val="auto"/>
              </w:rPr>
            </w:pPr>
          </w:p>
        </w:tc>
        <w:tc>
          <w:tcPr>
            <w:tcW w:w="1160" w:type="dxa"/>
            <w:vAlign w:val="bottom"/>
          </w:tcPr>
          <w:p>
            <w:pPr>
              <w:jc w:val="right"/>
              <w:ind w:right="37"/>
              <w:spacing w:after="0"/>
              <w:rPr>
                <w:sz w:val="20"/>
                <w:szCs w:val="20"/>
                <w:color w:val="auto"/>
              </w:rPr>
            </w:pPr>
            <w:r>
              <w:rPr>
                <w:rFonts w:ascii="Arial" w:cs="Arial" w:eastAsia="Arial" w:hAnsi="Arial"/>
                <w:sz w:val="17"/>
                <w:szCs w:val="17"/>
                <w:color w:val="auto"/>
              </w:rPr>
              <w:t>144,953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ind w:right="37"/>
              <w:spacing w:after="0"/>
              <w:rPr>
                <w:sz w:val="20"/>
                <w:szCs w:val="20"/>
                <w:color w:val="auto"/>
              </w:rPr>
            </w:pPr>
            <w:r>
              <w:rPr>
                <w:rFonts w:ascii="Arial" w:cs="Arial" w:eastAsia="Arial" w:hAnsi="Arial"/>
                <w:sz w:val="17"/>
                <w:szCs w:val="17"/>
                <w:color w:val="auto"/>
              </w:rPr>
              <w:t>67,332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jc w:val="right"/>
              <w:ind w:right="34"/>
              <w:spacing w:after="0"/>
              <w:rPr>
                <w:sz w:val="20"/>
                <w:szCs w:val="20"/>
                <w:color w:val="auto"/>
              </w:rPr>
            </w:pPr>
            <w:r>
              <w:rPr>
                <w:rFonts w:ascii="Arial" w:cs="Arial" w:eastAsia="Arial" w:hAnsi="Arial"/>
                <w:sz w:val="17"/>
                <w:szCs w:val="17"/>
                <w:color w:val="auto"/>
              </w:rPr>
              <w:t>32,770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ind w:right="35"/>
              <w:spacing w:after="0"/>
              <w:rPr>
                <w:sz w:val="20"/>
                <w:szCs w:val="20"/>
                <w:color w:val="auto"/>
              </w:rPr>
            </w:pPr>
            <w:r>
              <w:rPr>
                <w:rFonts w:ascii="Arial" w:cs="Arial" w:eastAsia="Arial" w:hAnsi="Arial"/>
                <w:sz w:val="17"/>
                <w:szCs w:val="17"/>
                <w:color w:val="auto"/>
              </w:rPr>
              <w:t>245,055</w:t>
            </w:r>
          </w:p>
        </w:tc>
        <w:tc>
          <w:tcPr>
            <w:tcW w:w="0" w:type="dxa"/>
            <w:vAlign w:val="bottom"/>
          </w:tcPr>
          <w:p>
            <w:pPr>
              <w:spacing w:after="0"/>
              <w:rPr>
                <w:sz w:val="1"/>
                <w:szCs w:val="1"/>
                <w:color w:val="auto"/>
              </w:rPr>
            </w:pPr>
          </w:p>
        </w:tc>
      </w:tr>
      <w:tr>
        <w:trPr>
          <w:trHeight w:val="219"/>
        </w:trPr>
        <w:tc>
          <w:tcPr>
            <w:tcW w:w="53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Selling, general, and administrative expenses</w:t>
            </w: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76,865 )</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32,981 )</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13,916 )</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123,762 )</w:t>
            </w:r>
          </w:p>
        </w:tc>
        <w:tc>
          <w:tcPr>
            <w:tcW w:w="0" w:type="dxa"/>
            <w:vAlign w:val="bottom"/>
          </w:tcPr>
          <w:p>
            <w:pPr>
              <w:spacing w:after="0"/>
              <w:rPr>
                <w:sz w:val="1"/>
                <w:szCs w:val="1"/>
                <w:color w:val="auto"/>
              </w:rPr>
            </w:pPr>
          </w:p>
        </w:tc>
      </w:tr>
      <w:tr>
        <w:trPr>
          <w:trHeight w:val="212"/>
        </w:trPr>
        <w:tc>
          <w:tcPr>
            <w:tcW w:w="5300" w:type="dxa"/>
            <w:vAlign w:val="bottom"/>
          </w:tcPr>
          <w:p>
            <w:pPr>
              <w:ind w:left="320"/>
              <w:spacing w:after="0"/>
              <w:rPr>
                <w:sz w:val="20"/>
                <w:szCs w:val="20"/>
                <w:color w:val="auto"/>
              </w:rPr>
            </w:pPr>
            <w:r>
              <w:rPr>
                <w:rFonts w:ascii="Arial" w:cs="Arial" w:eastAsia="Arial" w:hAnsi="Arial"/>
                <w:sz w:val="17"/>
                <w:szCs w:val="17"/>
                <w:color w:val="auto"/>
              </w:rPr>
              <w:t>Operating income</w:t>
            </w: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rPr>
              <w:t>68,088</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rPr>
              <w:t>34,351</w:t>
            </w:r>
          </w:p>
        </w:tc>
        <w:tc>
          <w:tcPr>
            <w:tcW w:w="100" w:type="dxa"/>
            <w:vAlign w:val="bottom"/>
          </w:tcPr>
          <w:p>
            <w:pPr>
              <w:spacing w:after="0"/>
              <w:rPr>
                <w:sz w:val="18"/>
                <w:szCs w:val="18"/>
                <w:color w:val="auto"/>
              </w:rPr>
            </w:pPr>
          </w:p>
        </w:tc>
        <w:tc>
          <w:tcPr>
            <w:tcW w:w="3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18,854</w:t>
            </w:r>
          </w:p>
        </w:tc>
        <w:tc>
          <w:tcPr>
            <w:tcW w:w="100" w:type="dxa"/>
            <w:vAlign w:val="bottom"/>
          </w:tcPr>
          <w:p>
            <w:pPr>
              <w:spacing w:after="0"/>
              <w:rPr>
                <w:sz w:val="18"/>
                <w:szCs w:val="18"/>
                <w:color w:val="auto"/>
              </w:rPr>
            </w:pPr>
          </w:p>
        </w:tc>
        <w:tc>
          <w:tcPr>
            <w:tcW w:w="3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121,293</w:t>
            </w:r>
          </w:p>
        </w:tc>
        <w:tc>
          <w:tcPr>
            <w:tcW w:w="0" w:type="dxa"/>
            <w:vAlign w:val="bottom"/>
          </w:tcPr>
          <w:p>
            <w:pPr>
              <w:spacing w:after="0"/>
              <w:rPr>
                <w:sz w:val="1"/>
                <w:szCs w:val="1"/>
                <w:color w:val="auto"/>
              </w:rPr>
            </w:pPr>
          </w:p>
        </w:tc>
      </w:tr>
      <w:tr>
        <w:trPr>
          <w:trHeight w:val="20"/>
        </w:trPr>
        <w:tc>
          <w:tcPr>
            <w:tcW w:w="53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3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300" w:type="dxa"/>
            <w:vAlign w:val="bottom"/>
          </w:tcPr>
          <w:p>
            <w:pPr>
              <w:ind w:left="20"/>
              <w:spacing w:after="0"/>
              <w:rPr>
                <w:sz w:val="20"/>
                <w:szCs w:val="20"/>
                <w:color w:val="auto"/>
              </w:rPr>
            </w:pPr>
            <w:r>
              <w:rPr>
                <w:rFonts w:ascii="Arial" w:cs="Arial" w:eastAsia="Arial" w:hAnsi="Arial"/>
                <w:sz w:val="17"/>
                <w:szCs w:val="17"/>
                <w:color w:val="auto"/>
              </w:rPr>
              <w:t>Fiscal Year Ended March 30, 2025:</w:t>
            </w: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3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Sales</w:t>
            </w:r>
          </w:p>
        </w:tc>
        <w:tc>
          <w:tcPr>
            <w:tcW w:w="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446,489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322,560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205,382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974,431</w:t>
            </w:r>
          </w:p>
        </w:tc>
        <w:tc>
          <w:tcPr>
            <w:tcW w:w="0" w:type="dxa"/>
            <w:vAlign w:val="bottom"/>
          </w:tcPr>
          <w:p>
            <w:pPr>
              <w:spacing w:after="0"/>
              <w:rPr>
                <w:sz w:val="1"/>
                <w:szCs w:val="1"/>
                <w:color w:val="auto"/>
              </w:rPr>
            </w:pPr>
          </w:p>
        </w:tc>
      </w:tr>
      <w:tr>
        <w:trPr>
          <w:trHeight w:val="219"/>
        </w:trPr>
        <w:tc>
          <w:tcPr>
            <w:tcW w:w="5300" w:type="dxa"/>
            <w:vAlign w:val="bottom"/>
          </w:tcPr>
          <w:p>
            <w:pPr>
              <w:ind w:left="320"/>
              <w:spacing w:after="0"/>
              <w:rPr>
                <w:sz w:val="20"/>
                <w:szCs w:val="20"/>
                <w:color w:val="auto"/>
              </w:rPr>
            </w:pPr>
            <w:r>
              <w:rPr>
                <w:rFonts w:ascii="Arial" w:cs="Arial" w:eastAsia="Arial" w:hAnsi="Arial"/>
                <w:sz w:val="17"/>
                <w:szCs w:val="17"/>
                <w:color w:val="auto"/>
              </w:rPr>
              <w:t>Cost of sales - materials</w:t>
            </w:r>
          </w:p>
        </w:tc>
        <w:tc>
          <w:tcPr>
            <w:tcW w:w="240" w:type="dxa"/>
            <w:vAlign w:val="bottom"/>
          </w:tcPr>
          <w:p>
            <w:pPr>
              <w:ind w:left="20"/>
              <w:spacing w:after="0"/>
              <w:rPr>
                <w:sz w:val="20"/>
                <w:szCs w:val="20"/>
                <w:color w:val="auto"/>
              </w:rPr>
            </w:pPr>
            <w:r>
              <w:rPr>
                <w:rFonts w:ascii="Arial" w:cs="Arial" w:eastAsia="Arial" w:hAnsi="Arial"/>
                <w:sz w:val="17"/>
                <w:szCs w:val="17"/>
                <w:color w:val="auto"/>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259,722 )</w:t>
            </w:r>
          </w:p>
        </w:tc>
        <w:tc>
          <w:tcPr>
            <w:tcW w:w="12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7"/>
                <w:szCs w:val="17"/>
                <w:color w:val="auto"/>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231,621 )</w:t>
            </w:r>
          </w:p>
        </w:tc>
        <w:tc>
          <w:tcPr>
            <w:tcW w:w="100" w:type="dxa"/>
            <w:vAlign w:val="bottom"/>
          </w:tcPr>
          <w:p>
            <w:pPr>
              <w:spacing w:after="0"/>
              <w:rPr>
                <w:sz w:val="19"/>
                <w:szCs w:val="19"/>
                <w:color w:val="auto"/>
              </w:rPr>
            </w:pPr>
          </w:p>
        </w:tc>
        <w:tc>
          <w:tcPr>
            <w:tcW w:w="380" w:type="dxa"/>
            <w:vAlign w:val="bottom"/>
          </w:tcPr>
          <w:p>
            <w:pPr>
              <w:ind w:left="20"/>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160,199 )</w:t>
            </w:r>
          </w:p>
        </w:tc>
        <w:tc>
          <w:tcPr>
            <w:tcW w:w="100" w:type="dxa"/>
            <w:vAlign w:val="bottom"/>
          </w:tcPr>
          <w:p>
            <w:pPr>
              <w:spacing w:after="0"/>
              <w:rPr>
                <w:sz w:val="19"/>
                <w:szCs w:val="19"/>
                <w:color w:val="auto"/>
              </w:rPr>
            </w:pPr>
          </w:p>
        </w:tc>
        <w:tc>
          <w:tcPr>
            <w:tcW w:w="320" w:type="dxa"/>
            <w:vAlign w:val="bottom"/>
          </w:tcPr>
          <w:p>
            <w:pPr>
              <w:ind w:left="20"/>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651,542 )</w:t>
            </w:r>
          </w:p>
        </w:tc>
        <w:tc>
          <w:tcPr>
            <w:tcW w:w="0" w:type="dxa"/>
            <w:vAlign w:val="bottom"/>
          </w:tcPr>
          <w:p>
            <w:pPr>
              <w:spacing w:after="0"/>
              <w:rPr>
                <w:sz w:val="1"/>
                <w:szCs w:val="1"/>
                <w:color w:val="auto"/>
              </w:rPr>
            </w:pPr>
          </w:p>
        </w:tc>
      </w:tr>
      <w:tr>
        <w:trPr>
          <w:trHeight w:val="219"/>
        </w:trPr>
        <w:tc>
          <w:tcPr>
            <w:tcW w:w="53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Cost of sales - operational overhead</w:t>
            </w: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64,934 )</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19,021 )</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13,396 )</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97,351 )</w:t>
            </w:r>
          </w:p>
        </w:tc>
        <w:tc>
          <w:tcPr>
            <w:tcW w:w="0" w:type="dxa"/>
            <w:vAlign w:val="bottom"/>
          </w:tcPr>
          <w:p>
            <w:pPr>
              <w:spacing w:after="0"/>
              <w:rPr>
                <w:sz w:val="1"/>
                <w:szCs w:val="1"/>
                <w:color w:val="auto"/>
              </w:rPr>
            </w:pPr>
          </w:p>
        </w:tc>
      </w:tr>
      <w:tr>
        <w:trPr>
          <w:trHeight w:val="212"/>
        </w:trPr>
        <w:tc>
          <w:tcPr>
            <w:tcW w:w="5300" w:type="dxa"/>
            <w:vAlign w:val="bottom"/>
          </w:tcPr>
          <w:p>
            <w:pPr>
              <w:ind w:left="320"/>
              <w:spacing w:after="0"/>
              <w:rPr>
                <w:sz w:val="20"/>
                <w:szCs w:val="20"/>
                <w:color w:val="auto"/>
              </w:rPr>
            </w:pPr>
            <w:r>
              <w:rPr>
                <w:rFonts w:ascii="Arial" w:cs="Arial" w:eastAsia="Arial" w:hAnsi="Arial"/>
                <w:sz w:val="17"/>
                <w:szCs w:val="17"/>
                <w:color w:val="auto"/>
              </w:rPr>
              <w:t>Gross profit</w:t>
            </w:r>
          </w:p>
        </w:tc>
        <w:tc>
          <w:tcPr>
            <w:tcW w:w="240" w:type="dxa"/>
            <w:vAlign w:val="bottom"/>
          </w:tcPr>
          <w:p>
            <w:pPr>
              <w:spacing w:after="0"/>
              <w:rPr>
                <w:sz w:val="18"/>
                <w:szCs w:val="18"/>
                <w:color w:val="auto"/>
              </w:rPr>
            </w:pPr>
          </w:p>
        </w:tc>
        <w:tc>
          <w:tcPr>
            <w:tcW w:w="1160" w:type="dxa"/>
            <w:vAlign w:val="bottom"/>
          </w:tcPr>
          <w:p>
            <w:pPr>
              <w:jc w:val="right"/>
              <w:ind w:right="37"/>
              <w:spacing w:after="0"/>
              <w:rPr>
                <w:sz w:val="20"/>
                <w:szCs w:val="20"/>
                <w:color w:val="auto"/>
              </w:rPr>
            </w:pPr>
            <w:r>
              <w:rPr>
                <w:rFonts w:ascii="Arial" w:cs="Arial" w:eastAsia="Arial" w:hAnsi="Arial"/>
                <w:sz w:val="17"/>
                <w:szCs w:val="17"/>
                <w:color w:val="auto"/>
              </w:rPr>
              <w:t>121,833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ind w:right="37"/>
              <w:spacing w:after="0"/>
              <w:rPr>
                <w:sz w:val="20"/>
                <w:szCs w:val="20"/>
                <w:color w:val="auto"/>
              </w:rPr>
            </w:pPr>
            <w:r>
              <w:rPr>
                <w:rFonts w:ascii="Arial" w:cs="Arial" w:eastAsia="Arial" w:hAnsi="Arial"/>
                <w:sz w:val="17"/>
                <w:szCs w:val="17"/>
                <w:color w:val="auto"/>
              </w:rPr>
              <w:t>71,918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jc w:val="right"/>
              <w:ind w:right="34"/>
              <w:spacing w:after="0"/>
              <w:rPr>
                <w:sz w:val="20"/>
                <w:szCs w:val="20"/>
                <w:color w:val="auto"/>
              </w:rPr>
            </w:pPr>
            <w:r>
              <w:rPr>
                <w:rFonts w:ascii="Arial" w:cs="Arial" w:eastAsia="Arial" w:hAnsi="Arial"/>
                <w:sz w:val="17"/>
                <w:szCs w:val="17"/>
                <w:color w:val="auto"/>
              </w:rPr>
              <w:t>31,787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ind w:right="35"/>
              <w:spacing w:after="0"/>
              <w:rPr>
                <w:sz w:val="20"/>
                <w:szCs w:val="20"/>
                <w:color w:val="auto"/>
              </w:rPr>
            </w:pPr>
            <w:r>
              <w:rPr>
                <w:rFonts w:ascii="Arial" w:cs="Arial" w:eastAsia="Arial" w:hAnsi="Arial"/>
                <w:sz w:val="17"/>
                <w:szCs w:val="17"/>
                <w:color w:val="auto"/>
              </w:rPr>
              <w:t>225,538</w:t>
            </w:r>
          </w:p>
        </w:tc>
        <w:tc>
          <w:tcPr>
            <w:tcW w:w="0" w:type="dxa"/>
            <w:vAlign w:val="bottom"/>
          </w:tcPr>
          <w:p>
            <w:pPr>
              <w:spacing w:after="0"/>
              <w:rPr>
                <w:sz w:val="1"/>
                <w:szCs w:val="1"/>
                <w:color w:val="auto"/>
              </w:rPr>
            </w:pPr>
          </w:p>
        </w:tc>
      </w:tr>
      <w:tr>
        <w:trPr>
          <w:trHeight w:val="219"/>
        </w:trPr>
        <w:tc>
          <w:tcPr>
            <w:tcW w:w="53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Selling, general, and administrative expenses</w:t>
            </w: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62,287 )</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30,720 )</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13,357 )</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106,364 )</w:t>
            </w:r>
          </w:p>
        </w:tc>
        <w:tc>
          <w:tcPr>
            <w:tcW w:w="0" w:type="dxa"/>
            <w:vAlign w:val="bottom"/>
          </w:tcPr>
          <w:p>
            <w:pPr>
              <w:spacing w:after="0"/>
              <w:rPr>
                <w:sz w:val="1"/>
                <w:szCs w:val="1"/>
                <w:color w:val="auto"/>
              </w:rPr>
            </w:pPr>
          </w:p>
        </w:tc>
      </w:tr>
      <w:tr>
        <w:trPr>
          <w:trHeight w:val="212"/>
        </w:trPr>
        <w:tc>
          <w:tcPr>
            <w:tcW w:w="5300" w:type="dxa"/>
            <w:vAlign w:val="bottom"/>
          </w:tcPr>
          <w:p>
            <w:pPr>
              <w:ind w:left="320"/>
              <w:spacing w:after="0"/>
              <w:rPr>
                <w:sz w:val="20"/>
                <w:szCs w:val="20"/>
                <w:color w:val="auto"/>
              </w:rPr>
            </w:pPr>
            <w:r>
              <w:rPr>
                <w:rFonts w:ascii="Arial" w:cs="Arial" w:eastAsia="Arial" w:hAnsi="Arial"/>
                <w:sz w:val="17"/>
                <w:szCs w:val="17"/>
                <w:color w:val="auto"/>
              </w:rPr>
              <w:t>Operating income</w:t>
            </w: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rPr>
              <w:t>59,546</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rPr>
              <w:t>41,198</w:t>
            </w:r>
          </w:p>
        </w:tc>
        <w:tc>
          <w:tcPr>
            <w:tcW w:w="100" w:type="dxa"/>
            <w:vAlign w:val="bottom"/>
          </w:tcPr>
          <w:p>
            <w:pPr>
              <w:spacing w:after="0"/>
              <w:rPr>
                <w:sz w:val="18"/>
                <w:szCs w:val="18"/>
                <w:color w:val="auto"/>
              </w:rPr>
            </w:pPr>
          </w:p>
        </w:tc>
        <w:tc>
          <w:tcPr>
            <w:tcW w:w="3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18,430</w:t>
            </w:r>
          </w:p>
        </w:tc>
        <w:tc>
          <w:tcPr>
            <w:tcW w:w="100" w:type="dxa"/>
            <w:vAlign w:val="bottom"/>
          </w:tcPr>
          <w:p>
            <w:pPr>
              <w:spacing w:after="0"/>
              <w:rPr>
                <w:sz w:val="18"/>
                <w:szCs w:val="18"/>
                <w:color w:val="auto"/>
              </w:rPr>
            </w:pPr>
          </w:p>
        </w:tc>
        <w:tc>
          <w:tcPr>
            <w:tcW w:w="3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119,174</w:t>
            </w: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320" w:top="856" w:right="339" w:bottom="1440" w:gutter="0" w:footer="0" w:header="0"/>
        </w:sectPr>
      </w:pPr>
    </w:p>
    <w:bookmarkStart w:id="12" w:name="page13"/>
    <w:bookmarkEnd w:id="12"/>
    <w:p>
      <w:pPr>
        <w:spacing w:after="0"/>
        <w:rPr>
          <w:sz w:val="20"/>
          <w:szCs w:val="20"/>
          <w:color w:val="auto"/>
        </w:rPr>
      </w:pPr>
      <w:r>
        <w:rPr>
          <w:rFonts w:ascii="Arial" w:cs="Arial" w:eastAsia="Arial" w:hAnsi="Arial"/>
          <w:sz w:val="17"/>
          <w:szCs w:val="17"/>
          <w:u w:val="single" w:color="auto"/>
          <w:color w:val="auto"/>
        </w:rPr>
        <w:t>Forward-Looking Statements</w:t>
      </w:r>
      <w:r>
        <w:rPr>
          <w:rFonts w:ascii="Arial" w:cs="Arial" w:eastAsia="Arial" w:hAnsi="Arial"/>
          <w:sz w:val="17"/>
          <w:szCs w:val="17"/>
          <w:color w:val="auto"/>
        </w:rPr>
        <w:t>. Various remarks in this press release constitute forward-looking statements within the meaning of Section 27A of the</w:t>
      </w:r>
    </w:p>
    <w:p>
      <w:pPr>
        <w:spacing w:after="0" w:line="14" w:lineRule="exact"/>
        <w:rPr>
          <w:sz w:val="20"/>
          <w:szCs w:val="20"/>
          <w:color w:val="auto"/>
        </w:rPr>
      </w:pPr>
    </w:p>
    <w:p>
      <w:pPr>
        <w:spacing w:after="0" w:line="229" w:lineRule="auto"/>
        <w:rPr>
          <w:sz w:val="20"/>
          <w:szCs w:val="20"/>
          <w:color w:val="auto"/>
        </w:rPr>
      </w:pPr>
      <w:r>
        <w:rPr>
          <w:rFonts w:ascii="Arial" w:cs="Arial" w:eastAsia="Arial" w:hAnsi="Arial"/>
          <w:sz w:val="17"/>
          <w:szCs w:val="17"/>
          <w:color w:val="auto"/>
        </w:rPr>
        <w:t>Securities Act of 1933, as amended, and Section 21E of the Securities Exchange Act of 1934, as amended. These statements include those relating to consumer demand for products containing our ingredients and the impacts of those demands, expectations for results in our business</w:t>
      </w:r>
    </w:p>
    <w:p>
      <w:pPr>
        <w:spacing w:after="0" w:line="238" w:lineRule="auto"/>
        <w:rPr>
          <w:sz w:val="20"/>
          <w:szCs w:val="20"/>
          <w:color w:val="auto"/>
        </w:rPr>
      </w:pPr>
      <w:r>
        <w:rPr>
          <w:rFonts w:ascii="Arial" w:cs="Arial" w:eastAsia="Arial" w:hAnsi="Arial"/>
          <w:sz w:val="17"/>
          <w:szCs w:val="17"/>
          <w:color w:val="auto"/>
        </w:rPr>
        <w:t>segments and the timing of our filings with the Securities and Exchange Commission. These statements are not historical facts, but rather are</w:t>
      </w:r>
    </w:p>
    <w:p>
      <w:pPr>
        <w:spacing w:after="0" w:line="229" w:lineRule="auto"/>
        <w:rPr>
          <w:sz w:val="20"/>
          <w:szCs w:val="20"/>
          <w:color w:val="auto"/>
        </w:rPr>
      </w:pPr>
      <w:r>
        <w:rPr>
          <w:rFonts w:ascii="Arial" w:cs="Arial" w:eastAsia="Arial" w:hAnsi="Arial"/>
          <w:sz w:val="17"/>
          <w:szCs w:val="17"/>
          <w:color w:val="auto"/>
        </w:rPr>
        <w:t>based on our current expectations, estimates and projections, and our beliefs and assumptions. Forward-looking statements may be identified by terms, including “anticipate,” “believe,” “estimate,” “can,” “could,” “expect,” “intend,” “plan,” “may,” “predict,” “should,” ”would,” or “will” or the negative</w:t>
      </w:r>
    </w:p>
    <w:p>
      <w:pPr>
        <w:spacing w:after="0" w:line="238" w:lineRule="auto"/>
        <w:rPr>
          <w:sz w:val="20"/>
          <w:szCs w:val="20"/>
          <w:color w:val="auto"/>
        </w:rPr>
      </w:pPr>
      <w:r>
        <w:rPr>
          <w:rFonts w:ascii="Arial" w:cs="Arial" w:eastAsia="Arial" w:hAnsi="Arial"/>
          <w:sz w:val="17"/>
          <w:szCs w:val="17"/>
          <w:color w:val="auto"/>
        </w:rPr>
        <w:t>of these terms or other comparable terms. These statements are not guarantees of future performance and are subject to certain risks, uncertainties</w:t>
      </w:r>
    </w:p>
    <w:p>
      <w:pPr>
        <w:spacing w:after="0" w:line="229" w:lineRule="auto"/>
        <w:rPr>
          <w:sz w:val="20"/>
          <w:szCs w:val="20"/>
          <w:color w:val="auto"/>
        </w:rPr>
      </w:pPr>
      <w:r>
        <w:rPr>
          <w:rFonts w:ascii="Arial" w:cs="Arial" w:eastAsia="Arial" w:hAnsi="Arial"/>
          <w:sz w:val="17"/>
          <w:szCs w:val="17"/>
          <w:color w:val="auto"/>
        </w:rPr>
        <w:t>and other factors, some of which are beyond our control and are difficult to predict. Actual results may vary materially from those contained in forward looking statements based on a number of factors, including, but not limited to, changes in competition and price pressures, changes in</w:t>
      </w:r>
    </w:p>
    <w:p>
      <w:pPr>
        <w:spacing w:after="0" w:line="238" w:lineRule="auto"/>
        <w:rPr>
          <w:sz w:val="20"/>
          <w:szCs w:val="20"/>
          <w:color w:val="auto"/>
        </w:rPr>
      </w:pPr>
      <w:r>
        <w:rPr>
          <w:rFonts w:ascii="Arial" w:cs="Arial" w:eastAsia="Arial" w:hAnsi="Arial"/>
          <w:sz w:val="17"/>
          <w:szCs w:val="17"/>
          <w:color w:val="auto"/>
        </w:rPr>
        <w:t>demand and customer requirements or processes for our products, availability of product and disruptions to supplies, interruptions in production</w:t>
      </w:r>
    </w:p>
    <w:p>
      <w:pPr>
        <w:spacing w:after="0" w:line="229" w:lineRule="auto"/>
        <w:rPr>
          <w:sz w:val="20"/>
          <w:szCs w:val="20"/>
          <w:color w:val="auto"/>
        </w:rPr>
      </w:pPr>
      <w:r>
        <w:rPr>
          <w:rFonts w:ascii="Arial" w:cs="Arial" w:eastAsia="Arial" w:hAnsi="Arial"/>
          <w:sz w:val="17"/>
          <w:szCs w:val="17"/>
          <w:color w:val="auto"/>
        </w:rPr>
        <w:t>resulting from hazards, transportation limitations or other extraordinary events outside our control that may negatively impact our business or the supply chains in which we participate, changes in imported products and tariff levels, the availability of products and the prices at which they are</w:t>
      </w:r>
    </w:p>
    <w:p>
      <w:pPr>
        <w:spacing w:after="0" w:line="238" w:lineRule="auto"/>
        <w:rPr>
          <w:sz w:val="20"/>
          <w:szCs w:val="20"/>
          <w:color w:val="auto"/>
        </w:rPr>
      </w:pPr>
      <w:r>
        <w:rPr>
          <w:rFonts w:ascii="Arial" w:cs="Arial" w:eastAsia="Arial" w:hAnsi="Arial"/>
          <w:sz w:val="17"/>
          <w:szCs w:val="17"/>
          <w:color w:val="auto"/>
        </w:rPr>
        <w:t>available, the acceptance of new products by our customers and the timing of any such acceptance, changes in product supplies, the availability of</w:t>
      </w:r>
    </w:p>
    <w:p>
      <w:pPr>
        <w:spacing w:after="0" w:line="229" w:lineRule="auto"/>
        <w:rPr>
          <w:rFonts w:ascii="Arial" w:cs="Arial" w:eastAsia="Arial" w:hAnsi="Arial"/>
          <w:sz w:val="17"/>
          <w:szCs w:val="17"/>
          <w:color w:val="auto"/>
        </w:rPr>
      </w:pPr>
      <w:r>
        <w:rPr>
          <w:rFonts w:ascii="Arial" w:cs="Arial" w:eastAsia="Arial" w:hAnsi="Arial"/>
          <w:sz w:val="17"/>
          <w:szCs w:val="17"/>
          <w:color w:val="auto"/>
        </w:rPr>
        <w:t xml:space="preserve">target acquisitions, and changes in interest rates. Additional information concerning potential factors that could affect future financial results is included in our </w:t>
      </w:r>
      <w:hyperlink r:id="rId14">
        <w:r>
          <w:rPr>
            <w:rFonts w:ascii="Arial" w:cs="Arial" w:eastAsia="Arial" w:hAnsi="Arial"/>
            <w:sz w:val="17"/>
            <w:szCs w:val="17"/>
            <w:u w:val="single" w:color="auto"/>
            <w:color w:val="0000FF"/>
          </w:rPr>
          <w:t>Annual Report on Form 10-K for the fiscal year ended March 30, 2025</w:t>
        </w:r>
      </w:hyperlink>
      <w:r>
        <w:rPr>
          <w:rFonts w:ascii="Arial" w:cs="Arial" w:eastAsia="Arial" w:hAnsi="Arial"/>
          <w:sz w:val="17"/>
          <w:szCs w:val="17"/>
          <w:color w:val="auto"/>
        </w:rPr>
        <w:t>, as updated from time to time in amendments and</w:t>
      </w:r>
    </w:p>
    <w:p>
      <w:pPr>
        <w:spacing w:after="0" w:line="238" w:lineRule="auto"/>
        <w:rPr>
          <w:sz w:val="20"/>
          <w:szCs w:val="20"/>
          <w:color w:val="auto"/>
        </w:rPr>
      </w:pPr>
      <w:r>
        <w:rPr>
          <w:rFonts w:ascii="Arial" w:cs="Arial" w:eastAsia="Arial" w:hAnsi="Arial"/>
          <w:sz w:val="17"/>
          <w:szCs w:val="17"/>
          <w:color w:val="auto"/>
        </w:rPr>
        <w:t>subsequent reports filed with the SEC. Investors should take such risks into account when making investment decisions. Shareholders and other</w:t>
      </w:r>
    </w:p>
    <w:p>
      <w:pPr>
        <w:spacing w:after="0" w:line="222" w:lineRule="auto"/>
        <w:rPr>
          <w:sz w:val="20"/>
          <w:szCs w:val="20"/>
          <w:color w:val="auto"/>
        </w:rPr>
      </w:pPr>
      <w:r>
        <w:rPr>
          <w:rFonts w:ascii="Arial" w:cs="Arial" w:eastAsia="Arial" w:hAnsi="Arial"/>
          <w:sz w:val="17"/>
          <w:szCs w:val="17"/>
          <w:color w:val="auto"/>
        </w:rPr>
        <w:t>readers are cautioned not to place undue reliance on forward-looking statements, which reflect our management’s view only as of the date hereof.</w:t>
      </w:r>
    </w:p>
    <w:p>
      <w:pPr>
        <w:spacing w:after="0"/>
        <w:rPr>
          <w:sz w:val="20"/>
          <w:szCs w:val="20"/>
          <w:color w:val="auto"/>
        </w:rPr>
      </w:pPr>
      <w:r>
        <w:rPr>
          <w:rFonts w:ascii="Arial" w:cs="Arial" w:eastAsia="Arial" w:hAnsi="Arial"/>
          <w:sz w:val="17"/>
          <w:szCs w:val="17"/>
          <w:color w:val="auto"/>
        </w:rPr>
        <w:t>We do not undertake any obligation to update any forward-looking statements.</w:t>
      </w:r>
    </w:p>
    <w:p>
      <w:pPr>
        <w:spacing w:after="0" w:line="227" w:lineRule="exact"/>
        <w:rPr>
          <w:sz w:val="20"/>
          <w:szCs w:val="20"/>
          <w:color w:val="auto"/>
        </w:rPr>
      </w:pPr>
    </w:p>
    <w:p>
      <w:pPr>
        <w:spacing w:after="0"/>
        <w:tabs>
          <w:tab w:leader="none" w:pos="900" w:val="left"/>
        </w:tabs>
        <w:rPr>
          <w:sz w:val="20"/>
          <w:szCs w:val="20"/>
          <w:color w:val="auto"/>
        </w:rPr>
      </w:pPr>
      <w:r>
        <w:rPr>
          <w:rFonts w:ascii="Arial" w:cs="Arial" w:eastAsia="Arial" w:hAnsi="Arial"/>
          <w:sz w:val="17"/>
          <w:szCs w:val="17"/>
          <w:color w:val="auto"/>
        </w:rPr>
        <w:t>Contacts:</w:t>
        <w:tab/>
        <w:t>Jeffrey P. Oldenkamp</w:t>
      </w:r>
    </w:p>
    <w:p>
      <w:pPr>
        <w:spacing w:after="0" w:line="12"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Executive Vice President and Chief Financial Officer</w:t>
      </w:r>
    </w:p>
    <w:p>
      <w:pPr>
        <w:ind w:left="1240"/>
        <w:spacing w:after="0"/>
        <w:rPr>
          <w:sz w:val="20"/>
          <w:szCs w:val="20"/>
          <w:color w:val="auto"/>
        </w:rPr>
      </w:pPr>
      <w:r>
        <w:rPr>
          <w:rFonts w:ascii="Arial" w:cs="Arial" w:eastAsia="Arial" w:hAnsi="Arial"/>
          <w:sz w:val="17"/>
          <w:szCs w:val="17"/>
          <w:color w:val="auto"/>
        </w:rPr>
        <w:t>612/331-6910</w:t>
      </w:r>
    </w:p>
    <w:p>
      <w:pPr>
        <w:spacing w:after="0" w:line="11" w:lineRule="exact"/>
        <w:rPr>
          <w:sz w:val="20"/>
          <w:szCs w:val="20"/>
          <w:color w:val="auto"/>
        </w:rPr>
      </w:pPr>
    </w:p>
    <w:p>
      <w:pPr>
        <w:ind w:left="1240"/>
        <w:spacing w:after="0"/>
        <w:rPr>
          <w:sz w:val="20"/>
          <w:szCs w:val="20"/>
          <w:color w:val="auto"/>
        </w:rPr>
      </w:pPr>
      <w:r>
        <w:rPr>
          <w:rFonts w:ascii="Arial" w:cs="Arial" w:eastAsia="Arial" w:hAnsi="Arial"/>
          <w:sz w:val="17"/>
          <w:szCs w:val="17"/>
          <w:u w:val="single" w:color="auto"/>
          <w:color w:val="auto"/>
        </w:rPr>
        <w:t>ir@HawkinsInc.com</w:t>
      </w:r>
    </w:p>
    <w:sectPr>
      <w:pgSz w:w="11900" w:h="16838" w:orient="portrait"/>
      <w:cols w:equalWidth="0" w:num="1">
        <w:col w:w="11240"/>
      </w:cols>
      <w:pgMar w:left="320" w:top="84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hyperlink" Target="https://www.sec.gov/ix?doc=/Archives/edgar/data/46250/000004625025000025/hwkn-2025033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2026-05-13T15:23:24Z</dcterms:created>
  <dcterms:modified xsi:type="dcterms:W3CDTF">2026-05-13T15:23:24Z</dcterms:modified>
</cp:coreProperties>
</file>