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29, 2021</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8"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520" w:space="720"/>
            <w:col w:w="2800" w:space="720"/>
            <w:col w:w="2480"/>
          </w:cols>
          <w:pgMar w:left="320" w:top="1035" w:right="33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94" w:lineRule="exact"/>
        <w:rPr>
          <w:sz w:val="24"/>
          <w:szCs w:val="24"/>
          <w:color w:val="auto"/>
        </w:rPr>
      </w:pPr>
    </w:p>
    <w:p>
      <w:pPr>
        <w:sectPr>
          <w:pgSz w:w="11900" w:h="16838" w:orient="portrait"/>
          <w:cols w:equalWidth="0" w:num="3">
            <w:col w:w="3880" w:space="720"/>
            <w:col w:w="2800" w:space="720"/>
            <w:col w:w="3120"/>
          </w:cols>
          <w:pgMar w:left="320" w:top="1035"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580" w:space="720"/>
            <w:col w:w="1940"/>
          </w:cols>
          <w:pgMar w:left="320" w:top="1035"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35" w:right="339" w:bottom="1440" w:gutter="0" w:footer="0" w:header="0"/>
          <w:type w:val="continuous"/>
        </w:sect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79"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right="480" w:firstLine="445"/>
        <w:spacing w:after="0" w:line="256" w:lineRule="auto"/>
        <w:rPr>
          <w:sz w:val="20"/>
          <w:szCs w:val="20"/>
          <w:color w:val="auto"/>
        </w:rPr>
      </w:pPr>
      <w:r>
        <w:rPr>
          <w:rFonts w:ascii="Arial" w:cs="Arial" w:eastAsia="Arial" w:hAnsi="Arial"/>
          <w:sz w:val="18"/>
          <w:szCs w:val="18"/>
          <w:color w:val="auto"/>
        </w:rPr>
        <w:t>On July 29, 2021, Hawkins, Inc. issued a press release announcing financial results for its fiscal 2022 first quarter ended June 27, 2021. A copy of the press release issued by the Registrant is furnished herewith as Exhibit 99.1 hereto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4"/>
                <w:szCs w:val="14"/>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4"/>
                <w:szCs w:val="14"/>
                <w:color w:val="auto"/>
              </w:rPr>
            </w:pPr>
          </w:p>
        </w:tc>
      </w:tr>
      <w:tr>
        <w:trPr>
          <w:trHeight w:val="222"/>
        </w:trPr>
        <w:tc>
          <w:tcPr>
            <w:tcW w:w="1640" w:type="dxa"/>
            <w:vAlign w:val="bottom"/>
            <w:gridSpan w:val="2"/>
          </w:tcPr>
          <w:p>
            <w:pPr>
              <w:ind w:left="1280"/>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Press Release, dated July 29, 2021, announcing financial results of Hawkins, Inc. for</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97"/>
        </w:trPr>
        <w:tc>
          <w:tcPr>
            <w:tcW w:w="12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its fiscal 2022 first quarter ended June 27, 2021.</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1640" w:type="dxa"/>
            <w:vAlign w:val="bottom"/>
            <w:gridSpan w:val="2"/>
          </w:tcPr>
          <w:p>
            <w:pPr>
              <w:ind w:left="12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222"/>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020" w:type="dxa"/>
            <w:vAlign w:val="bottom"/>
          </w:tcPr>
          <w:p>
            <w:pPr>
              <w:spacing w:after="0"/>
              <w:rPr>
                <w:sz w:val="18"/>
                <w:szCs w:val="18"/>
                <w:color w:val="auto"/>
              </w:rPr>
            </w:pPr>
          </w:p>
        </w:tc>
        <w:tc>
          <w:tcPr>
            <w:tcW w:w="2880" w:type="dxa"/>
            <w:vAlign w:val="bottom"/>
            <w:gridSpan w:val="2"/>
          </w:tcPr>
          <w:p>
            <w:pPr>
              <w:ind w:left="1460"/>
              <w:spacing w:after="0"/>
              <w:rPr>
                <w:sz w:val="20"/>
                <w:szCs w:val="20"/>
                <w:color w:val="auto"/>
              </w:rPr>
            </w:pPr>
            <w:r>
              <w:rPr>
                <w:rFonts w:ascii="Arial" w:cs="Arial" w:eastAsia="Arial" w:hAnsi="Arial"/>
                <w:sz w:val="18"/>
                <w:szCs w:val="18"/>
                <w:color w:val="auto"/>
              </w:rPr>
              <w:t>HAWKINS, INC.</w:t>
            </w:r>
          </w:p>
        </w:tc>
        <w:tc>
          <w:tcPr>
            <w:tcW w:w="5280" w:type="dxa"/>
            <w:vAlign w:val="bottom"/>
          </w:tcPr>
          <w:p>
            <w:pPr>
              <w:spacing w:after="0"/>
              <w:rPr>
                <w:sz w:val="18"/>
                <w:szCs w:val="18"/>
                <w:color w:val="auto"/>
              </w:rPr>
            </w:pPr>
          </w:p>
        </w:tc>
      </w:tr>
      <w:tr>
        <w:trPr>
          <w:trHeight w:val="283"/>
        </w:trPr>
        <w:tc>
          <w:tcPr>
            <w:tcW w:w="3020" w:type="dxa"/>
            <w:vAlign w:val="bottom"/>
          </w:tcPr>
          <w:p>
            <w:pPr>
              <w:spacing w:after="0"/>
              <w:rPr>
                <w:sz w:val="20"/>
                <w:szCs w:val="20"/>
                <w:color w:val="auto"/>
              </w:rPr>
            </w:pPr>
            <w:r>
              <w:rPr>
                <w:rFonts w:ascii="Arial" w:cs="Arial" w:eastAsia="Arial" w:hAnsi="Arial"/>
                <w:sz w:val="18"/>
                <w:szCs w:val="18"/>
                <w:color w:val="auto"/>
              </w:rPr>
              <w:t>Date: July 29, 2021</w:t>
            </w:r>
          </w:p>
        </w:tc>
        <w:tc>
          <w:tcPr>
            <w:tcW w:w="288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8"/>
              </w:rPr>
              <w:t>/s/ Jeffrey P. Oldenkamp</w:t>
            </w:r>
          </w:p>
        </w:tc>
      </w:tr>
      <w:tr>
        <w:trPr>
          <w:trHeight w:val="223"/>
        </w:trPr>
        <w:tc>
          <w:tcPr>
            <w:tcW w:w="30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8"/>
              </w:rPr>
              <w:t>Jeffrey P. Oldenkamp</w:t>
            </w:r>
          </w:p>
        </w:tc>
      </w:tr>
      <w:tr>
        <w:trPr>
          <w:trHeight w:val="230"/>
        </w:trPr>
        <w:tc>
          <w:tcPr>
            <w:tcW w:w="30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9"/>
              </w:rPr>
              <w:t>Executive Vice President and Chief Financial Officer</w:t>
            </w:r>
          </w:p>
        </w:tc>
      </w:tr>
    </w:tbl>
    <w:p>
      <w:pPr>
        <w:sectPr>
          <w:pgSz w:w="11900" w:h="16838" w:orient="portrait"/>
          <w:cols w:equalWidth="0" w:num="1">
            <w:col w:w="11200"/>
          </w:cols>
          <w:pgMar w:left="320" w:top="886"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29, 2021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Quarter Fiscal 2022 Results</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Minneapolis, MN, July 29, 2021 – Hawkins, Inc. (Nasdaq: HWKN) today announced results for the three months ended June 27, 2021, its first quarter of fiscal 2022. Highlights include:</w:t>
      </w:r>
    </w:p>
    <w:p>
      <w:pPr>
        <w:spacing w:after="0" w:line="225" w:lineRule="exact"/>
        <w:rPr>
          <w:sz w:val="20"/>
          <w:szCs w:val="20"/>
          <w:color w:val="auto"/>
        </w:rPr>
      </w:pPr>
    </w:p>
    <w:p>
      <w:pPr>
        <w:ind w:left="660" w:right="42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sales of $181.2 million, a 27% year-over-year increase, with all three segments growing more than 20%, driven largely by year-over-year volume increases.</w:t>
      </w:r>
    </w:p>
    <w:p>
      <w:pPr>
        <w:ind w:left="660" w:right="32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gross profit of $39.0 million, a 26% increase over the prior year, contributing to record operating income of $22.1 million, a 39% year-over-year increase.</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first quarter diluted earnings per share (EPS) of $0.79, which was $0.24, or 44%, higher than the same period last year.</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first quarter operating cash flow of $14.8 million, compared to $1.6 million a year ago, allowing continued paydown of debt, with leverage ratio of 1.1x at quarter end.</w:t>
      </w:r>
    </w:p>
    <w:p>
      <w:pPr>
        <w:ind w:left="660" w:right="16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earnings before interest, taxes, depreciation and amortization (EBITDA), a non-GAAP measure, of $29.1 million, a 29% increase over the prior year.</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Declared increased dividend of $0.13 per share, resulting in a 12% increase in calendar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27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are pleased with our strong start to fiscal 2022, with all three operating segments contributing to record operating income of $22.1 million. All three segments experienced double-digit growth in revenue, gross profit and operating income. Our Water Treatment group led the way with a 43% increase in gross profit. As expected Water Treatment grew in the pools, resort and fitness center end markets when compared to last year's results that were impacted by COVID-19. In our Industrial group, our revenue grew by 20% and gross profit increased by 14% despite coming off of strong demand for our bleach products last year. The increase was a result of strong sales of specialty and manufactured products, driven by our agricultural, pharmaceutical and food ingredient products."</w:t>
      </w:r>
    </w:p>
    <w:p>
      <w:pPr>
        <w:spacing w:after="0" w:line="221" w:lineRule="exact"/>
        <w:rPr>
          <w:sz w:val="20"/>
          <w:szCs w:val="20"/>
          <w:color w:val="auto"/>
        </w:rPr>
      </w:pPr>
    </w:p>
    <w:p>
      <w:pPr>
        <w:ind w:right="540"/>
        <w:spacing w:after="0" w:line="229" w:lineRule="auto"/>
        <w:rPr>
          <w:sz w:val="20"/>
          <w:szCs w:val="20"/>
          <w:color w:val="auto"/>
        </w:rPr>
      </w:pPr>
      <w:r>
        <w:rPr>
          <w:rFonts w:ascii="Arial" w:cs="Arial" w:eastAsia="Arial" w:hAnsi="Arial"/>
          <w:sz w:val="18"/>
          <w:szCs w:val="18"/>
          <w:color w:val="auto"/>
        </w:rPr>
        <w:t>Mr. Hawkins continued, "Demand for products in our Health and Nutrition group remained strong in the first quarter, leading to a 23% increase in revenue and 18% increase in gross profit. The increased demand for products in this group has been driven by consumer demand for health and immunity products, which has been high throughout the course of the pandemic. Like many industries, we have</w:t>
      </w:r>
    </w:p>
    <w:p>
      <w:pPr>
        <w:spacing w:after="0" w:line="1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experienced supply chain challenges in each of our business segments and expect those supply chain challenges to continue. However, thanks to the efforts of our outstanding employees, the relationships we have with our vendors and the investments we have made in storage and infrastructure, we have been able to overcome these challenges and continue to serve our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Highlights:</w:t>
      </w:r>
    </w:p>
    <w:p>
      <w:pPr>
        <w:spacing w:after="0" w:line="27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Sales were $181.2 million for the first quarter of fiscal 2022, an increase of 27%, from sales of $143.2 million for the same period of the prior year. Industrial segment sales increased $ 14.3 million, or 20%, to $85.9 million for the current quarter, as compared to $71.5 million for the same period of the prior year. Sales of our bleach products decreased from the prior year, as prior year sales were high due to increased customer demand as a result of the pandemic. However, this decrease was more than offset by increased sales of both our bulk and our manufactured, blended and repackaged products, in particular our agricultural and food ingredient products. Water Treatment segment sales increased $16.5 million, or 42%, to $56.2 million for the current quarter, as compared to $39.7 million for the same period of the prior year. Water Treatment sales increased due to increased demand for many of our products, as well as the added sales from the acquisitions of ADC and C&amp;L Aqua in fiscal 2021. Sales for our Health and Nutrition segment increased $7.2 million, or 23%, to $39.2 million for the current quarter, as compared to $32.0 million for the same period of the prior year. The increase in sales was driven by increased sales of both our manufactured and specialty distributed products largely as a result of increased consumer demand for health and immunity products.</w:t>
      </w:r>
    </w:p>
    <w:p>
      <w:pPr>
        <w:sectPr>
          <w:pgSz w:w="11900" w:h="16838" w:orient="portrait"/>
          <w:cols w:equalWidth="0" w:num="1">
            <w:col w:w="11240"/>
          </w:cols>
          <w:pgMar w:left="320" w:top="625" w:right="339"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18"/>
          <w:szCs w:val="18"/>
          <w:color w:val="auto"/>
        </w:rPr>
        <w:t>Gross profit increased $8.0 million, or 26%, to $39.0 million, or 22% of sales, for the current quarter, from $31.0 million, or 22% of sales, for the same period a year ago. During the current quarter, the LIFO reserve increased, and gross profits decreased, by $1.8 million. In the same quarter a year ago, the LIFO reserve increased, and gross profits decreased, by $0.1 million. Gross profit for the Industrial segment increased $1.8 million, or 14%, to $14.3 million, or 17% of sales, for the current quarter, from $12.5 million, or 17% of sales, for the same period of the prior year. Total Industrial segment gross profit increased as a result of the increase in sales, partially offset by the negative impact to gross profit as a result of the increase in LIFO reserve. Gross profit for the Water Treatment segment increased $4.9 million or 43% to $16.2 million, or 29% of sales, for the current quarter, from $11.3 million, or 29% of sales, for the same period of the prior year. Gross profit in our Water Treatment segment increased as a result of increased sales as well as the added gross profit from the sales in the acquired businesses of ADC and C&amp;L Aqua. Gross profit for our Health and Nutrition segment increased $1.3 million, or18%, to $8.5 million, or 22% of sales, for the current quarter, from $7.2 million, or 23% of sales, for the same period of the prior year. Gross profit in our Health and Nutrition segment increased as a result of higher sales compared to the prior year.</w:t>
      </w:r>
    </w:p>
    <w:p>
      <w:pPr>
        <w:spacing w:after="0" w:line="23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Company-wide selling, general and administrative expenses increased $1.8 million to $16.9 million, or 9% of sales, for the current quarter, compared to $15.0 million, or 11% of sales, for the same period of the prior year. Expenses increased primarily due to the added costs from the acquired businesses of ADC and C&amp;L Aqua, including $0.4 million of expense for amortization of intangibles.</w:t>
      </w:r>
    </w:p>
    <w:p>
      <w:pPr>
        <w:spacing w:after="0" w:line="22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effective income tax rate was 24.4% for the current quarter, compared to 26.5% in the same period of the prior year. The effective tax rate is impacted by projected levels of annual taxable income, permanent items, and state taxes. Our effective tax rate for the full year is currently expected to be approximately 26-27%.</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June 27, 2021 was $29.1 million, an increase of $6.5 million, or 29%, from EBITDA of $22.6 million for the same period of the prior year. The increase was primarily due to improved gross profit.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3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Hawkins, Inc. was founded in 1938 and is a leading specialty chemical company that distributes, blends and manufactures chemicals and other specialty ingredients for its Industrial, Water Treatment, and Health &amp; Nutrition customers. Headquartered in Roseville, Minnesota, and with approximately 750 employees across 45 facilities in 22 states, the Company creates value for its customers through superb customer service and support, quality products and personalized applications. For more information, including registering to receive email alerts, please visit www.hawkinsinc.com/investors.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7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ectPr>
          <w:pgSz w:w="11900" w:h="16838" w:orient="portrait"/>
          <w:cols w:equalWidth="0" w:num="1">
            <w:col w:w="11240"/>
          </w:cols>
          <w:pgMar w:left="320" w:top="5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27, 2021</w:t>
            </w:r>
          </w:p>
        </w:tc>
        <w:tc>
          <w:tcPr>
            <w:tcW w:w="200" w:type="dxa"/>
            <w:vAlign w:val="bottom"/>
          </w:tcPr>
          <w:p>
            <w:pPr>
              <w:spacing w:after="0"/>
              <w:rPr>
                <w:sz w:val="19"/>
                <w:szCs w:val="19"/>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28, 2020</w:t>
            </w:r>
          </w:p>
        </w:tc>
      </w:tr>
      <w:tr>
        <w:trPr>
          <w:trHeight w:val="223"/>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11,788</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Non-recurring acquisition expenses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22,599</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60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8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June 27, 2021</w:t>
            </w: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June 28, 2020</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(112,196)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(15,038)</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16,035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21,034,302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21,031,456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21,178,320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21,285,346</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0.12250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0.11625</w:t>
            </w:r>
          </w:p>
        </w:tc>
      </w:tr>
    </w:tbl>
    <w:p>
      <w:pPr>
        <w:sectPr>
          <w:pgSz w:w="11900" w:h="16838" w:orient="portrait"/>
          <w:cols w:equalWidth="0" w:num="1">
            <w:col w:w="11240"/>
          </w:cols>
          <w:pgMar w:left="320" w:top="10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27,</w:t>
            </w:r>
          </w:p>
        </w:tc>
        <w:tc>
          <w:tcPr>
            <w:tcW w:w="24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28,</w:t>
            </w:r>
          </w:p>
        </w:tc>
      </w:tr>
      <w:tr>
        <w:trPr>
          <w:trHeight w:val="215"/>
        </w:trPr>
        <w:tc>
          <w:tcPr>
            <w:tcW w:w="8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7"/>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Trade accounts receivables, net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90,936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90,603</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63,864</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r>
      <w:tr>
        <w:trPr>
          <w:trHeight w:val="207"/>
        </w:trPr>
        <w:tc>
          <w:tcPr>
            <w:tcW w:w="8200" w:type="dxa"/>
            <w:vAlign w:val="bottom"/>
          </w:tcPr>
          <w:p>
            <w:pPr>
              <w:ind w:left="78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167,772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163,007</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300,404</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155,792</w:t>
            </w:r>
          </w:p>
        </w:tc>
      </w:tr>
      <w:tr>
        <w:trPr>
          <w:trHeight w:val="213"/>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144,612</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Right-of-use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70,720</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Intangible assets, net of accumulated amortization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76,368</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w:t>
            </w:r>
          </w:p>
        </w:tc>
      </w:tr>
      <w:tr>
        <w:trPr>
          <w:trHeight w:val="210"/>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164,931</w:t>
            </w:r>
          </w:p>
        </w:tc>
      </w:tr>
      <w:tr>
        <w:trPr>
          <w:trHeight w:val="209"/>
        </w:trPr>
        <w:tc>
          <w:tcPr>
            <w:tcW w:w="820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 trade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37,313</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Accrued payroll and employee benefits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18,048</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payable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9,907</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Short-term lease liability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Container deposits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1,452</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207"/>
        </w:trPr>
        <w:tc>
          <w:tcPr>
            <w:tcW w:w="820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66,512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70,462</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88,845</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10,231</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24,445</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LIABILITY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w:t>
            </w:r>
          </w:p>
        </w:tc>
      </w:tr>
      <w:tr>
        <w:trPr>
          <w:trHeight w:val="21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w:t>
            </w:r>
          </w:p>
        </w:tc>
      </w:tr>
      <w:tr>
        <w:trPr>
          <w:trHeight w:val="213"/>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207,304</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7"/>
        </w:trPr>
        <w:tc>
          <w:tcPr>
            <w:tcW w:w="8200" w:type="dxa"/>
            <w:vAlign w:val="bottom"/>
          </w:tcPr>
          <w:p>
            <w:pPr>
              <w:ind w:left="340"/>
              <w:spacing w:after="0" w:line="178" w:lineRule="exact"/>
              <w:rPr>
                <w:sz w:val="20"/>
                <w:szCs w:val="20"/>
                <w:color w:val="auto"/>
              </w:rPr>
            </w:pPr>
            <w:r>
              <w:rPr>
                <w:rFonts w:ascii="Arial" w:cs="Arial" w:eastAsia="Arial" w:hAnsi="Arial"/>
                <w:sz w:val="16"/>
                <w:szCs w:val="16"/>
                <w:color w:val="auto"/>
              </w:rPr>
              <w:t>Common stock; authorized: 60,000,000 shares of $0.01 par value; 20,946,404 and 20,969,746 shares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8200" w:type="dxa"/>
            <w:vAlign w:val="bottom"/>
          </w:tcPr>
          <w:p>
            <w:pPr>
              <w:ind w:left="340"/>
              <w:spacing w:after="0"/>
              <w:rPr>
                <w:sz w:val="20"/>
                <w:szCs w:val="20"/>
                <w:color w:val="auto"/>
              </w:rPr>
            </w:pPr>
            <w:r>
              <w:rPr>
                <w:rFonts w:ascii="Arial" w:cs="Arial" w:eastAsia="Arial" w:hAnsi="Arial"/>
                <w:sz w:val="16"/>
                <w:szCs w:val="16"/>
                <w:color w:val="auto"/>
              </w:rPr>
              <w:t>issued and outstanding as of June 27, 2021 and March 28, 2021, respectively</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51,138</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227,926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213,898</w:t>
            </w:r>
          </w:p>
        </w:tc>
      </w:tr>
      <w:tr>
        <w:trPr>
          <w:trHeight w:val="210"/>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265,246</w:t>
            </w:r>
          </w:p>
        </w:tc>
      </w:tr>
      <w:tr>
        <w:trPr>
          <w:trHeight w:val="209"/>
        </w:trPr>
        <w:tc>
          <w:tcPr>
            <w:tcW w:w="8200" w:type="dxa"/>
            <w:vAlign w:val="bottom"/>
          </w:tcPr>
          <w:p>
            <w:pPr>
              <w:ind w:left="78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4"/>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ectPr>
          <w:pgSz w:w="11900" w:h="16838" w:orient="portrait"/>
          <w:cols w:equalWidth="0" w:num="1">
            <w:col w:w="11200"/>
          </w:cols>
          <w:pgMar w:left="340" w:top="104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June 27,</w:t>
            </w:r>
          </w:p>
        </w:tc>
        <w:tc>
          <w:tcPr>
            <w:tcW w:w="260" w:type="dxa"/>
            <w:vAlign w:val="bottom"/>
          </w:tcPr>
          <w:p>
            <w:pPr>
              <w:spacing w:after="0"/>
              <w:rPr>
                <w:sz w:val="13"/>
                <w:szCs w:val="13"/>
                <w:color w:val="auto"/>
              </w:rPr>
            </w:pPr>
          </w:p>
        </w:tc>
        <w:tc>
          <w:tcPr>
            <w:tcW w:w="1220" w:type="dxa"/>
            <w:vAlign w:val="bottom"/>
          </w:tcPr>
          <w:p>
            <w:pPr>
              <w:jc w:val="right"/>
              <w:ind w:right="339"/>
              <w:spacing w:after="0" w:line="158" w:lineRule="exact"/>
              <w:rPr>
                <w:sz w:val="20"/>
                <w:szCs w:val="20"/>
                <w:color w:val="auto"/>
              </w:rPr>
            </w:pPr>
            <w:r>
              <w:rPr>
                <w:rFonts w:ascii="Arial" w:cs="Arial" w:eastAsia="Arial" w:hAnsi="Arial"/>
                <w:sz w:val="16"/>
                <w:szCs w:val="16"/>
                <w:b w:val="1"/>
                <w:bCs w:val="1"/>
                <w:color w:val="auto"/>
              </w:rPr>
              <w:t>June 28,</w:t>
            </w:r>
          </w:p>
        </w:tc>
      </w:tr>
      <w:tr>
        <w:trPr>
          <w:trHeight w:val="215"/>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16,628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11,788</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5,484</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Gain on deferred compensation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(1,992)</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(8,952)</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(2,354)</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(6,689)</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w:t>
            </w:r>
          </w:p>
        </w:tc>
      </w:tr>
      <w:tr>
        <w:trPr>
          <w:trHeight w:val="213"/>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declared and paid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Shares surrendered for payroll taxes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(payments on) proceeds from revolving loan</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3,467</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w:t>
            </w:r>
          </w:p>
        </w:tc>
      </w:tr>
      <w:tr>
        <w:trPr>
          <w:trHeight w:val="206"/>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334</w:t>
            </w:r>
          </w:p>
        </w:tc>
      </w:tr>
    </w:tbl>
    <w:p>
      <w:pPr>
        <w:sectPr>
          <w:pgSz w:w="11900" w:h="16838" w:orient="portrait"/>
          <w:cols w:equalWidth="0" w:num="1">
            <w:col w:w="11240"/>
          </w:cols>
          <w:pgMar w:left="320" w:top="8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REPORTABLE SEGMENTS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27, 2021:</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56,238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39,153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181,241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Three months ended June 28,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143,172</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30,976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bl>
    <w:p>
      <w:pPr>
        <w:sectPr>
          <w:pgSz w:w="11900" w:h="16838" w:orient="portrait"/>
          <w:cols w:equalWidth="0" w:num="1">
            <w:col w:w="11200"/>
          </w:cols>
          <w:pgMar w:left="340" w:top="886" w:right="359" w:bottom="1440" w:gutter="0" w:footer="0" w:header="0"/>
        </w:sectPr>
      </w:pPr>
    </w:p>
    <w:bookmarkStart w:id="10" w:name="page11"/>
    <w:bookmarkEnd w:id="10"/>
    <w:p>
      <w:pPr>
        <w:spacing w:after="0" w:line="251" w:lineRule="auto"/>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the impact and severity of the COVID-19 outbreak, changes in the labor markets, our available cash for investments, our business capital needs, changes in competition and price pressure,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ability to locate suitable real estate for new branch additions,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11">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Jeffrey P. Oldenkamp</w:t>
      </w:r>
    </w:p>
    <w:p>
      <w:pPr>
        <w:ind w:left="1300"/>
        <w:spacing w:after="0" w:line="234" w:lineRule="auto"/>
        <w:rPr>
          <w:sz w:val="20"/>
          <w:szCs w:val="20"/>
          <w:color w:val="auto"/>
        </w:rPr>
      </w:pPr>
      <w:r>
        <w:rPr>
          <w:rFonts w:ascii="Arial" w:cs="Arial" w:eastAsia="Arial" w:hAnsi="Arial"/>
          <w:sz w:val="18"/>
          <w:szCs w:val="18"/>
          <w:color w:val="auto"/>
        </w:rPr>
        <w:t>Executive Vice President and Chief Financial Officer</w:t>
      </w:r>
    </w:p>
    <w:p>
      <w:pPr>
        <w:ind w:left="1300"/>
        <w:spacing w:after="0" w:line="235" w:lineRule="auto"/>
        <w:rPr>
          <w:sz w:val="20"/>
          <w:szCs w:val="20"/>
          <w:color w:val="auto"/>
        </w:rPr>
      </w:pPr>
      <w:r>
        <w:rPr>
          <w:rFonts w:ascii="Arial" w:cs="Arial" w:eastAsia="Arial" w:hAnsi="Arial"/>
          <w:sz w:val="18"/>
          <w:szCs w:val="18"/>
          <w:color w:val="auto"/>
        </w:rPr>
        <w:t>612/331-6910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ir@HawkinsInc.com</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ix?doc=/Archives/edgar/data/46250/000004625021000019/hwkn-202103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2021-07-29T16:19:17Z</dcterms:created>
  <dcterms:modified xsi:type="dcterms:W3CDTF">2021-07-29T16:19:17Z</dcterms:modified>
</cp:coreProperties>
</file>