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217805</wp:posOffset>
            </wp:positionH>
            <wp:positionV relativeFrom="page">
              <wp:posOffset>620395</wp:posOffset>
            </wp:positionV>
            <wp:extent cx="7126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534670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-311785</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QUARTERLY REPORT PURSUANT TO SECTION 13 OR 15(d) OF THE</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October 1, 2017</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0-7647</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48260</wp:posOffset>
            </wp:positionV>
            <wp:extent cx="5857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2"/>
          </w:tcPr>
          <w:p>
            <w:pPr>
              <w:jc w:val="center"/>
              <w:ind w:right="2262"/>
              <w:spacing w:after="0"/>
              <w:rPr>
                <w:sz w:val="20"/>
                <w:szCs w:val="20"/>
                <w:color w:val="auto"/>
              </w:rPr>
            </w:pPr>
            <w:r>
              <w:rPr>
                <w:rFonts w:ascii="Arial" w:cs="Arial" w:eastAsia="Arial" w:hAnsi="Arial"/>
                <w:sz w:val="18"/>
                <w:szCs w:val="18"/>
                <w:b w:val="1"/>
                <w:bCs w:val="1"/>
                <w:color w:val="auto"/>
              </w:rPr>
              <w:t>MINNESOTA</w:t>
            </w:r>
          </w:p>
        </w:tc>
        <w:tc>
          <w:tcPr>
            <w:tcW w:w="3460" w:type="dxa"/>
            <w:vAlign w:val="bottom"/>
          </w:tcPr>
          <w:p>
            <w:pPr>
              <w:jc w:val="center"/>
              <w:ind w:right="1922"/>
              <w:spacing w:after="0"/>
              <w:rPr>
                <w:sz w:val="20"/>
                <w:szCs w:val="20"/>
                <w:color w:val="auto"/>
              </w:rPr>
            </w:pPr>
            <w:r>
              <w:rPr>
                <w:rFonts w:ascii="Arial" w:cs="Arial" w:eastAsia="Arial" w:hAnsi="Arial"/>
                <w:sz w:val="18"/>
                <w:szCs w:val="18"/>
                <w:b w:val="1"/>
                <w:bCs w:val="1"/>
                <w:color w:val="auto"/>
                <w:w w:val="89"/>
              </w:rPr>
              <w:t>41-0771293</w:t>
            </w:r>
          </w:p>
        </w:tc>
      </w:tr>
      <w:tr>
        <w:trPr>
          <w:trHeight w:val="27"/>
        </w:trPr>
        <w:tc>
          <w:tcPr>
            <w:tcW w:w="34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46"/>
        </w:trPr>
        <w:tc>
          <w:tcPr>
            <w:tcW w:w="7960" w:type="dxa"/>
            <w:vAlign w:val="bottom"/>
            <w:gridSpan w:val="2"/>
          </w:tcPr>
          <w:p>
            <w:pPr>
              <w:jc w:val="center"/>
              <w:ind w:right="2262"/>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3460" w:type="dxa"/>
            <w:vAlign w:val="bottom"/>
          </w:tcPr>
          <w:p>
            <w:pPr>
              <w:jc w:val="center"/>
              <w:ind w:right="1942"/>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960" w:type="dxa"/>
            <w:vAlign w:val="bottom"/>
            <w:gridSpan w:val="2"/>
          </w:tcPr>
          <w:p>
            <w:pPr>
              <w:jc w:val="center"/>
              <w:ind w:right="2262"/>
              <w:spacing w:after="0"/>
              <w:rPr>
                <w:sz w:val="20"/>
                <w:szCs w:val="20"/>
                <w:color w:val="auto"/>
              </w:rPr>
            </w:pPr>
            <w:r>
              <w:rPr>
                <w:rFonts w:ascii="Arial" w:cs="Arial" w:eastAsia="Arial" w:hAnsi="Arial"/>
                <w:sz w:val="14"/>
                <w:szCs w:val="14"/>
                <w:b w:val="1"/>
                <w:bCs w:val="1"/>
                <w:color w:val="auto"/>
                <w:w w:val="93"/>
              </w:rPr>
              <w:t>incorporation or organization)</w:t>
            </w:r>
          </w:p>
        </w:tc>
        <w:tc>
          <w:tcPr>
            <w:tcW w:w="346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346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7"/>
              </w:rPr>
              <w:t>2381 ROSEGATE, ROSEVILLE, MINNESOTA 55113</w:t>
            </w:r>
          </w:p>
        </w:tc>
        <w:tc>
          <w:tcPr>
            <w:tcW w:w="3460" w:type="dxa"/>
            <w:vAlign w:val="bottom"/>
          </w:tcPr>
          <w:p>
            <w:pPr>
              <w:spacing w:after="0"/>
              <w:rPr>
                <w:sz w:val="24"/>
                <w:szCs w:val="24"/>
                <w:color w:val="auto"/>
              </w:rPr>
            </w:pPr>
          </w:p>
        </w:tc>
      </w:tr>
      <w:tr>
        <w:trPr>
          <w:trHeight w:val="186"/>
        </w:trPr>
        <w:tc>
          <w:tcPr>
            <w:tcW w:w="346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460" w:type="dxa"/>
            <w:vAlign w:val="bottom"/>
          </w:tcPr>
          <w:p>
            <w:pPr>
              <w:spacing w:after="0"/>
              <w:rPr>
                <w:sz w:val="16"/>
                <w:szCs w:val="16"/>
                <w:color w:val="auto"/>
              </w:rPr>
            </w:pPr>
          </w:p>
        </w:tc>
      </w:tr>
      <w:tr>
        <w:trPr>
          <w:trHeight w:val="512"/>
        </w:trPr>
        <w:tc>
          <w:tcPr>
            <w:tcW w:w="7960" w:type="dxa"/>
            <w:vAlign w:val="bottom"/>
            <w:gridSpan w:val="2"/>
          </w:tcPr>
          <w:p>
            <w:pPr>
              <w:jc w:val="center"/>
              <w:ind w:left="3399"/>
              <w:spacing w:after="0"/>
              <w:rPr>
                <w:sz w:val="20"/>
                <w:szCs w:val="20"/>
                <w:color w:val="auto"/>
              </w:rPr>
            </w:pPr>
            <w:r>
              <w:rPr>
                <w:rFonts w:ascii="Arial" w:cs="Arial" w:eastAsia="Arial" w:hAnsi="Arial"/>
                <w:sz w:val="18"/>
                <w:szCs w:val="18"/>
                <w:b w:val="1"/>
                <w:bCs w:val="1"/>
                <w:color w:val="auto"/>
                <w:w w:val="90"/>
              </w:rPr>
              <w:t>(612) 331-6910</w:t>
            </w:r>
          </w:p>
        </w:tc>
        <w:tc>
          <w:tcPr>
            <w:tcW w:w="3460" w:type="dxa"/>
            <w:vAlign w:val="bottom"/>
          </w:tcPr>
          <w:p>
            <w:pPr>
              <w:spacing w:after="0"/>
              <w:rPr>
                <w:sz w:val="24"/>
                <w:szCs w:val="24"/>
                <w:color w:val="auto"/>
              </w:rPr>
            </w:pPr>
          </w:p>
        </w:tc>
      </w:tr>
      <w:tr>
        <w:trPr>
          <w:trHeight w:val="224"/>
        </w:trPr>
        <w:tc>
          <w:tcPr>
            <w:tcW w:w="3460" w:type="dxa"/>
            <w:vAlign w:val="bottom"/>
          </w:tcPr>
          <w:p>
            <w:pPr>
              <w:spacing w:after="0"/>
              <w:rPr>
                <w:sz w:val="19"/>
                <w:szCs w:val="19"/>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460" w:type="dxa"/>
            <w:vAlign w:val="bottom"/>
          </w:tcPr>
          <w:p>
            <w:pPr>
              <w:spacing w:after="0"/>
              <w:rPr>
                <w:sz w:val="19"/>
                <w:szCs w:val="19"/>
                <w:color w:val="auto"/>
              </w:rPr>
            </w:pPr>
          </w:p>
        </w:tc>
      </w:tr>
    </w:tbl>
    <w:p>
      <w:pPr>
        <w:spacing w:after="0" w:line="28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ectPr>
          <w:pgSz w:w="11900" w:h="16838" w:orient="portrait"/>
          <w:cols w:equalWidth="0" w:num="1">
            <w:col w:w="11420"/>
          </w:cols>
          <w:pgMar w:left="240" w:top="1030" w:right="239" w:bottom="1440" w:gutter="0" w:footer="0" w:header="0"/>
        </w:sectPr>
      </w:pPr>
    </w:p>
    <w:p>
      <w:pPr>
        <w:spacing w:after="0" w:line="30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8">
            <w:col w:w="1740" w:space="560"/>
            <w:col w:w="160" w:space="160"/>
            <w:col w:w="1660" w:space="720"/>
            <w:col w:w="160" w:space="160"/>
            <w:col w:w="1660" w:space="720"/>
            <w:col w:w="160" w:space="180"/>
            <w:col w:w="2200" w:space="720"/>
            <w:col w:w="460"/>
          </w:cols>
          <w:pgMar w:left="240" w:top="1030" w:right="239" w:bottom="1440" w:gutter="0" w:footer="0" w:header="0"/>
          <w:type w:val="continuous"/>
        </w:sectPr>
      </w:pPr>
    </w:p>
    <w:p>
      <w:pPr>
        <w:spacing w:after="0" w:line="32" w:lineRule="exact"/>
        <w:rPr>
          <w:sz w:val="24"/>
          <w:szCs w:val="24"/>
          <w:color w:val="auto"/>
        </w:rPr>
      </w:pPr>
    </w:p>
    <w:p>
      <w:pPr>
        <w:ind w:left="804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10240" w:space="720"/>
            <w:col w:w="460"/>
          </w:cols>
          <w:pgMar w:left="240" w:top="1030" w:right="239" w:bottom="1440" w:gutter="0" w:footer="0" w:header="0"/>
          <w:type w:val="continuous"/>
        </w:sectPr>
      </w:pPr>
    </w:p>
    <w:p>
      <w:pPr>
        <w:spacing w:after="0" w:line="75"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660"/>
        <w:spacing w:after="0" w:line="207" w:lineRule="exact"/>
        <w:tabs>
          <w:tab w:leader="none" w:pos="1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10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rPr>
              <w:t>CLASS</w:t>
            </w:r>
          </w:p>
        </w:tc>
        <w:tc>
          <w:tcPr>
            <w:tcW w:w="30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Shares Outstanding at October 27, 2017</w:t>
            </w:r>
          </w:p>
        </w:tc>
        <w:tc>
          <w:tcPr>
            <w:tcW w:w="1200" w:type="dxa"/>
            <w:vAlign w:val="bottom"/>
          </w:tcPr>
          <w:p>
            <w:pPr>
              <w:spacing w:after="0"/>
              <w:rPr>
                <w:sz w:val="16"/>
                <w:szCs w:val="16"/>
                <w:color w:val="auto"/>
              </w:rPr>
            </w:pPr>
          </w:p>
        </w:tc>
      </w:tr>
      <w:tr>
        <w:trPr>
          <w:trHeight w:val="243"/>
        </w:trPr>
        <w:tc>
          <w:tcPr>
            <w:tcW w:w="100" w:type="dxa"/>
            <w:vAlign w:val="bottom"/>
          </w:tcPr>
          <w:p>
            <w:pPr>
              <w:spacing w:after="0"/>
              <w:rPr>
                <w:sz w:val="21"/>
                <w:szCs w:val="21"/>
                <w:color w:val="auto"/>
              </w:rPr>
            </w:pPr>
          </w:p>
        </w:tc>
        <w:tc>
          <w:tcPr>
            <w:tcW w:w="51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Common Stock, par value $.05 per share</w:t>
            </w:r>
          </w:p>
        </w:tc>
        <w:tc>
          <w:tcPr>
            <w:tcW w:w="4840" w:type="dxa"/>
            <w:vAlign w:val="bottom"/>
          </w:tcPr>
          <w:p>
            <w:pPr>
              <w:jc w:val="right"/>
              <w:ind w:right="1939"/>
              <w:spacing w:after="0"/>
              <w:rPr>
                <w:sz w:val="20"/>
                <w:szCs w:val="20"/>
                <w:color w:val="auto"/>
              </w:rPr>
            </w:pPr>
            <w:r>
              <w:rPr>
                <w:rFonts w:ascii="Arial" w:cs="Arial" w:eastAsia="Arial" w:hAnsi="Arial"/>
                <w:sz w:val="18"/>
                <w:szCs w:val="18"/>
                <w:color w:val="auto"/>
              </w:rPr>
              <w:t>10,663,271</w:t>
            </w:r>
          </w:p>
        </w:tc>
        <w:tc>
          <w:tcPr>
            <w:tcW w:w="1200" w:type="dxa"/>
            <w:vAlign w:val="bottom"/>
          </w:tcPr>
          <w:p>
            <w:pPr>
              <w:spacing w:after="0"/>
              <w:rPr>
                <w:sz w:val="21"/>
                <w:szCs w:val="21"/>
                <w:color w:val="auto"/>
              </w:rPr>
            </w:pPr>
          </w:p>
        </w:tc>
      </w:tr>
      <w:tr>
        <w:trPr>
          <w:trHeight w:val="216"/>
        </w:trPr>
        <w:tc>
          <w:tcPr>
            <w:tcW w:w="100" w:type="dxa"/>
            <w:vAlign w:val="bottom"/>
          </w:tcPr>
          <w:p>
            <w:pPr>
              <w:spacing w:after="0"/>
              <w:rPr>
                <w:sz w:val="18"/>
                <w:szCs w:val="18"/>
                <w:color w:val="auto"/>
              </w:rPr>
            </w:pPr>
          </w:p>
        </w:tc>
        <w:tc>
          <w:tcPr>
            <w:tcW w:w="4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122"/>
        </w:trPr>
        <w:tc>
          <w:tcPr>
            <w:tcW w:w="100" w:type="dxa"/>
            <w:vAlign w:val="bottom"/>
          </w:tcPr>
          <w:p>
            <w:pPr>
              <w:spacing w:after="0"/>
              <w:rPr>
                <w:sz w:val="10"/>
                <w:szCs w:val="10"/>
                <w:color w:val="auto"/>
              </w:rPr>
            </w:pPr>
          </w:p>
        </w:tc>
        <w:tc>
          <w:tcPr>
            <w:tcW w:w="48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030" w:right="239" w:bottom="1440" w:gutter="0" w:footer="0" w:header="0"/>
          <w:type w:val="continuous"/>
        </w:sectPr>
      </w:pPr>
    </w:p>
    <w:bookmarkStart w:id="1" w:name="page2"/>
    <w:bookmarkEnd w:id="1"/>
    <w:p>
      <w:pPr>
        <w:jc w:val="center"/>
        <w:ind w:right="-116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INDEX TO FORM 10-Q</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336"/>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220" w:type="dxa"/>
            <w:vAlign w:val="bottom"/>
            <w:gridSpan w:val="11"/>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180" w:type="dxa"/>
            <w:vAlign w:val="bottom"/>
            <w:gridSpan w:val="10"/>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tcPr>
          <w:p>
            <w:pPr>
              <w:spacing w:after="0"/>
              <w:rPr>
                <w:sz w:val="24"/>
                <w:szCs w:val="24"/>
                <w:color w:val="auto"/>
              </w:rPr>
            </w:pPr>
          </w:p>
        </w:tc>
        <w:tc>
          <w:tcPr>
            <w:tcW w:w="56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 October 1, 2017 and April 2, 2017</w:t>
              </w:r>
            </w:hyperlink>
          </w:p>
        </w:tc>
        <w:tc>
          <w:tcPr>
            <w:tcW w:w="2020" w:type="dxa"/>
            <w:vAlign w:val="bottom"/>
            <w:gridSpan w:val="5"/>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r>
      <w:tr>
        <w:trPr>
          <w:trHeight w:val="372"/>
        </w:trPr>
        <w:tc>
          <w:tcPr>
            <w:tcW w:w="1140" w:type="dxa"/>
            <w:vAlign w:val="bottom"/>
          </w:tcPr>
          <w:p>
            <w:pPr>
              <w:spacing w:after="0"/>
              <w:rPr>
                <w:sz w:val="24"/>
                <w:szCs w:val="24"/>
                <w:color w:val="auto"/>
              </w:rPr>
            </w:pPr>
          </w:p>
        </w:tc>
        <w:tc>
          <w:tcPr>
            <w:tcW w:w="692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 Three and Six Months Ended October 1, 2017</w:t>
              </w:r>
            </w:hyperlink>
          </w:p>
        </w:tc>
        <w:tc>
          <w:tcPr>
            <w:tcW w:w="700" w:type="dxa"/>
            <w:vAlign w:val="bottom"/>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r>
      <w:tr>
        <w:trPr>
          <w:trHeight w:val="196"/>
        </w:trPr>
        <w:tc>
          <w:tcPr>
            <w:tcW w:w="1140" w:type="dxa"/>
            <w:vAlign w:val="bottom"/>
          </w:tcPr>
          <w:p>
            <w:pPr>
              <w:spacing w:after="0"/>
              <w:rPr>
                <w:sz w:val="17"/>
                <w:szCs w:val="17"/>
                <w:color w:val="auto"/>
              </w:rPr>
            </w:pPr>
          </w:p>
        </w:tc>
        <w:tc>
          <w:tcPr>
            <w:tcW w:w="14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and October 2, 2016</w:t>
              </w:r>
            </w:hyperlink>
          </w:p>
        </w:tc>
        <w:tc>
          <w:tcPr>
            <w:tcW w:w="6140" w:type="dxa"/>
            <w:vAlign w:val="bottom"/>
            <w:gridSpan w:val="14"/>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2"/>
        </w:trPr>
        <w:tc>
          <w:tcPr>
            <w:tcW w:w="1140" w:type="dxa"/>
            <w:vAlign w:val="bottom"/>
          </w:tcPr>
          <w:p>
            <w:pPr>
              <w:spacing w:after="0"/>
              <w:rPr>
                <w:sz w:val="24"/>
                <w:szCs w:val="24"/>
                <w:color w:val="auto"/>
              </w:rPr>
            </w:pPr>
          </w:p>
        </w:tc>
        <w:tc>
          <w:tcPr>
            <w:tcW w:w="68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 Three and Six Months Ended</w:t>
              </w:r>
            </w:hyperlink>
          </w:p>
        </w:tc>
        <w:tc>
          <w:tcPr>
            <w:tcW w:w="740" w:type="dxa"/>
            <w:vAlign w:val="bottom"/>
            <w:gridSpan w:val="2"/>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196"/>
        </w:trPr>
        <w:tc>
          <w:tcPr>
            <w:tcW w:w="1140" w:type="dxa"/>
            <w:vAlign w:val="bottom"/>
          </w:tcPr>
          <w:p>
            <w:pPr>
              <w:spacing w:after="0"/>
              <w:rPr>
                <w:sz w:val="17"/>
                <w:szCs w:val="17"/>
                <w:color w:val="auto"/>
              </w:rPr>
            </w:pPr>
          </w:p>
        </w:tc>
        <w:tc>
          <w:tcPr>
            <w:tcW w:w="762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October 1, 2017 and October 2, 2016</w:t>
              </w:r>
            </w:hyperlink>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67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 Six Months Ended October 1, 2017 and</w:t>
              </w:r>
            </w:hyperlink>
          </w:p>
        </w:tc>
        <w:tc>
          <w:tcPr>
            <w:tcW w:w="860" w:type="dxa"/>
            <w:vAlign w:val="bottom"/>
            <w:gridSpan w:val="3"/>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r>
      <w:tr>
        <w:trPr>
          <w:trHeight w:val="196"/>
        </w:trPr>
        <w:tc>
          <w:tcPr>
            <w:tcW w:w="1140" w:type="dxa"/>
            <w:vAlign w:val="bottom"/>
          </w:tcPr>
          <w:p>
            <w:pPr>
              <w:spacing w:after="0"/>
              <w:rPr>
                <w:sz w:val="17"/>
                <w:szCs w:val="17"/>
                <w:color w:val="auto"/>
              </w:rPr>
            </w:pPr>
          </w:p>
        </w:tc>
        <w:tc>
          <w:tcPr>
            <w:tcW w:w="762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October 2, 2016</w:t>
              </w:r>
            </w:hyperlink>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620" w:type="dxa"/>
            <w:vAlign w:val="bottom"/>
            <w:gridSpan w:val="8"/>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620" w:type="dxa"/>
            <w:vAlign w:val="bottom"/>
            <w:gridSpan w:val="19"/>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1000" w:type="dxa"/>
            <w:vAlign w:val="bottom"/>
            <w:gridSpan w:val="3"/>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11</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4"/>
                <w:szCs w:val="24"/>
                <w:color w:val="auto"/>
              </w:rPr>
            </w:pPr>
          </w:p>
        </w:tc>
        <w:tc>
          <w:tcPr>
            <w:tcW w:w="1160" w:type="dxa"/>
            <w:vAlign w:val="bottom"/>
            <w:gridSpan w:val="4"/>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16</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6"/>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Controls and Procedures</w:t>
              </w:r>
            </w:hyperlink>
          </w:p>
        </w:tc>
        <w:tc>
          <w:tcPr>
            <w:tcW w:w="2540" w:type="dxa"/>
            <w:vAlign w:val="bottom"/>
            <w:gridSpan w:val="6"/>
          </w:tcPr>
          <w:p>
            <w:pPr>
              <w:spacing w:after="0"/>
              <w:rPr>
                <w:sz w:val="24"/>
                <w:szCs w:val="24"/>
                <w:color w:val="auto"/>
              </w:rPr>
            </w:pPr>
          </w:p>
        </w:tc>
        <w:tc>
          <w:tcPr>
            <w:tcW w:w="3300" w:type="dxa"/>
            <w:vAlign w:val="bottom"/>
            <w:gridSpan w:val="7"/>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16</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620" w:type="dxa"/>
            <w:vAlign w:val="bottom"/>
            <w:gridSpan w:val="19"/>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OTHER INFORMATION</w:t>
              </w:r>
            </w:hyperlink>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tcBorders>
            <w:gridSpan w:val="4"/>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24"/>
                <w:szCs w:val="24"/>
                <w:color w:val="auto"/>
              </w:rPr>
            </w:pPr>
          </w:p>
        </w:tc>
        <w:tc>
          <w:tcPr>
            <w:tcW w:w="5600" w:type="dxa"/>
            <w:vAlign w:val="bottom"/>
            <w:gridSpan w:val="12"/>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18</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20" w:type="dxa"/>
            <w:vAlign w:val="bottom"/>
            <w:gridSpan w:val="9"/>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1340" w:type="dxa"/>
            <w:vAlign w:val="bottom"/>
            <w:gridSpan w:val="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6280" w:type="dxa"/>
            <w:vAlign w:val="bottom"/>
            <w:gridSpan w:val="15"/>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18</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13"/>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Unregistered Sales of Equity Securities and Use of Proceeds</w:t>
              </w:r>
            </w:hyperlink>
          </w:p>
        </w:tc>
        <w:tc>
          <w:tcPr>
            <w:tcW w:w="3260" w:type="dxa"/>
            <w:vAlign w:val="bottom"/>
            <w:gridSpan w:val="6"/>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18</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60" w:type="dxa"/>
            <w:vAlign w:val="bottom"/>
            <w:gridSpan w:val="12"/>
            <w:shd w:val="clear" w:color="auto" w:fill="0000EE"/>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4360" w:type="dxa"/>
            <w:vAlign w:val="bottom"/>
            <w:gridSpan w:val="1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Exhibits</w:t>
              </w:r>
            </w:hyperlink>
          </w:p>
        </w:tc>
        <w:tc>
          <w:tcPr>
            <w:tcW w:w="3260" w:type="dxa"/>
            <w:vAlign w:val="bottom"/>
            <w:gridSpan w:val="6"/>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179"/>
          </w:cols>
          <w:pgMar w:left="280" w:top="58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ectPr>
          <w:pgSz w:w="11900" w:h="16838" w:orient="portrait"/>
          <w:cols w:equalWidth="0" w:num="1">
            <w:col w:w="11420"/>
          </w:cols>
          <w:pgMar w:left="240" w:top="580" w:right="23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 (UNAUDITED)</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jc w:val="right"/>
        <w:ind w:right="3680"/>
        <w:spacing w:after="0"/>
        <w:rPr>
          <w:sz w:val="20"/>
          <w:szCs w:val="20"/>
          <w:color w:val="auto"/>
        </w:rPr>
      </w:pPr>
      <w:r>
        <w:rPr>
          <w:rFonts w:ascii="Arial" w:cs="Arial" w:eastAsia="Arial" w:hAnsi="Arial"/>
          <w:sz w:val="16"/>
          <w:szCs w:val="16"/>
          <w:color w:val="auto"/>
        </w:rPr>
        <w:t>Trade receivables — less allowance for doubtful accounts:</w:t>
      </w:r>
    </w:p>
    <w:p>
      <w:pPr>
        <w:spacing w:after="0" w:line="86" w:lineRule="exact"/>
        <w:rPr>
          <w:sz w:val="20"/>
          <w:szCs w:val="20"/>
          <w:color w:val="auto"/>
        </w:rPr>
      </w:pPr>
    </w:p>
    <w:p>
      <w:pPr>
        <w:jc w:val="right"/>
        <w:ind w:right="3700"/>
        <w:spacing w:after="0"/>
        <w:rPr>
          <w:sz w:val="20"/>
          <w:szCs w:val="20"/>
          <w:color w:val="auto"/>
        </w:rPr>
      </w:pPr>
      <w:r>
        <w:rPr>
          <w:rFonts w:ascii="Arial" w:cs="Arial" w:eastAsia="Arial" w:hAnsi="Arial"/>
          <w:sz w:val="16"/>
          <w:szCs w:val="16"/>
          <w:color w:val="auto"/>
        </w:rPr>
        <w:t>$466 as of October 1, 2017 and $468 as of April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Income taxes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Prepaid expenses and other current assets</w:t>
      </w:r>
    </w:p>
    <w:p>
      <w:pPr>
        <w:spacing w:after="0" w:line="8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Net property, plant, and equipment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Goodwill</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2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Arial" w:cs="Arial" w:eastAsia="Arial" w:hAnsi="Arial"/>
                <w:sz w:val="16"/>
                <w:szCs w:val="16"/>
                <w:b w:val="1"/>
                <w:bCs w:val="1"/>
                <w:color w:val="auto"/>
              </w:rPr>
              <w:t>October 1,</w:t>
            </w:r>
          </w:p>
        </w:tc>
        <w:tc>
          <w:tcPr>
            <w:tcW w:w="260" w:type="dxa"/>
            <w:vAlign w:val="bottom"/>
          </w:tcPr>
          <w:p>
            <w:pPr>
              <w:spacing w:after="0"/>
              <w:rPr>
                <w:sz w:val="17"/>
                <w:szCs w:val="17"/>
                <w:color w:val="auto"/>
              </w:rPr>
            </w:pPr>
          </w:p>
        </w:tc>
        <w:tc>
          <w:tcPr>
            <w:tcW w:w="1100" w:type="dxa"/>
            <w:vAlign w:val="bottom"/>
          </w:tcPr>
          <w:p>
            <w:pPr>
              <w:jc w:val="right"/>
              <w:ind w:right="339"/>
              <w:spacing w:after="0"/>
              <w:rPr>
                <w:sz w:val="20"/>
                <w:szCs w:val="20"/>
                <w:color w:val="auto"/>
              </w:rPr>
            </w:pPr>
            <w:r>
              <w:rPr>
                <w:rFonts w:ascii="Arial" w:cs="Arial" w:eastAsia="Arial" w:hAnsi="Arial"/>
                <w:sz w:val="16"/>
                <w:szCs w:val="16"/>
                <w:b w:val="1"/>
                <w:bCs w:val="1"/>
                <w:color w:val="auto"/>
              </w:rPr>
              <w:t>April 2,</w:t>
            </w:r>
          </w:p>
        </w:tc>
      </w:tr>
      <w:tr>
        <w:trPr>
          <w:trHeight w:val="210"/>
        </w:trPr>
        <w:tc>
          <w:tcPr>
            <w:tcW w:w="220" w:type="dxa"/>
            <w:vAlign w:val="bottom"/>
          </w:tcPr>
          <w:p>
            <w:pPr>
              <w:spacing w:after="0"/>
              <w:rPr>
                <w:sz w:val="18"/>
                <w:szCs w:val="18"/>
                <w:color w:val="auto"/>
              </w:rPr>
            </w:pPr>
          </w:p>
        </w:tc>
        <w:tc>
          <w:tcPr>
            <w:tcW w:w="11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757"/>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3,775</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6,861</w:t>
            </w:r>
          </w:p>
        </w:tc>
      </w:tr>
      <w:tr>
        <w:trPr>
          <w:trHeight w:val="540"/>
        </w:trPr>
        <w:tc>
          <w:tcPr>
            <w:tcW w:w="22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59,294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57,298</w:t>
            </w:r>
          </w:p>
        </w:tc>
      </w:tr>
      <w:tr>
        <w:trPr>
          <w:trHeight w:val="270"/>
        </w:trPr>
        <w:tc>
          <w:tcPr>
            <w:tcW w:w="22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65,934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51,249</w:t>
            </w:r>
          </w:p>
        </w:tc>
      </w:tr>
      <w:tr>
        <w:trPr>
          <w:trHeight w:val="270"/>
        </w:trPr>
        <w:tc>
          <w:tcPr>
            <w:tcW w:w="22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1,273</w:t>
            </w:r>
          </w:p>
        </w:tc>
      </w:tr>
      <w:tr>
        <w:trPr>
          <w:trHeight w:val="270"/>
        </w:trPr>
        <w:tc>
          <w:tcPr>
            <w:tcW w:w="22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2,540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4,238</w:t>
            </w:r>
          </w:p>
        </w:tc>
      </w:tr>
      <w:tr>
        <w:trPr>
          <w:trHeight w:val="33"/>
        </w:trPr>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132,223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120,919</w:t>
            </w:r>
          </w:p>
        </w:tc>
      </w:tr>
      <w:tr>
        <w:trPr>
          <w:trHeight w:val="270"/>
        </w:trPr>
        <w:tc>
          <w:tcPr>
            <w:tcW w:w="22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233,559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221,518</w:t>
            </w:r>
          </w:p>
        </w:tc>
      </w:tr>
      <w:tr>
        <w:trPr>
          <w:trHeight w:val="270"/>
        </w:trPr>
        <w:tc>
          <w:tcPr>
            <w:tcW w:w="22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107,704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99,978</w:t>
            </w:r>
          </w:p>
        </w:tc>
      </w:tr>
      <w:tr>
        <w:trPr>
          <w:trHeight w:val="33"/>
        </w:trPr>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125,855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121,540</w:t>
            </w:r>
          </w:p>
        </w:tc>
      </w:tr>
      <w:tr>
        <w:trPr>
          <w:trHeight w:val="540"/>
        </w:trPr>
        <w:tc>
          <w:tcPr>
            <w:tcW w:w="22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97,556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97,556</w:t>
            </w:r>
          </w:p>
        </w:tc>
      </w:tr>
      <w:tr>
        <w:trPr>
          <w:trHeight w:val="270"/>
        </w:trPr>
        <w:tc>
          <w:tcPr>
            <w:tcW w:w="22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74,027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76,883</w:t>
            </w:r>
          </w:p>
        </w:tc>
      </w:tr>
      <w:tr>
        <w:trPr>
          <w:trHeight w:val="270"/>
        </w:trPr>
        <w:tc>
          <w:tcPr>
            <w:tcW w:w="22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2,235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1,686</w:t>
            </w:r>
          </w:p>
        </w:tc>
      </w:tr>
    </w:tbl>
    <w:p>
      <w:pPr>
        <w:spacing w:after="0" w:line="13" w:lineRule="exact"/>
        <w:rPr>
          <w:sz w:val="20"/>
          <w:szCs w:val="20"/>
          <w:color w:val="auto"/>
        </w:rPr>
      </w:pPr>
    </w:p>
    <w:p>
      <w:pPr>
        <w:sectPr>
          <w:pgSz w:w="11900" w:h="16838" w:orient="portrait"/>
          <w:cols w:equalWidth="0" w:num="2">
            <w:col w:w="7860" w:space="720"/>
            <w:col w:w="284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580" w:type="dxa"/>
            <w:vAlign w:val="bottom"/>
          </w:tcPr>
          <w:p>
            <w:pPr>
              <w:ind w:left="820"/>
              <w:spacing w:after="0"/>
              <w:rPr>
                <w:sz w:val="20"/>
                <w:szCs w:val="20"/>
                <w:color w:val="auto"/>
              </w:rPr>
            </w:pPr>
            <w:r>
              <w:rPr>
                <w:rFonts w:ascii="Arial" w:cs="Arial" w:eastAsia="Arial" w:hAnsi="Arial"/>
                <w:sz w:val="16"/>
                <w:szCs w:val="16"/>
                <w:color w:val="auto"/>
              </w:rPr>
              <w:t>Total other assets</w:t>
            </w:r>
          </w:p>
        </w:tc>
        <w:tc>
          <w:tcPr>
            <w:tcW w:w="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173,818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176,125</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431,896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418,584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5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Accounts payable — trade</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26,800</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29,756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payable</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4,466</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Accrued payroll and employee benefits</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8,238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9,979</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long-term debt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7,989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Due to sellers of acquired business</w:t>
            </w:r>
          </w:p>
        </w:tc>
        <w:tc>
          <w:tcPr>
            <w:tcW w:w="4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Container deposits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1,174</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Other current liabilities</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2,264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1,967</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current liabilities</w:t>
            </w: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52,464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55,672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LONG-TERM DEBT, LESS CURRENT PORTION</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102,694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94,626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PENSION WITHDRAWAL LIABILITY</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41,998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42,040</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2,450</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Total liabilities</w:t>
            </w: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206,234</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200,756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SHAREHOLDERS’ EQUITY:</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Common stock; authorized: 30,000,000 shares of $0.05 par value; 10,608,563 and 10,582,596 shares issued and</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outstanding as of October 1, 2017 and April 2, 2017, respectively</w:t>
            </w:r>
          </w:p>
        </w:tc>
        <w:tc>
          <w:tcPr>
            <w:tcW w:w="4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52,653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51,104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172,243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165,897</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shareholders’ equity</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225,662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217,828</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Total liabilities and shareholders’ equity</w:t>
            </w: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431,896</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418,584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20955</wp:posOffset>
            </wp:positionV>
            <wp:extent cx="18008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-130175</wp:posOffset>
            </wp:positionV>
            <wp:extent cx="18008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2500" w:type="dxa"/>
            <w:vAlign w:val="bottom"/>
            <w:gridSpan w:val="4"/>
          </w:tcPr>
          <w:p>
            <w:pPr>
              <w:jc w:val="right"/>
              <w:ind w:right="61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46"/>
        </w:trPr>
        <w:tc>
          <w:tcPr>
            <w:tcW w:w="5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October 1,</w:t>
            </w:r>
          </w:p>
        </w:tc>
        <w:tc>
          <w:tcPr>
            <w:tcW w:w="220" w:type="dxa"/>
            <w:vAlign w:val="bottom"/>
          </w:tcPr>
          <w:p>
            <w:pPr>
              <w:spacing w:after="0"/>
              <w:rPr>
                <w:sz w:val="12"/>
                <w:szCs w:val="12"/>
                <w:color w:val="auto"/>
              </w:rPr>
            </w:pPr>
          </w:p>
        </w:tc>
        <w:tc>
          <w:tcPr>
            <w:tcW w:w="120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October 2,</w:t>
            </w:r>
          </w:p>
        </w:tc>
        <w:tc>
          <w:tcPr>
            <w:tcW w:w="220" w:type="dxa"/>
            <w:vAlign w:val="bottom"/>
          </w:tcPr>
          <w:p>
            <w:pPr>
              <w:spacing w:after="0"/>
              <w:rPr>
                <w:sz w:val="12"/>
                <w:szCs w:val="12"/>
                <w:color w:val="auto"/>
              </w:rPr>
            </w:pPr>
          </w:p>
        </w:tc>
        <w:tc>
          <w:tcPr>
            <w:tcW w:w="120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October 1,</w:t>
            </w:r>
          </w:p>
        </w:tc>
        <w:tc>
          <w:tcPr>
            <w:tcW w:w="220" w:type="dxa"/>
            <w:vAlign w:val="bottom"/>
          </w:tcPr>
          <w:p>
            <w:pPr>
              <w:spacing w:after="0"/>
              <w:rPr>
                <w:sz w:val="12"/>
                <w:szCs w:val="12"/>
                <w:color w:val="auto"/>
              </w:rPr>
            </w:pPr>
          </w:p>
        </w:tc>
        <w:tc>
          <w:tcPr>
            <w:tcW w:w="1080" w:type="dxa"/>
            <w:vAlign w:val="bottom"/>
          </w:tcPr>
          <w:p>
            <w:pPr>
              <w:jc w:val="right"/>
              <w:ind w:right="252"/>
              <w:spacing w:after="0" w:line="147" w:lineRule="exact"/>
              <w:rPr>
                <w:sz w:val="20"/>
                <w:szCs w:val="20"/>
                <w:color w:val="auto"/>
              </w:rPr>
            </w:pPr>
            <w:r>
              <w:rPr>
                <w:rFonts w:ascii="Arial" w:cs="Arial" w:eastAsia="Arial" w:hAnsi="Arial"/>
                <w:sz w:val="14"/>
                <w:szCs w:val="14"/>
                <w:b w:val="1"/>
                <w:bCs w:val="1"/>
                <w:color w:val="auto"/>
              </w:rPr>
              <w:t>October 2,</w:t>
            </w:r>
          </w:p>
        </w:tc>
      </w:tr>
      <w:tr>
        <w:trPr>
          <w:trHeight w:val="192"/>
        </w:trPr>
        <w:tc>
          <w:tcPr>
            <w:tcW w:w="5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125,395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121,250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259,126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252,624</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(101,280)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(94,218)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(209,012)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(197,376)</w:t>
            </w:r>
          </w:p>
        </w:tc>
      </w:tr>
      <w:tr>
        <w:trPr>
          <w:trHeight w:val="27"/>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24,115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50,114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55,248</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(29,997)</w:t>
            </w:r>
          </w:p>
        </w:tc>
      </w:tr>
      <w:tr>
        <w:trPr>
          <w:trHeight w:val="27"/>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25,251</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(1,343)</w:t>
            </w:r>
          </w:p>
        </w:tc>
      </w:tr>
      <w:tr>
        <w:trPr>
          <w:trHeight w:val="27"/>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23,908</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(9,114)</w:t>
            </w:r>
          </w:p>
        </w:tc>
      </w:tr>
      <w:tr>
        <w:trPr>
          <w:trHeight w:val="27"/>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11,041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14,794</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10,605,629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10,536,309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10,594,309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10,524,724</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22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10,650,585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10,586,939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10,641,731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10,581,253</w:t>
            </w:r>
          </w:p>
        </w:tc>
      </w:tr>
      <w:tr>
        <w:trPr>
          <w:trHeight w:val="27"/>
        </w:trPr>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5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1.41</w:t>
            </w:r>
          </w:p>
        </w:tc>
      </w:tr>
      <w:tr>
        <w:trPr>
          <w:trHeight w:val="27"/>
        </w:trPr>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r>
      <w:tr>
        <w:trPr>
          <w:trHeight w:val="324"/>
        </w:trPr>
        <w:tc>
          <w:tcPr>
            <w:tcW w:w="5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3"/>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0.42</w:t>
            </w:r>
          </w:p>
        </w:tc>
      </w:tr>
      <w:tr>
        <w:trPr>
          <w:trHeight w:val="27"/>
        </w:trPr>
        <w:tc>
          <w:tcPr>
            <w:tcW w:w="5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240" w:top="580" w:right="7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4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1,</w:t>
            </w:r>
          </w:p>
        </w:tc>
        <w:tc>
          <w:tcPr>
            <w:tcW w:w="240" w:type="dxa"/>
            <w:vAlign w:val="bottom"/>
          </w:tcPr>
          <w:p>
            <w:pPr>
              <w:spacing w:after="0"/>
              <w:rPr>
                <w:sz w:val="13"/>
                <w:szCs w:val="13"/>
                <w:color w:val="auto"/>
              </w:rPr>
            </w:pPr>
          </w:p>
        </w:tc>
        <w:tc>
          <w:tcPr>
            <w:tcW w:w="12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October 2,</w:t>
            </w:r>
          </w:p>
        </w:tc>
        <w:tc>
          <w:tcPr>
            <w:tcW w:w="24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1,</w:t>
            </w:r>
          </w:p>
        </w:tc>
        <w:tc>
          <w:tcPr>
            <w:tcW w:w="220" w:type="dxa"/>
            <w:vAlign w:val="bottom"/>
          </w:tcPr>
          <w:p>
            <w:pPr>
              <w:spacing w:after="0"/>
              <w:rPr>
                <w:sz w:val="13"/>
                <w:szCs w:val="13"/>
                <w:color w:val="auto"/>
              </w:rPr>
            </w:pPr>
          </w:p>
        </w:tc>
        <w:tc>
          <w:tcPr>
            <w:tcW w:w="1140" w:type="dxa"/>
            <w:vAlign w:val="bottom"/>
          </w:tcPr>
          <w:p>
            <w:pPr>
              <w:jc w:val="right"/>
              <w:ind w:right="297"/>
              <w:spacing w:after="0" w:line="153" w:lineRule="exact"/>
              <w:rPr>
                <w:sz w:val="20"/>
                <w:szCs w:val="20"/>
                <w:color w:val="auto"/>
              </w:rPr>
            </w:pPr>
            <w:r>
              <w:rPr>
                <w:rFonts w:ascii="Arial" w:cs="Arial" w:eastAsia="Arial" w:hAnsi="Arial"/>
                <w:sz w:val="14"/>
                <w:szCs w:val="14"/>
                <w:b w:val="1"/>
                <w:bCs w:val="1"/>
                <w:color w:val="auto"/>
              </w:rPr>
              <w:t>October 2,</w:t>
            </w:r>
          </w:p>
        </w:tc>
      </w:tr>
      <w:tr>
        <w:trPr>
          <w:trHeight w:val="192"/>
        </w:trPr>
        <w:tc>
          <w:tcPr>
            <w:tcW w:w="4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5,210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11,041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14,794</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interest rate swap</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5,215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7,074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10,978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14,678</w:t>
            </w:r>
          </w:p>
        </w:tc>
      </w:tr>
      <w:tr>
        <w:trPr>
          <w:trHeight w:val="27"/>
        </w:trPr>
        <w:tc>
          <w:tcPr>
            <w:tcW w:w="4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240" w:top="580" w:right="10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4"/>
          </w:tcPr>
          <w:p>
            <w:pPr>
              <w:jc w:val="right"/>
              <w:ind w:right="898"/>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7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October 1,</w:t>
            </w:r>
          </w:p>
        </w:tc>
        <w:tc>
          <w:tcPr>
            <w:tcW w:w="240" w:type="dxa"/>
            <w:vAlign w:val="bottom"/>
          </w:tcPr>
          <w:p>
            <w:pPr>
              <w:spacing w:after="0"/>
              <w:rPr>
                <w:sz w:val="18"/>
                <w:szCs w:val="18"/>
                <w:color w:val="auto"/>
              </w:rPr>
            </w:pPr>
          </w:p>
        </w:tc>
        <w:tc>
          <w:tcPr>
            <w:tcW w:w="1280" w:type="dxa"/>
            <w:vAlign w:val="bottom"/>
          </w:tcPr>
          <w:p>
            <w:pPr>
              <w:jc w:val="right"/>
              <w:ind w:right="338"/>
              <w:spacing w:after="0"/>
              <w:rPr>
                <w:sz w:val="20"/>
                <w:szCs w:val="20"/>
                <w:color w:val="auto"/>
              </w:rPr>
            </w:pPr>
            <w:r>
              <w:rPr>
                <w:rFonts w:ascii="Arial" w:cs="Arial" w:eastAsia="Arial" w:hAnsi="Arial"/>
                <w:sz w:val="16"/>
                <w:szCs w:val="16"/>
                <w:b w:val="1"/>
                <w:bCs w:val="1"/>
                <w:color w:val="auto"/>
              </w:rPr>
              <w:t>October 2,</w:t>
            </w:r>
          </w:p>
        </w:tc>
      </w:tr>
      <w:tr>
        <w:trPr>
          <w:trHeight w:val="210"/>
        </w:trPr>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518"/>
              <w:spacing w:after="0"/>
              <w:rPr>
                <w:sz w:val="20"/>
                <w:szCs w:val="20"/>
                <w:color w:val="auto"/>
              </w:rPr>
            </w:pPr>
            <w:r>
              <w:rPr>
                <w:rFonts w:ascii="Arial" w:cs="Arial" w:eastAsia="Arial" w:hAnsi="Arial"/>
                <w:sz w:val="16"/>
                <w:szCs w:val="16"/>
                <w:b w:val="1"/>
                <w:bCs w:val="1"/>
                <w:color w:val="auto"/>
              </w:rPr>
              <w:t>2016</w:t>
            </w:r>
          </w:p>
        </w:tc>
      </w:tr>
      <w:tr>
        <w:trPr>
          <w:trHeight w:val="33"/>
        </w:trPr>
        <w:tc>
          <w:tcPr>
            <w:tcW w:w="7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4"/>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60"/>
        </w:trPr>
        <w:tc>
          <w:tcPr>
            <w:tcW w:w="76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11,041</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8"/>
              <w:spacing w:after="0"/>
              <w:rPr>
                <w:sz w:val="20"/>
                <w:szCs w:val="20"/>
                <w:color w:val="auto"/>
              </w:rPr>
            </w:pPr>
            <w:r>
              <w:rPr>
                <w:rFonts w:ascii="Arial" w:cs="Arial" w:eastAsia="Arial" w:hAnsi="Arial"/>
                <w:sz w:val="16"/>
                <w:szCs w:val="16"/>
                <w:color w:val="auto"/>
              </w:rPr>
              <w:t>14,794</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Reconciliation to cash flows: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11,350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38"/>
              <w:spacing w:after="0"/>
              <w:rPr>
                <w:sz w:val="20"/>
                <w:szCs w:val="20"/>
                <w:color w:val="auto"/>
              </w:rPr>
            </w:pPr>
            <w:r>
              <w:rPr>
                <w:rFonts w:ascii="Arial" w:cs="Arial" w:eastAsia="Arial" w:hAnsi="Arial"/>
                <w:sz w:val="16"/>
                <w:szCs w:val="16"/>
                <w:color w:val="auto"/>
              </w:rPr>
              <w:t>10,284</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68</w:t>
            </w: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Gain on deferred compensation assets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38"/>
              <w:spacing w:after="0"/>
              <w:rPr>
                <w:sz w:val="20"/>
                <w:szCs w:val="20"/>
                <w:color w:val="auto"/>
              </w:rPr>
            </w:pPr>
            <w:r>
              <w:rPr>
                <w:rFonts w:ascii="Arial" w:cs="Arial" w:eastAsia="Arial" w:hAnsi="Arial"/>
                <w:sz w:val="16"/>
                <w:szCs w:val="16"/>
                <w:color w:val="auto"/>
              </w:rPr>
              <w:t>—</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1,074</w:t>
            </w: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Loss (gain) from property disposals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Changes in operating accounts providing (using) cash:</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Trade receivables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38"/>
              <w:spacing w:after="0"/>
              <w:rPr>
                <w:sz w:val="20"/>
                <w:szCs w:val="20"/>
                <w:color w:val="auto"/>
              </w:rPr>
            </w:pPr>
            <w:r>
              <w:rPr>
                <w:rFonts w:ascii="Arial" w:cs="Arial" w:eastAsia="Arial" w:hAnsi="Arial"/>
                <w:sz w:val="16"/>
                <w:szCs w:val="16"/>
                <w:color w:val="auto"/>
              </w:rPr>
              <w:t>6,430</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(6,632)</w:t>
            </w: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(1,116)</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(1,742)</w:t>
            </w: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Income taxes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38"/>
              <w:spacing w:after="0"/>
              <w:rPr>
                <w:sz w:val="20"/>
                <w:szCs w:val="20"/>
                <w:color w:val="auto"/>
              </w:rPr>
            </w:pPr>
            <w:r>
              <w:rPr>
                <w:rFonts w:ascii="Arial" w:cs="Arial" w:eastAsia="Arial" w:hAnsi="Arial"/>
                <w:sz w:val="16"/>
                <w:szCs w:val="16"/>
                <w:color w:val="auto"/>
              </w:rPr>
              <w:t>3,182</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1,768</w:t>
            </w:r>
          </w:p>
        </w:tc>
      </w:tr>
      <w:tr>
        <w:trPr>
          <w:trHeight w:val="217"/>
        </w:trPr>
        <w:tc>
          <w:tcPr>
            <w:tcW w:w="7620" w:type="dxa"/>
            <w:vAlign w:val="bottom"/>
          </w:tcPr>
          <w:p>
            <w:pPr>
              <w:ind w:left="14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4,475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28,045</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(13,174)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(10,255)</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(2,199)</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38"/>
              <w:spacing w:after="0"/>
              <w:rPr>
                <w:sz w:val="20"/>
                <w:szCs w:val="20"/>
                <w:color w:val="auto"/>
              </w:rPr>
            </w:pPr>
            <w:r>
              <w:rPr>
                <w:rFonts w:ascii="Arial" w:cs="Arial" w:eastAsia="Arial" w:hAnsi="Arial"/>
                <w:sz w:val="16"/>
                <w:szCs w:val="16"/>
                <w:color w:val="auto"/>
              </w:rPr>
              <w:t>218</w:t>
            </w:r>
          </w:p>
        </w:tc>
      </w:tr>
      <w:tr>
        <w:trPr>
          <w:trHeight w:val="33"/>
        </w:trPr>
        <w:tc>
          <w:tcPr>
            <w:tcW w:w="7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(13,049)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(12,236)</w:t>
            </w:r>
          </w:p>
        </w:tc>
      </w:tr>
      <w:tr>
        <w:trPr>
          <w:trHeight w:val="224"/>
        </w:trPr>
        <w:tc>
          <w:tcPr>
            <w:tcW w:w="762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(4,226)</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New shares issued</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38"/>
              <w:spacing w:after="0"/>
              <w:rPr>
                <w:sz w:val="20"/>
                <w:szCs w:val="20"/>
                <w:color w:val="auto"/>
              </w:rPr>
            </w:pPr>
            <w:r>
              <w:rPr>
                <w:rFonts w:ascii="Arial" w:cs="Arial" w:eastAsia="Arial" w:hAnsi="Arial"/>
                <w:sz w:val="16"/>
                <w:szCs w:val="16"/>
                <w:color w:val="auto"/>
              </w:rPr>
              <w:t>553</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(payments on) revolver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r>
      <w:tr>
        <w:trPr>
          <w:trHeight w:val="243"/>
        </w:trPr>
        <w:tc>
          <w:tcPr>
            <w:tcW w:w="7620" w:type="dxa"/>
            <w:vAlign w:val="bottom"/>
          </w:tcPr>
          <w:p>
            <w:pPr>
              <w:ind w:left="380"/>
              <w:spacing w:after="0"/>
              <w:rPr>
                <w:sz w:val="20"/>
                <w:szCs w:val="20"/>
                <w:color w:val="auto"/>
              </w:rPr>
            </w:pPr>
            <w:r>
              <w:rPr>
                <w:rFonts w:ascii="Arial" w:cs="Arial" w:eastAsia="Arial" w:hAnsi="Arial"/>
                <w:sz w:val="16"/>
                <w:szCs w:val="16"/>
                <w:color w:val="auto"/>
              </w:rPr>
              <w:t>Payments on term loan borrowings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7"/>
        </w:trPr>
        <w:tc>
          <w:tcPr>
            <w:tcW w:w="7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(19,173)</w:t>
            </w:r>
          </w:p>
        </w:tc>
      </w:tr>
      <w:tr>
        <w:trPr>
          <w:trHeight w:val="217"/>
        </w:trPr>
        <w:tc>
          <w:tcPr>
            <w:tcW w:w="762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(3,086)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(3,364)</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20,014</w:t>
            </w:r>
          </w:p>
        </w:tc>
      </w:tr>
      <w:tr>
        <w:trPr>
          <w:trHeight w:val="217"/>
        </w:trPr>
        <w:tc>
          <w:tcPr>
            <w:tcW w:w="762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3,775</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16,650</w:t>
            </w:r>
          </w:p>
        </w:tc>
      </w:tr>
      <w:tr>
        <w:trPr>
          <w:trHeight w:val="73"/>
        </w:trPr>
        <w:tc>
          <w:tcPr>
            <w:tcW w:w="76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24"/>
        </w:trPr>
        <w:tc>
          <w:tcPr>
            <w:tcW w:w="7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4"/>
        </w:trPr>
        <w:tc>
          <w:tcPr>
            <w:tcW w:w="7620" w:type="dxa"/>
            <w:vAlign w:val="bottom"/>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for income taxes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6,014</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Cash paid for interest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1,490</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8"/>
              <w:spacing w:after="0"/>
              <w:rPr>
                <w:sz w:val="20"/>
                <w:szCs w:val="20"/>
                <w:color w:val="auto"/>
              </w:rPr>
            </w:pPr>
            <w:r>
              <w:rPr>
                <w:rFonts w:ascii="Arial" w:cs="Arial" w:eastAsia="Arial" w:hAnsi="Arial"/>
                <w:sz w:val="16"/>
                <w:szCs w:val="16"/>
                <w:color w:val="auto"/>
              </w:rPr>
              <w:t>1,196</w:t>
            </w: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588</w:t>
            </w:r>
          </w:p>
        </w:tc>
      </w:tr>
      <w:tr>
        <w:trPr>
          <w:trHeight w:val="33"/>
        </w:trPr>
        <w:tc>
          <w:tcPr>
            <w:tcW w:w="7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240" w:top="580" w:right="7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Annual Report on Form 10-K for the fiscal year ended April 2, 2017,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w:t>
      </w:r>
    </w:p>
    <w:p>
      <w:pPr>
        <w:spacing w:after="0" w:line="11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accounting policies we follow are set forth in Note 1 – Nature of Business and Significant Accounting Policies to our consolidated financial statements in our Annual Report on Form 10-K for the fiscal year ended April 2, 2017, previously filed with the SEC. There has been no significant change in our accounting policies since the end of fiscal 2017.</w:t>
      </w:r>
    </w:p>
    <w:p>
      <w:pPr>
        <w:spacing w:after="0" w:line="127" w:lineRule="exact"/>
        <w:rPr>
          <w:sz w:val="20"/>
          <w:szCs w:val="20"/>
          <w:color w:val="auto"/>
        </w:rPr>
      </w:pPr>
    </w:p>
    <w:p>
      <w:pPr>
        <w:ind w:right="700"/>
        <w:spacing w:after="0" w:line="438" w:lineRule="auto"/>
        <w:rPr>
          <w:sz w:val="20"/>
          <w:szCs w:val="20"/>
          <w:color w:val="auto"/>
        </w:rPr>
      </w:pPr>
      <w:r>
        <w:rPr>
          <w:rFonts w:ascii="Arial" w:cs="Arial" w:eastAsia="Arial" w:hAnsi="Arial"/>
          <w:sz w:val="18"/>
          <w:szCs w:val="18"/>
          <w:color w:val="auto"/>
        </w:rPr>
        <w:t xml:space="preserve">The results of operations for the six months ended October 1, 2017 are not necessarily indicative of the results that may be expected for the full year. References to fiscal 2017 refer to the fiscal year ended April 2, 2017 and references to fiscal 2018 refer to the fiscal year ending April 1, 2018. </w:t>
      </w:r>
      <w:r>
        <w:rPr>
          <w:rFonts w:ascii="Arial" w:cs="Arial" w:eastAsia="Arial" w:hAnsi="Arial"/>
          <w:sz w:val="18"/>
          <w:szCs w:val="18"/>
          <w:b w:val="1"/>
          <w:bCs w:val="1"/>
          <w:color w:val="auto"/>
        </w:rPr>
        <w:t>Recently Issued Accounting Pronouncements</w:t>
      </w:r>
    </w:p>
    <w:p>
      <w:pPr>
        <w:spacing w:after="0" w:line="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March 2016, the Financial Accounting Standards Board (“FASB”) issued Accounting Standards Update (ASU) 2016-02, which provides new accounting guidance requiring lessees to recognize most leases as assets and liabilities on the balance sheet. This guidance will be effective for annual periods beginning after December 15, 2018 (our fiscal year ended March 30, 2020) and interim periods within those annual periods. We are currently evaluating the impact of this accounting pronouncement on our results of operations and financial position.</w:t>
      </w:r>
    </w:p>
    <w:p>
      <w:pPr>
        <w:spacing w:after="0" w:line="3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January 2016, the FASB issued ASU 2016-01, which provides guidance that addresses certain aspects of recognition, measurement, presentation, and disclosure of financial instruments. This guidance will be effective for annual reporting periods beginning after December 15, 2017 (our fiscal year ending March 31, 2019), and interim periods within those annual periods. Early adoption is not permitted. We are currently evaluating the impact that this guidance will have on our results of operations and financial position.</w:t>
      </w:r>
    </w:p>
    <w:p>
      <w:pPr>
        <w:spacing w:after="0" w:line="308"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In May 2014, the FASB issued ASU 2014-09, which provides new accounting requirements for recognition of revenue from contracts with customers. The requirements of the new standard will be effective for annual reporting periods beginning after December 15, 2017 (our fiscal year ending March 31, 2019), and interim periods within those annual periods. We have performed a preliminary evaluation of the effect of adoption on our consolidated financial statements, and we do not currently expect a material impact on our results of operations, cash flows or financial position. We anticipate we will expand our consolidated financial statement disclosures to comply with the ASU. We have not yet decided on our transition method upon adoption.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March 2016, the FASB issued ASU 2016-09, which provides accounting guidance intended to improve the accounting for share-based payment transactions. This guidance outlines new provisions intended to simplify various aspects related to accounting for share-based payments and their presentation in the financial statements. We adopted this guidance in the first quarter of fiscal 2018. We will continue to estimate forfeitures as we determine compensation cost each period. The primary impact on our consolidated financial statements is the recognition of excess tax benefits in the provision for income taxes rather than additional paid-in capital, which may result in increased volatility in the reported amounts of income tax expense and net income.</w:t>
      </w:r>
    </w:p>
    <w:p>
      <w:pPr>
        <w:spacing w:after="0" w:line="2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2015, the FASB issued ASU 2015-11, which requires companies to change the measurement principal for inventory measured using the first-in, first-out (“FIFO”) or average cost method from the lower of cost or market to the lower of cost and net realizable value. Treatment of inventory valued under the last-in, last-out (“LIFO”) method is unchanged by this guidance. We adopted this guidance in the first quarter of fiscal 2018 and there was no impact to our financial position or results of operations.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 Earnings per Share</w:t>
      </w:r>
    </w:p>
    <w:p>
      <w:pPr>
        <w:spacing w:after="0" w:line="9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Basic earnings per share (“EPS”) are computed by dividing net earnings by the weighted-average number of common shares outstanding. Diluted EPS includes the incremental shares assumed to be issued as performance units and restricted stock. Basic and diluted EPS were calculated using the following:</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460" w:type="dxa"/>
            <w:vAlign w:val="bottom"/>
            <w:gridSpan w:val="4"/>
          </w:tcPr>
          <w:p>
            <w:pPr>
              <w:ind w:left="880"/>
              <w:spacing w:after="0"/>
              <w:rPr>
                <w:sz w:val="20"/>
                <w:szCs w:val="20"/>
                <w:color w:val="auto"/>
              </w:rPr>
            </w:pPr>
            <w:r>
              <w:rPr>
                <w:rFonts w:ascii="Arial" w:cs="Arial" w:eastAsia="Arial" w:hAnsi="Arial"/>
                <w:sz w:val="18"/>
                <w:szCs w:val="18"/>
                <w:b w:val="1"/>
                <w:bCs w:val="1"/>
                <w:color w:val="auto"/>
              </w:rPr>
              <w:t>Three Months Ended</w:t>
            </w:r>
          </w:p>
        </w:tc>
        <w:tc>
          <w:tcPr>
            <w:tcW w:w="326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70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1740" w:type="dxa"/>
            <w:vAlign w:val="bottom"/>
            <w:gridSpan w:val="2"/>
          </w:tcPr>
          <w:p>
            <w:pPr>
              <w:ind w:left="380"/>
              <w:spacing w:after="0"/>
              <w:rPr>
                <w:sz w:val="20"/>
                <w:szCs w:val="20"/>
                <w:color w:val="auto"/>
              </w:rPr>
            </w:pPr>
            <w:r>
              <w:rPr>
                <w:rFonts w:ascii="Arial" w:cs="Arial" w:eastAsia="Arial" w:hAnsi="Arial"/>
                <w:sz w:val="18"/>
                <w:szCs w:val="18"/>
                <w:b w:val="1"/>
                <w:bCs w:val="1"/>
                <w:color w:val="auto"/>
              </w:rPr>
              <w:t>October 1,</w:t>
            </w:r>
          </w:p>
        </w:tc>
        <w:tc>
          <w:tcPr>
            <w:tcW w:w="1720" w:type="dxa"/>
            <w:vAlign w:val="bottom"/>
            <w:gridSpan w:val="2"/>
          </w:tcPr>
          <w:p>
            <w:pPr>
              <w:ind w:left="380"/>
              <w:spacing w:after="0"/>
              <w:rPr>
                <w:sz w:val="20"/>
                <w:szCs w:val="20"/>
                <w:color w:val="auto"/>
              </w:rPr>
            </w:pPr>
            <w:r>
              <w:rPr>
                <w:rFonts w:ascii="Arial" w:cs="Arial" w:eastAsia="Arial" w:hAnsi="Arial"/>
                <w:sz w:val="18"/>
                <w:szCs w:val="18"/>
                <w:b w:val="1"/>
                <w:bCs w:val="1"/>
                <w:color w:val="auto"/>
              </w:rPr>
              <w:t>October 2,</w:t>
            </w:r>
          </w:p>
        </w:tc>
        <w:tc>
          <w:tcPr>
            <w:tcW w:w="1680" w:type="dxa"/>
            <w:vAlign w:val="bottom"/>
            <w:gridSpan w:val="2"/>
          </w:tcPr>
          <w:p>
            <w:pPr>
              <w:ind w:left="360"/>
              <w:spacing w:after="0"/>
              <w:rPr>
                <w:sz w:val="20"/>
                <w:szCs w:val="20"/>
                <w:color w:val="auto"/>
              </w:rPr>
            </w:pPr>
            <w:r>
              <w:rPr>
                <w:rFonts w:ascii="Arial" w:cs="Arial" w:eastAsia="Arial" w:hAnsi="Arial"/>
                <w:sz w:val="18"/>
                <w:szCs w:val="18"/>
                <w:b w:val="1"/>
                <w:bCs w:val="1"/>
                <w:color w:val="auto"/>
              </w:rPr>
              <w:t>October 1,</w:t>
            </w: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rPr>
              <w:t>October 2,</w:t>
            </w:r>
          </w:p>
        </w:tc>
      </w:tr>
      <w:tr>
        <w:trPr>
          <w:trHeight w:val="234"/>
        </w:trPr>
        <w:tc>
          <w:tcPr>
            <w:tcW w:w="4700" w:type="dxa"/>
            <w:vAlign w:val="bottom"/>
          </w:tcPr>
          <w:p>
            <w:pPr>
              <w:spacing w:after="0"/>
              <w:rPr>
                <w:sz w:val="20"/>
                <w:szCs w:val="20"/>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7"/>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outstanding—basic</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10,605,629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10,536,309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10,594,309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10,524,724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Dilutive impact of performance units and restricted stock</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44,956</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50,630</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47,422</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56,529</w:t>
            </w:r>
          </w:p>
        </w:tc>
      </w:tr>
      <w:tr>
        <w:trPr>
          <w:trHeight w:val="27"/>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outstanding—diluted</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10,650,585</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10,586,939</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10,641,731</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10,581,253</w:t>
            </w: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each of the three and six months ended October 1, 2017 and October 2, 2016, there were no shares excluded from the calculation of weighted-average common shares for diluted EPS.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Derivative Instruments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September 20, 2016, we entered into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new swap agreement began September 1, 2017 and will terminate concurrently with the expiration of our credit facility on December 23, 2020. The notional amount of the swap agreement is $40 million from September 1, 2017 through August 31, 2018, $30 million from September 1, 2018 through August 31, 2019 and $20 million from September 1, 2019 through December 23, 2020. We have designated this swap as a cash flow hedge and have determined that it qualifies for hedge accounting treatment. For so long as the hedge is effective, changes in fair value of the cash flow hedge are recorded in other comprehensive income (net of tax) until income or loss from the cash flows of the hedged item is realized.</w:t>
      </w:r>
    </w:p>
    <w:p>
      <w:pPr>
        <w:spacing w:after="0" w:line="20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For the three months ended October 1, 2017, we recorded a nominal unrealized gain (net of tax) in other comprehensive loss related to the cash flow hedge. For the six months ended October 1, 2017, we recorded $0.1 million in other comprehensive loss related to unrealized losses (net of tax) on the cash flow hedge. For the three and six months ended October 2, 2016, we recorded $0.1 million in other comprehensive loss related to unrealized losses (net of tax) on the cash flow hedge. Included in other long-term assets on our condensed consolidated balance sheet was $0.4 million as of October 1, 2017 and $0.5 million as of April 2, 2017 related to the cash flow hedge. Unrealized gains and losses will be reflected in net income when the related cash flows or hedged transactions occur and offset the related performance of the hedged item.</w:t>
      </w:r>
    </w:p>
    <w:p>
      <w:pPr>
        <w:spacing w:after="0" w:line="17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By their nature, derivative instruments are subject to market risk. Derivative instruments are also subject to credit risk associated with counterparties to the derivative contracts. Credit risk associated with derivatives is measured based on the replacement cost should the counterparty with a contract in a gain position to us fail to perform under the terms of the contract. We do not anticipate nonperformance by the counterparty.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Our financial assets and liabilities are measured at fair value at the price that would be received to sell an asset or paid to transfer a liability in an orderly transaction between market participants at the measurement date (exit price). We classify the inputs used to measure fair value into the following hierarchy:</w:t>
      </w:r>
    </w:p>
    <w:p>
      <w:pPr>
        <w:spacing w:after="0" w:line="151"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63" w:lineRule="exact"/>
        <w:rPr>
          <w:sz w:val="20"/>
          <w:szCs w:val="20"/>
          <w:color w:val="auto"/>
        </w:rPr>
      </w:pPr>
    </w:p>
    <w:p>
      <w:pPr>
        <w:ind w:left="2160" w:right="340" w:hanging="864"/>
        <w:spacing w:after="0" w:line="264" w:lineRule="auto"/>
        <w:tabs>
          <w:tab w:leader="none" w:pos="21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in active markets for similar assets or liabilities, or quoted prices for identical or similar assets or liabilities in markets that are not active, or inputs other than quoted prices that are observable or can be corroborated by observable market data for the asset or liability.</w:t>
      </w:r>
    </w:p>
    <w:p>
      <w:pPr>
        <w:spacing w:after="0" w:line="19" w:lineRule="exact"/>
        <w:rPr>
          <w:sz w:val="20"/>
          <w:szCs w:val="20"/>
          <w:color w:val="auto"/>
        </w:rPr>
      </w:pPr>
    </w:p>
    <w:p>
      <w:pPr>
        <w:ind w:left="2160" w:right="1000" w:hanging="864"/>
        <w:spacing w:after="0" w:line="264" w:lineRule="auto"/>
        <w:tabs>
          <w:tab w:leader="none" w:pos="21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for the asset or liability that are supported by little or no market activity. These fair values are determined using pricing models for which the assumptions utilize management’s estimates or market participant assumptions.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23" w:right="239" w:bottom="1440" w:gutter="0" w:footer="0" w:header="0"/>
        </w:sectPr>
      </w:pPr>
    </w:p>
    <w:bookmarkStart w:id="8" w:name="page9"/>
    <w:bookmarkEnd w:id="8"/>
    <w:p>
      <w:pPr>
        <w:spacing w:after="0" w:line="279" w:lineRule="auto"/>
        <w:rPr>
          <w:sz w:val="20"/>
          <w:szCs w:val="20"/>
          <w:color w:val="auto"/>
        </w:rPr>
      </w:pPr>
      <w:r>
        <w:rPr>
          <w:rFonts w:ascii="Arial" w:cs="Arial" w:eastAsia="Arial" w:hAnsi="Arial"/>
          <w:sz w:val="17"/>
          <w:szCs w:val="17"/>
          <w:b w:val="1"/>
          <w:bCs w:val="1"/>
          <w:i w:val="1"/>
          <w:iCs w:val="1"/>
          <w:color w:val="auto"/>
        </w:rPr>
        <w:t xml:space="preserve">Assets and Liabilities Measured at Fair Value on a Recurring Basis. </w:t>
      </w:r>
      <w:r>
        <w:rPr>
          <w:rFonts w:ascii="Arial" w:cs="Arial" w:eastAsia="Arial" w:hAnsi="Arial"/>
          <w:sz w:val="17"/>
          <w:szCs w:val="17"/>
          <w:color w:val="auto"/>
        </w:rPr>
        <w:t>The fair value hierarchy requires the use of observable market data when available.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financial assets that are measured at fair value on a recurring basis are an interest rate swap and assets held in a deferred compensation retirement plan. Both of these assets are classified as other long-term assets on our balance sheet, with the portion of the deferred compensation retirement plan assets expected to be paid within twelve months reclassified to current assets. The fair value of the interest rate swap is determined by the respective counterparties based on interest rate changes. Interest rate swaps are valued based on observable interest rate yield curves for similar instruments. The deferred compensation plan assets relate to contributions made to a non-qualified compensation plan, established in fiscal 2017,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balances of assets measured at fair value on a recurring basis as of October 1, 2017 and April 2, 2017.</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88657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6575"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rate swap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compensation plan assets</w:t>
      </w: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886575"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6575"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rate swap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compensation plan assets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Inventories at October 1, 2017 and April 2, 2017 consisted of the following:</w:t>
      </w: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6915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Inventory (FIFO basis)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LIFO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6915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915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inventory</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93"/>
              <w:spacing w:after="0"/>
              <w:rPr>
                <w:sz w:val="20"/>
                <w:szCs w:val="20"/>
                <w:color w:val="auto"/>
              </w:rPr>
            </w:pPr>
            <w:r>
              <w:rPr>
                <w:rFonts w:ascii="Arial" w:cs="Arial" w:eastAsia="Arial" w:hAnsi="Arial"/>
                <w:sz w:val="16"/>
                <w:szCs w:val="16"/>
                <w:b w:val="1"/>
                <w:bCs w:val="1"/>
                <w:color w:val="auto"/>
                <w:w w:val="93"/>
              </w:rPr>
              <w:t>October 1,</w:t>
            </w:r>
          </w:p>
        </w:tc>
        <w:tc>
          <w:tcPr>
            <w:tcW w:w="220" w:type="dxa"/>
            <w:vAlign w:val="bottom"/>
          </w:tcPr>
          <w:p>
            <w:pPr>
              <w:spacing w:after="0"/>
              <w:rPr>
                <w:sz w:val="17"/>
                <w:szCs w:val="17"/>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7"/>
                <w:szCs w:val="17"/>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Level 2</w:t>
            </w:r>
          </w:p>
        </w:tc>
        <w:tc>
          <w:tcPr>
            <w:tcW w:w="9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93"/>
              <w:spacing w:after="0"/>
              <w:rPr>
                <w:sz w:val="20"/>
                <w:szCs w:val="20"/>
                <w:color w:val="auto"/>
              </w:rPr>
            </w:pPr>
            <w:r>
              <w:rPr>
                <w:rFonts w:ascii="Arial" w:cs="Arial" w:eastAsia="Arial" w:hAnsi="Arial"/>
                <w:sz w:val="16"/>
                <w:szCs w:val="16"/>
                <w:b w:val="1"/>
                <w:bCs w:val="1"/>
                <w:color w:val="auto"/>
                <w:w w:val="95"/>
              </w:rPr>
              <w:t>2017</w:t>
            </w:r>
          </w:p>
        </w:tc>
        <w:tc>
          <w:tcPr>
            <w:tcW w:w="2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397</w:t>
            </w:r>
          </w:p>
        </w:tc>
        <w:tc>
          <w:tcPr>
            <w:tcW w:w="2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0"/>
                <w:szCs w:val="20"/>
                <w:color w:val="auto"/>
              </w:rPr>
            </w:pPr>
          </w:p>
        </w:tc>
        <w:tc>
          <w:tcPr>
            <w:tcW w:w="98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1,406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April 2, 2017</w:t>
            </w:r>
          </w:p>
        </w:tc>
        <w:tc>
          <w:tcPr>
            <w:tcW w:w="22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980" w:type="dxa"/>
            <w:vAlign w:val="bottom"/>
          </w:tcPr>
          <w:p>
            <w:pPr>
              <w:ind w:left="2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502</w:t>
            </w:r>
          </w:p>
        </w:tc>
        <w:tc>
          <w:tcPr>
            <w:tcW w:w="2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0"/>
                <w:szCs w:val="20"/>
                <w:color w:val="auto"/>
              </w:rPr>
            </w:pPr>
          </w:p>
        </w:tc>
        <w:tc>
          <w:tcPr>
            <w:tcW w:w="98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October 1,</w:t>
            </w:r>
          </w:p>
        </w:tc>
        <w:tc>
          <w:tcPr>
            <w:tcW w:w="300" w:type="dxa"/>
            <w:vAlign w:val="bottom"/>
          </w:tcPr>
          <w:p>
            <w:pPr>
              <w:spacing w:after="0"/>
              <w:rPr>
                <w:sz w:val="18"/>
                <w:szCs w:val="18"/>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April 2,</w:t>
            </w:r>
          </w:p>
        </w:tc>
      </w:tr>
      <w:tr>
        <w:trPr>
          <w:trHeight w:val="234"/>
        </w:trPr>
        <w:tc>
          <w:tcPr>
            <w:tcW w:w="24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68,133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52,735</w:t>
            </w:r>
          </w:p>
        </w:tc>
      </w:tr>
      <w:tr>
        <w:trPr>
          <w:trHeight w:val="270"/>
        </w:trPr>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(1,486)</w:t>
            </w:r>
          </w:p>
        </w:tc>
      </w:tr>
      <w:tr>
        <w:trPr>
          <w:trHeight w:val="27"/>
        </w:trPr>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65,934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51,249</w:t>
            </w:r>
          </w:p>
        </w:tc>
      </w:tr>
      <w:tr>
        <w:trPr>
          <w:trHeight w:val="27"/>
        </w:trPr>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5880" w:space="720"/>
            <w:col w:w="4820"/>
          </w:cols>
          <w:pgMar w:left="240" w:top="584" w:right="239" w:bottom="1440" w:gutter="0" w:footer="0" w:header="0"/>
          <w:type w:val="continuous"/>
        </w:sectPr>
      </w:pPr>
    </w:p>
    <w:p>
      <w:pPr>
        <w:ind w:right="80"/>
        <w:spacing w:after="0" w:line="277" w:lineRule="auto"/>
        <w:rPr>
          <w:sz w:val="20"/>
          <w:szCs w:val="20"/>
          <w:color w:val="auto"/>
        </w:rPr>
      </w:pPr>
      <w:r>
        <w:rPr>
          <w:rFonts w:ascii="Arial" w:cs="Arial" w:eastAsia="Arial" w:hAnsi="Arial"/>
          <w:sz w:val="18"/>
          <w:szCs w:val="18"/>
          <w:color w:val="auto"/>
        </w:rPr>
        <w:t>The FIFO value of inventories accounted for under the LIFO method was $46.9 million at October 1, 2017 and $37.0 million at April 2, 2017. The remainder of the inventory was valued and accounted for under the FIFO method.</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LIFO reserve increased $0.2 million during the three months ended October 1, 2017 and decreased $0.3 million during the three months ended October 2, 2016. During the six months ended October 1, 2017, the LIFO reserve increased $0.7 million, while it decreased $0.4 million for the six months ended October 2, 2016. The valuation of LIFO inventory for interim periods is based on our estimates of year-end inventory levels and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9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carrying amount of goodwill was $97.6 million as of October 1, 2017 and April 2, 2017, of which $84.1 million was related to our Health and Nutrition segment. The annual goodwill impairment test we performed in fiscal 2017 indicated the excess fair value of this reporting unit was $7.4 million, or 4.8%.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intangible assets as of October 1, 2017 and April 2, 2017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October 1, 2017</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April 2, 2017</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3"/>
                <w:szCs w:val="13"/>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82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60"/>
              <w:spacing w:after="0" w:line="153"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Finite-life intangible 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700" w:type="dxa"/>
            <w:vAlign w:val="bottom"/>
          </w:tcPr>
          <w:p>
            <w:pPr>
              <w:ind w:left="26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78,383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(10,137)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68,246</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78,383</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(7,854)</w:t>
            </w: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70,529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Trademarks and 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3,906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700" w:type="dxa"/>
            <w:vAlign w:val="bottom"/>
          </w:tcPr>
          <w:p>
            <w:pPr>
              <w:ind w:left="26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3,648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648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3,648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(2,776)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872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88,076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72,800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88,076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(12,420)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75,656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1,227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1,227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1,227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89,303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74,027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89,303</w:t>
            </w: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(12,420)</w:t>
            </w: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76,883</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7 – Debt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00" w:type="dxa"/>
            <w:vAlign w:val="bottom"/>
            <w:gridSpan w:val="6"/>
          </w:tcPr>
          <w:p>
            <w:pPr>
              <w:spacing w:after="0"/>
              <w:rPr>
                <w:sz w:val="20"/>
                <w:szCs w:val="20"/>
                <w:color w:val="auto"/>
              </w:rPr>
            </w:pPr>
            <w:r>
              <w:rPr>
                <w:rFonts w:ascii="Arial" w:cs="Arial" w:eastAsia="Arial" w:hAnsi="Arial"/>
                <w:sz w:val="18"/>
                <w:szCs w:val="18"/>
                <w:color w:val="auto"/>
                <w:w w:val="93"/>
              </w:rPr>
              <w:t>Debt at October 1, 2017 and April 2, 2017 consisted of the following:</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1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October 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April 2,</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413"/>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1"/>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Senior secured term loan</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89,375</w:t>
            </w:r>
          </w:p>
        </w:tc>
        <w:tc>
          <w:tcPr>
            <w:tcW w:w="80" w:type="dxa"/>
            <w:vAlign w:val="bottom"/>
          </w:tcPr>
          <w:p>
            <w:pPr>
              <w:spacing w:after="0"/>
              <w:rPr>
                <w:sz w:val="21"/>
                <w:szCs w:val="21"/>
                <w:color w:val="auto"/>
              </w:rPr>
            </w:pPr>
          </w:p>
        </w:tc>
        <w:tc>
          <w:tcPr>
            <w:tcW w:w="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93,125</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revolving loan</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23,000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112,375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103,125</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unamortized 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Total debt, net of debt issuance costs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111,933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102,615</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(9,239)</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(7,989)</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102,694</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94,626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29"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April 3, 2016 are closed to examination by the Internal Revenue Service. Our federal tax return filed for our fiscal year ended March 29, 2015 was examined by the Internal Revenue Service with no adjustments. For state and local income tax jurisdictions, the tax years prior to our fiscal year ended March 30, 2014 are closed to examination, with few exceptions. Our effective tax rate was 38.5% for the six months ended October 1, 2017 compared to 38.1% for the six months ended October 2, 2016.</w:t>
      </w:r>
    </w:p>
    <w:p>
      <w:pPr>
        <w:spacing w:after="0" w:line="188"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As of October 1, 2017 and April 2, 2017, our balance sheet included a long-term liability for uncertain tax positions of $0.2 million and $0.8 million, respectively, which arose from tax positions taken by Stauber on its tax returns for periods prior to our acquisition, offset by a corresponding long-term receivable as the Stauber acquisition agreement provides us with indemnification by the prior owners for any tax liabilities relating to pre-acquisition tax returns. Accordingly, we have also recorded an offsetting, long-term receivable for $0.2 million and $0.8 million as of October 1, 2017 and April 2, 2017, respectively, and, as such, any change in the unrecognized tax benefit will not impact our effective tax rate in future periods. We expect these uncertain income tax amounts to decrease as the applicable examination periods by the relevant taxing authorities expire.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79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9 – Share-Based Compensation</w:t>
      </w:r>
    </w:p>
    <w:p>
      <w:pPr>
        <w:spacing w:after="0" w:line="17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i w:val="1"/>
          <w:iCs w:val="1"/>
          <w:color w:val="auto"/>
        </w:rPr>
        <w:t>Performance-Based Restricted Stock Units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Board of Directors (the “Board”) approved a performance-based equity compensation arrangement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officers during the first quarters of each of fiscal 2018 and fiscal 2017.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57,855 shares in the aggregate for fiscal 2018. The restricted shares issued will fully vest two years after the last day of the fiscal year on which the performance is based. We are recording the compensation expense for the outstanding performance share units and the converted restricted stock over the life of the awards.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six months ended October 1, 2017:</w:t>
      </w:r>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060" w:type="dxa"/>
            <w:vAlign w:val="bottom"/>
          </w:tcPr>
          <w:p>
            <w:pPr>
              <w:spacing w:after="0"/>
              <w:rPr>
                <w:sz w:val="12"/>
                <w:szCs w:val="12"/>
                <w:color w:val="auto"/>
              </w:rPr>
            </w:pPr>
          </w:p>
        </w:tc>
        <w:tc>
          <w:tcPr>
            <w:tcW w:w="14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4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92"/>
        </w:trPr>
        <w:tc>
          <w:tcPr>
            <w:tcW w:w="80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28,853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35,075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8"/>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 or expired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54,708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recorded compensation expense related to performance share units and restricted stock of $0.3 million and $0.5 million for the three and six months ended October 1, 2017, respectively. We recorded compensation expense related to performance share units and restricted stock of $0.4 million and $0.8 million for the three and six months ended October 2, 2016, respectively. Substantially all of the compensation expense was recorded in selling, general and administrative expenses in the condensed consolidated statements of income.</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Restricted Stock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their retainer, each non-employee director receives an annual grant of restricted stock for their Board of Director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restricted stock awards are expensed over the requisite vesting period, which is one year from the date of issuance, based on the market value on the date of grant. As of October 1, 2017, there were 8,484 shares of restricted stock with a weighted averaged grant date fair value of $41.25 outstanding under this program. Compensation expense for both of the three month periods ended October 1, 2017 and October 2, 2016 related to restricted stock awards to the Board was $0.1 million. Compensation expense for the six months ended October 1, 2017 and October 2, 2016 related to restricted stock awards to the Board was $0.2 million and $0.1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 Repurchase Program</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have in place a share repurchase program approved by our Board of up to 300,000 shares of our outstanding common stock. Under the program, we are authorized to repurchase shares for cash on the open market or in privately negotiated transactions subject to applicable securities laws and regulations. Upon repurchase of the shares, we reduce our common stock for the par value of the shares with the excess applied against additional paid-in capital.</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 shares were repurchased during the six months ended October 1, 2017 or during fiscal 2017. As of October 1, 2017, 112,546 shares remained available to be repurchased under the share repurchase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Litigation, Commitments and Contingencies</w:t>
      </w:r>
    </w:p>
    <w:p>
      <w:pPr>
        <w:spacing w:after="0" w:line="225" w:lineRule="exact"/>
        <w:rPr>
          <w:sz w:val="20"/>
          <w:szCs w:val="20"/>
          <w:color w:val="auto"/>
        </w:rPr>
      </w:pPr>
    </w:p>
    <w:p>
      <w:pPr>
        <w:ind w:right="400"/>
        <w:spacing w:after="0" w:line="313" w:lineRule="auto"/>
        <w:rPr>
          <w:sz w:val="20"/>
          <w:szCs w:val="20"/>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are no material pending legal proceedings, other than ordinary routine litigation incidental to the business, to which we or any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are a party or of which any of our property is the subject. Legal fees associated with such matters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2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12 – Segment Information</w:t>
      </w:r>
    </w:p>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have three reportable segments: Industrial, Water Treatment, and Health and Nutrition. The accounting policies of the segments are the same as those described in the summary of significant accounting policies in our fiscal 2017 Annual Report on Form 10-K.</w:t>
      </w:r>
    </w:p>
    <w:p>
      <w:pPr>
        <w:spacing w:after="0" w:line="170"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Other than our Health and Nutrition segment, the segments do not have separate accounting, administration, customer service or purchasing functions. We allocate certain corporate expenses to our operating segments. There are no intersegment sales and no operating segments have been aggregated. No single customer’s revenues amounted to 10% or more of our total revenue. Sales are primarily within the United States and all assets are located within the United States.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Water</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Health and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5"/>
        </w:trPr>
        <w:tc>
          <w:tcPr>
            <w:tcW w:w="53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2"/>
                <w:szCs w:val="22"/>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22"/>
                <w:szCs w:val="22"/>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Treatment</w:t>
            </w:r>
          </w:p>
        </w:tc>
        <w:tc>
          <w:tcPr>
            <w:tcW w:w="160" w:type="dxa"/>
            <w:vAlign w:val="bottom"/>
          </w:tcPr>
          <w:p>
            <w:pPr>
              <w:spacing w:after="0"/>
              <w:rPr>
                <w:sz w:val="22"/>
                <w:szCs w:val="22"/>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Nutrition</w:t>
            </w:r>
          </w:p>
        </w:tc>
        <w:tc>
          <w:tcPr>
            <w:tcW w:w="300" w:type="dxa"/>
            <w:vAlign w:val="bottom"/>
          </w:tcPr>
          <w:p>
            <w:pPr>
              <w:spacing w:after="0"/>
              <w:rPr>
                <w:sz w:val="22"/>
                <w:szCs w:val="22"/>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50"/>
        </w:trPr>
        <w:tc>
          <w:tcPr>
            <w:tcW w:w="5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October 1, 2017:</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58,689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38,217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28,489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125,395</w:t>
            </w:r>
          </w:p>
        </w:tc>
      </w:tr>
      <w:tr>
        <w:trPr>
          <w:trHeight w:val="27"/>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24,115</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14,828</w:t>
            </w:r>
          </w:p>
        </w:tc>
      </w:tr>
      <w:tr>
        <w:trPr>
          <w:trHeight w:val="27"/>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9,287</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Three months ended October 2, 2016:</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121,250</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27,032</w:t>
            </w:r>
          </w:p>
        </w:tc>
      </w:tr>
      <w:tr>
        <w:trPr>
          <w:trHeight w:val="27"/>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14,871</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12,161</w:t>
            </w:r>
          </w:p>
        </w:tc>
      </w:tr>
      <w:tr>
        <w:trPr>
          <w:trHeight w:val="27"/>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Six months ended October 1, 2017:</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122,716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76,441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59,969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259,126</w:t>
            </w:r>
          </w:p>
        </w:tc>
      </w:tr>
      <w:tr>
        <w:trPr>
          <w:trHeight w:val="27"/>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50,114</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10,299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30,594</w:t>
            </w:r>
          </w:p>
        </w:tc>
      </w:tr>
      <w:tr>
        <w:trPr>
          <w:trHeight w:val="27"/>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19,520</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Six months ended October 2, 2016:</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252,624</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20,607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21,701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12,940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55,248</w:t>
            </w:r>
          </w:p>
        </w:tc>
      </w:tr>
      <w:tr>
        <w:trPr>
          <w:trHeight w:val="27"/>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29,997</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9,820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11,684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25,251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significant changes to identifiable assets by segment occurred during the six months ended October 1, 2017.</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823" w:right="279" w:bottom="1440" w:gutter="0" w:footer="0" w:header="0"/>
        </w:sectPr>
      </w:pPr>
    </w:p>
    <w:bookmarkStart w:id="12" w:name="page13"/>
    <w:bookmarkEnd w:id="12"/>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30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following is a discussion and analysis of our financial condition and results of operations for the three and six months ended October 1, 2017 as compared to the similar periods ended October 2, 2016. This discussion should be read in conjunction with the condensed consolidated financial statements and notes to condensed consolidated financial statements included in this quarterly report on Form 10-Q and Item 8 of our Annual Report on Form 10-K for the fiscal year ended April 2, 2017 (“fiscal 2017”). References to “fiscal 2018” refer to the fiscal year ending April 1,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 and specialty ingredients, including manufacturing, blending, and repackaging certain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focus on total profitability dollars when evaluating our financial results. We believe that gross profit dollars is the best measure of our profitability from product sales because a significant portion of our raw material purchases are impacted by commodity pricing. When commodity prices rise or fall, the changes can cause fluctuations in gross profit as a percentage of sales.</w:t>
      </w:r>
    </w:p>
    <w:p>
      <w:pPr>
        <w:spacing w:after="0" w:line="18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use the last in, first out (“LIFO”) method for valuing a large portion of our inventory in our Industrial and Water Treatment segments, which causes the most recent product costs for those products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We recorded an increase in our LIFO reserve of $0.2 million for the three months ended October 1, 2017 and $0.7 million for the six months ended October 1, 2017, which decreased our reported gross profit for those periods. We recorded a decrease in our LIFO reserve of $0.3 million for the three months ended October 2, 2016 and $0.4 million for the six months ended October 2, 2016, which increased our reported gross profit for those periods. Inventories in the Health and Nutrition segment are valued using the first-in, first-out (“FIFO”) method.</w:t>
      </w:r>
    </w:p>
    <w:p>
      <w:pPr>
        <w:spacing w:after="0" w:line="16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Industrial and Water Treatment segments sell bulk commodity products. We disclose the sales of our bulk commodity products as a percentage of total sales dollars within each of those segments. Our definition of bulk commodity products includes products that we do not modify in any way, but receive, store, and ship from our facilities, or direct ship to our customers in large quantities. We review our sales reporting on a periodic basis to ensure we are including all products that meet this definition.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360" w:type="dxa"/>
            <w:vAlign w:val="bottom"/>
            <w:gridSpan w:val="4"/>
          </w:tcPr>
          <w:p>
            <w:pPr>
              <w:ind w:left="860"/>
              <w:spacing w:after="0"/>
              <w:rPr>
                <w:sz w:val="20"/>
                <w:szCs w:val="20"/>
                <w:color w:val="auto"/>
              </w:rPr>
            </w:pPr>
            <w:r>
              <w:rPr>
                <w:rFonts w:ascii="Arial" w:cs="Arial" w:eastAsia="Arial" w:hAnsi="Arial"/>
                <w:sz w:val="18"/>
                <w:szCs w:val="18"/>
                <w:b w:val="1"/>
                <w:bCs w:val="1"/>
                <w:color w:val="auto"/>
              </w:rPr>
              <w:t>Three months ended</w:t>
            </w:r>
          </w:p>
        </w:tc>
        <w:tc>
          <w:tcPr>
            <w:tcW w:w="324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8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1680" w:type="dxa"/>
            <w:vAlign w:val="bottom"/>
            <w:gridSpan w:val="2"/>
          </w:tcPr>
          <w:p>
            <w:pPr>
              <w:ind w:left="180"/>
              <w:spacing w:after="0"/>
              <w:rPr>
                <w:sz w:val="20"/>
                <w:szCs w:val="20"/>
                <w:color w:val="auto"/>
              </w:rPr>
            </w:pPr>
            <w:r>
              <w:rPr>
                <w:rFonts w:ascii="Arial" w:cs="Arial" w:eastAsia="Arial" w:hAnsi="Arial"/>
                <w:sz w:val="18"/>
                <w:szCs w:val="18"/>
                <w:b w:val="1"/>
                <w:bCs w:val="1"/>
                <w:color w:val="auto"/>
              </w:rPr>
              <w:t>October 1, 2017</w:t>
            </w:r>
          </w:p>
        </w:tc>
        <w:tc>
          <w:tcPr>
            <w:tcW w:w="1680" w:type="dxa"/>
            <w:vAlign w:val="bottom"/>
            <w:gridSpan w:val="2"/>
          </w:tcPr>
          <w:p>
            <w:pPr>
              <w:ind w:left="180"/>
              <w:spacing w:after="0"/>
              <w:rPr>
                <w:sz w:val="20"/>
                <w:szCs w:val="20"/>
                <w:color w:val="auto"/>
              </w:rPr>
            </w:pPr>
            <w:r>
              <w:rPr>
                <w:rFonts w:ascii="Arial" w:cs="Arial" w:eastAsia="Arial" w:hAnsi="Arial"/>
                <w:sz w:val="18"/>
                <w:szCs w:val="18"/>
                <w:b w:val="1"/>
                <w:bCs w:val="1"/>
                <w:color w:val="auto"/>
              </w:rPr>
              <w:t>October 2, 2016</w:t>
            </w:r>
          </w:p>
        </w:tc>
        <w:tc>
          <w:tcPr>
            <w:tcW w:w="1680" w:type="dxa"/>
            <w:vAlign w:val="bottom"/>
            <w:gridSpan w:val="2"/>
          </w:tcPr>
          <w:p>
            <w:pPr>
              <w:ind w:left="180"/>
              <w:spacing w:after="0"/>
              <w:rPr>
                <w:sz w:val="20"/>
                <w:szCs w:val="20"/>
                <w:color w:val="auto"/>
              </w:rPr>
            </w:pPr>
            <w:r>
              <w:rPr>
                <w:rFonts w:ascii="Arial" w:cs="Arial" w:eastAsia="Arial" w:hAnsi="Arial"/>
                <w:sz w:val="18"/>
                <w:szCs w:val="18"/>
                <w:b w:val="1"/>
                <w:bCs w:val="1"/>
                <w:color w:val="auto"/>
              </w:rPr>
              <w:t>October 1, 2017</w:t>
            </w:r>
          </w:p>
        </w:tc>
        <w:tc>
          <w:tcPr>
            <w:tcW w:w="1560" w:type="dxa"/>
            <w:vAlign w:val="bottom"/>
          </w:tcPr>
          <w:p>
            <w:pPr>
              <w:jc w:val="right"/>
              <w:ind w:right="90"/>
              <w:spacing w:after="0"/>
              <w:rPr>
                <w:sz w:val="20"/>
                <w:szCs w:val="20"/>
                <w:color w:val="auto"/>
              </w:rPr>
            </w:pPr>
            <w:r>
              <w:rPr>
                <w:rFonts w:ascii="Arial" w:cs="Arial" w:eastAsia="Arial" w:hAnsi="Arial"/>
                <w:sz w:val="18"/>
                <w:szCs w:val="18"/>
                <w:b w:val="1"/>
                <w:bCs w:val="1"/>
                <w:color w:val="auto"/>
              </w:rPr>
              <w:t>October 2, 2016</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8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(78.1)%</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15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5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820" w:type="dxa"/>
            <w:vAlign w:val="bottom"/>
          </w:tcPr>
          <w:p>
            <w:pPr>
              <w:spacing w:after="0"/>
              <w:rPr>
                <w:sz w:val="24"/>
                <w:szCs w:val="24"/>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3" w:name="page14"/>
    <w:bookmarkEnd w:id="13"/>
    <w:p>
      <w:pPr>
        <w:ind w:right="4760"/>
        <w:spacing w:after="0" w:line="438" w:lineRule="auto"/>
        <w:rPr>
          <w:sz w:val="20"/>
          <w:szCs w:val="20"/>
          <w:color w:val="auto"/>
        </w:rPr>
      </w:pPr>
      <w:r>
        <w:rPr>
          <w:rFonts w:ascii="Arial" w:cs="Arial" w:eastAsia="Arial" w:hAnsi="Arial"/>
          <w:sz w:val="18"/>
          <w:szCs w:val="18"/>
          <w:b w:val="1"/>
          <w:bCs w:val="1"/>
          <w:i w:val="1"/>
          <w:iCs w:val="1"/>
          <w:color w:val="auto"/>
        </w:rPr>
        <w:t xml:space="preserve">Three Months Ended October 1, 2017 Compared to Three Months Ended October 2, 2016 </w:t>
      </w:r>
      <w:r>
        <w:rPr>
          <w:rFonts w:ascii="Arial" w:cs="Arial" w:eastAsia="Arial" w:hAnsi="Arial"/>
          <w:sz w:val="18"/>
          <w:szCs w:val="18"/>
          <w:i w:val="1"/>
          <w:iCs w:val="1"/>
          <w:color w:val="auto"/>
        </w:rPr>
        <w:t>Sales</w:t>
      </w:r>
    </w:p>
    <w:p>
      <w:pPr>
        <w:spacing w:after="0" w:line="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Sales increased $4.1 million, or 3.4%, to $125.4 million for the three months ended October 1, 2017, as compared to $121.3 million reported for the same period of the prior year.</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were $58.7 million for the three months ended October 1, 2017, an increase of $2.8 million, or 5.1%, from $55.8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of the prior year. Sales of bulk commodity products in the Industrial segment were approximately 19% of sales dollars for both the three months ended October 1, 2017 and for the same period in the prior year. Although overall sales volumes decreased, sales dollars increased due to a product mix shift to more sales of certain specialty products with higher per-unit selling prices, and, to a lesser extent, increased costs on one of our major commodities that resulted in higher selling prices on certain products.</w:t>
      </w:r>
    </w:p>
    <w:p>
      <w:pPr>
        <w:spacing w:after="0" w:line="13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$1.4 million, or 3.7%, to $38.2 million for the three months ended October 1, 2017,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$36.8 million for the same period of the prior year. Sales of bulk commodity products in the Water Treatment segment were approximately 14% of sales dollars in the both the three months ended October 1, 2017 and the same period a year ago. Sales dollars increased as a result of increased sales of specialty products.</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Health and Nutrition segment sales were $28.5 million for both the three months ended October 1, 2017 and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Increased sales of distributed products were offset by decreased sales of our manufactured products.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Gross profit was $24.1 million, or 19.2% of sales, for the three months ended October 1, 2017, a decrease of $2.9 million from $27.0 million, or 22.3% of sales, for the same period of the prior year. As a result of raw material cost increases, the current year increase in the LIFO reserve reduced gross profit by $0.6 million year over year. The decrease in gross profit was further negatively impacted by investments in personnel and equipment to drive future growth, product mix changes and competitive pricing pressures.</w:t>
      </w:r>
    </w:p>
    <w:p>
      <w:pPr>
        <w:spacing w:after="0" w:line="13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Industrial Segment. </w:t>
      </w:r>
      <w:r>
        <w:rPr>
          <w:rFonts w:ascii="Arial" w:cs="Arial" w:eastAsia="Arial" w:hAnsi="Arial"/>
          <w:sz w:val="17"/>
          <w:szCs w:val="17"/>
          <w:color w:val="auto"/>
        </w:rPr>
        <w:t>Gross profit for the Industrial segment decreased $1.9 million to $8.3 million, or 14.2% of sales, for the three months ended October 1,</w:t>
      </w:r>
      <w:r>
        <w:rPr>
          <w:rFonts w:ascii="Arial" w:cs="Arial" w:eastAsia="Arial" w:hAnsi="Arial"/>
          <w:sz w:val="17"/>
          <w:szCs w:val="17"/>
          <w:i w:val="1"/>
          <w:iCs w:val="1"/>
          <w:color w:val="auto"/>
        </w:rPr>
        <w:t xml:space="preserve"> </w:t>
      </w:r>
      <w:r>
        <w:rPr>
          <w:rFonts w:ascii="Arial" w:cs="Arial" w:eastAsia="Arial" w:hAnsi="Arial"/>
          <w:sz w:val="17"/>
          <w:szCs w:val="17"/>
          <w:color w:val="auto"/>
        </w:rPr>
        <w:t>2017, as compared to $10.2 million, or 18.2% of sales, for the same period of the prior year. Raw material cost increases negatively impacted the quarter with the LIFO method of valuing inventory decreasing gross profit by $0.2 million in the current year while increasing gross profit by $0.3 million for the same period of the prior year. In addition, gross profit and gross profit as a percentage of sales were impacted in the current quarter by increased operating costs as we invest for future growth and to comply with increased regulatory requirements. Increased profits from sales of certain higher-margin specialty products were offset by lower profits on certain commodity products due to competitive pricing pressures.</w:t>
      </w:r>
    </w:p>
    <w:p>
      <w:pPr>
        <w:spacing w:after="0" w:line="124"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decreased $0.1 million to $11.0 million, or 28.9% of sales,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October 1, 2017, from $11.1 million, or 30.0% of sales, for the comparable period of the prior year. Despite increased sales volumes and revenues, gross profit was down slightly from a year ago primarily due to raw material cost increases and competitive pricing pressures. Raw material cost increases had a nominal year-over-year impact to the LIFO reserve in this segment.</w:t>
      </w:r>
    </w:p>
    <w:p>
      <w:pPr>
        <w:spacing w:after="0" w:line="13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Health and Nutrition Segment</w:t>
      </w:r>
      <w:r>
        <w:rPr>
          <w:rFonts w:ascii="Arial" w:cs="Arial" w:eastAsia="Arial" w:hAnsi="Arial"/>
          <w:sz w:val="18"/>
          <w:szCs w:val="18"/>
          <w:color w:val="auto"/>
        </w:rPr>
        <w:t>. Gross profit for our Health and Nutrition segment decreased $1.0 million to $4.8 million, or 16.8% of sales,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October 1, 2017, from $5.8 million, or 20.2% of sales, for the three months ended October 2, 2016. The decreases in gross profit and gross profit as a percentage of sales were primarily due to planned cost increases to drive future growth, including accelerated depreciation expense of $0.1 million related to the removal of manufacturing equipment to install newer, more efficient equipment, as well as decreased sales of manufactured products that carry higher per-unit margins.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Selling, general and administrative (“SG&amp;A”) expenses were $14.8 million, or 11.8% of sales, for the three months ended October 1, 2017, a decrease of $0.1 million from $14.9 million, or 12.3% of sales, for the same period of the prior year. The decrease was due to a decline in certain variable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Operating income was $9.3 million for the three months ended October 1, 2017, as compared to $12.2 million for the same period of the prior year. Operating income in our Industrial segment decreased by $1.8 million driven by lower gross profits, partially offset by slightly reduced SG&amp;A expenses. Operating income in our Water Treatment segment decreased by $0.1 million due to lower gross profits and slightly higher SG&amp;A expenses. Operating income in our Health and Nutrition Segment decreased by $1.0 million driven by lower gross profits compared to the comparable period in the prior year.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Interest expense was $0.8 million for the three months ended October 1, 2017 compared to $0.6 million for the same period of the prior year due primarily to increased outstanding borrowings in the current quarter to fund working capital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effective income tax rate was 38.5% for the three months ended October 1, 2017 and 37.7% for the three months ended October 2, 2016. The effective tax rate is impacted by projected levels of annual taxable income, permanent items, and state taxes.</w:t>
      </w:r>
    </w:p>
    <w:p>
      <w:pPr>
        <w:spacing w:after="0" w:line="170" w:lineRule="exact"/>
        <w:rPr>
          <w:sz w:val="20"/>
          <w:szCs w:val="20"/>
          <w:color w:val="auto"/>
        </w:rPr>
      </w:pPr>
    </w:p>
    <w:p>
      <w:pPr>
        <w:ind w:right="5140"/>
        <w:spacing w:after="0" w:line="438" w:lineRule="auto"/>
        <w:rPr>
          <w:sz w:val="20"/>
          <w:szCs w:val="20"/>
          <w:color w:val="auto"/>
        </w:rPr>
      </w:pPr>
      <w:r>
        <w:rPr>
          <w:rFonts w:ascii="Arial" w:cs="Arial" w:eastAsia="Arial" w:hAnsi="Arial"/>
          <w:sz w:val="18"/>
          <w:szCs w:val="18"/>
          <w:b w:val="1"/>
          <w:bCs w:val="1"/>
          <w:i w:val="1"/>
          <w:iCs w:val="1"/>
          <w:color w:val="auto"/>
        </w:rPr>
        <w:t xml:space="preserve">Six Months Ended October 1, 2017 Compared to Six Months Ended October 2, 2016 </w:t>
      </w:r>
      <w:r>
        <w:rPr>
          <w:rFonts w:ascii="Arial" w:cs="Arial" w:eastAsia="Arial" w:hAnsi="Arial"/>
          <w:sz w:val="18"/>
          <w:szCs w:val="18"/>
          <w:i w:val="1"/>
          <w:iCs w:val="1"/>
          <w:color w:val="auto"/>
        </w:rPr>
        <w:t>Sales</w:t>
      </w:r>
    </w:p>
    <w:p>
      <w:pPr>
        <w:spacing w:after="0" w:line="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Sales increased $6.5 million, or 2.6%, to $259.1 million for the six months ended October 1, 2017, as compared to $252.6 million reported for the same period of the prior year.</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Industrial Segment. </w:t>
      </w:r>
      <w:r>
        <w:rPr>
          <w:rFonts w:ascii="Arial" w:cs="Arial" w:eastAsia="Arial" w:hAnsi="Arial"/>
          <w:sz w:val="17"/>
          <w:szCs w:val="17"/>
          <w:color w:val="auto"/>
        </w:rPr>
        <w:t>Industrial segment sales were $122.7 million for the six months ended October 1, 2017, an increase of $3.1 million, or 2.6%, from $119.6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same period of the prior year. Sales of bulk commodity products in the Industrial segment were approximately 19% of sales dollars for the six months ended October 1, 2017 and 18% of sales for the same period in the prior year. Although overall sales volumes were relatively flat year over year, sales dollars increased due to a product mix shift to more sales of certain specialty products with higher per-unit selling prices, as well as increased costs on one of our major commodities that resulted in higher selling prices on certain products.</w:t>
      </w:r>
    </w:p>
    <w:p>
      <w:pPr>
        <w:spacing w:after="0" w:line="11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Water Treatment segment sales increased $3.9 million, or 5.4%, to $76.4 million for the six months ended October 1, 2017,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$72.5 million for the same period of the prior year. Sales of bulk commodity products in the Water Treatment segment were approximately 14% of sales dollars in both the six months ended October 1, 2017 and the same period a year ago. Sales dollars increased as a result of increased sales across many product lines, in particular certain specialized products that carry higher per-unit selling prices.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Health and Nutrition segment sales were $60.0 million for the six months ended October 1, 2017, a decrease of $0.5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0.9%, from $60.5 million for the same period of the prior year. Increased sales of distributed products were more than offset by sales of our manufactured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Gross profit was $50.1 million, or 19.3% of sales, for the six months ended October 1, 2017, a decrease of $5.1 million from $55.2 million, or 21.9% of sales, for the same period of the prior year. As a result of raw material price increases, the current year increase in the LIFO reserve reduced gross profit by $1.1 million year over year. In addition, the decrease in gross profit was due to $1.4 million of planned increases in personnel and other investments to drive future growth, including accelerated depreciation of $0.7 million, as well as a $0.5 million reclassification from SG&amp;A expenses, product mix changes and continued competitive pricing pressures.</w:t>
      </w:r>
    </w:p>
    <w:p>
      <w:pPr>
        <w:spacing w:after="0" w:line="134"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Gross profit for the Industrial segment decreased $3.3 million to $17.3 million, or 14.1% of sales, for the six months ended October 1,</w:t>
      </w:r>
      <w:r>
        <w:rPr>
          <w:rFonts w:ascii="Arial" w:cs="Arial" w:eastAsia="Arial" w:hAnsi="Arial"/>
          <w:sz w:val="16"/>
          <w:szCs w:val="16"/>
          <w:i w:val="1"/>
          <w:iCs w:val="1"/>
          <w:color w:val="auto"/>
        </w:rPr>
        <w:t xml:space="preserve"> </w:t>
      </w:r>
      <w:r>
        <w:rPr>
          <w:rFonts w:ascii="Arial" w:cs="Arial" w:eastAsia="Arial" w:hAnsi="Arial"/>
          <w:sz w:val="16"/>
          <w:szCs w:val="16"/>
          <w:color w:val="auto"/>
        </w:rPr>
        <w:t>2017, as compared to $20.6 million, or 17.2% of sales, for the same period of the prior year. Raw material cost increases negatively impacted year-to-date results with the LIFO method of valuing inventory decreasing gross profit by $0.6 million in the current year while increasing gross profit by $0.3 million for the same period of the prior year. In addition, the decreases in gross profit and gross profit as a percentage of sales were driven by increased operating costs as we invest for future growth and to comply with increased regulatory requirements and lower margins on certain commodity products driven by competitive pricing pressures with rising raw material costs, offset somewhat by higher profits on sales of certain specialty products with higher per-unit margins.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746" w:right="259" w:bottom="1440" w:gutter="0" w:footer="0" w:header="0"/>
        </w:sectPr>
      </w:pPr>
    </w:p>
    <w:bookmarkStart w:id="15" w:name="page16"/>
    <w:bookmarkEnd w:id="15"/>
    <w:p>
      <w:pPr>
        <w:ind w:right="40"/>
        <w:spacing w:after="0" w:line="257"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$0.5 million to $22.2 million, or 29.1% of sales,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1, 2017, from $21.7 million, or 29.9% of sales, for the comparable period of the prior year. Gross profit dollars increased due to increased sales volumes across many product lines, in particular certain of our specialized products that have higher per-unit margins. Raw material cost increases negatively impacted year-to-date results with the LIFO method of valuing inventory decreasing gross profit by $0.1 million in the current year while increasing gross profit by $0.1 million for the same period of the prior year.</w:t>
      </w:r>
    </w:p>
    <w:p>
      <w:pPr>
        <w:spacing w:after="0" w:line="13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Health and Nutrition Segment</w:t>
      </w:r>
      <w:r>
        <w:rPr>
          <w:rFonts w:ascii="Arial" w:cs="Arial" w:eastAsia="Arial" w:hAnsi="Arial"/>
          <w:sz w:val="16"/>
          <w:szCs w:val="16"/>
          <w:color w:val="auto"/>
        </w:rPr>
        <w:t>. Gross profit for our Health and Nutrition segment decreased $2.3 million to $10.6 million, or 17.7% of sales,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October 1, 2017, from $12.9 million, or 21.4% of sales, for the six months ended October 1, 2017. The decreases in gross profit and gross profit as a percentage of sales were primarily due to planned cost increases to drive future growth, including accelerated depreciation expense of $0.7 million related to manufacturing equipment that we are removing to install newer, more efficient equipment, as well as the reclassification of $0.5 million of costs that were recorded as SG&amp;A expenses in the prior year to operating overhead in the current year to conform to our presentation. In addition, decreased sales of our manufactured products, which carry higher per-unit margins, contributed to the decline in gross profit and gross profit as a percentage of sales.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SG&amp;A expenses were $30.6 million, or 11.8% of sales, for the six months ended October 1, 2017, an increase of $0.6 million from $30.0 million, or 11.9% of sales, for the same period of the prior year. Expenses increased as a result of the addition of sales and support personnel to drive future growth, offset partially by the reclassification of $0.5 million of expenses in our Health &amp; Nutrition segment from SG&amp;A to operating overhead to conform to our presentation.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Operating income was $19.5 million for the six months ended October 1, 2017, as compared to $25.3 million for the same period of the prior year. Operating income in our Industrial segment decreased by $3.6 million driven by lower gross profits and increased SG&amp;A expenses in that segment. Operating income in our Water Treatment segment increased by $0.2 million due to higher gross profits partially offset by increased SG&amp;A expenses. Operating income in our Health and Nutrition segment decreased by $2.4 million driven by lower gross profits compared to the comparable period in the prior year.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Interest expense was $1.6 million for the first six months of fiscal 2017, compared to $1.3 million for the same period of the prior year due primarily to increased outstanding borrowings in the current year to fund working capital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effective income tax rate was 38.5% for the six months ended October 1, 2017 and 38.1% for the comparable period in the prior year. The effective tax rate is impacted by projected levels of annual taxable income, permanent items, and state taxes.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Cash was $3.8 million at October 1, 2017, a decrease of $3.1 million as compared with the $6.9 million available as of April 2, 2017. Cash provided by operating and financing during the six months ended October 1, 2017 was more than offset by cash used for capital expenditures and cash dividends paid.</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Cash provided by operating activities was $4.5 million for the six months ended October 1, 2017, compared to cash provided by operating activities of $28.0 million for the same period of the prior year. The decrease in cash provided by operating activities was primarily driven by a year-over-year change in the amount of cash provided by accounts receivable, driven by high levels of collections in the first six month of the prior year, as well as a change in the amount of cash utilized to purchase inventory during the first six months of fiscal 2018 as compared to the same period in the prior year. The large increase in inventory in the first half of fiscal 2018 was primarily due to an increase in on-hand and in-transit inventory, along with an increase in the per-unit cost, of one of our major commodities. The decision to increase inventory was driven largely by expectations of further cost increases throughout calendar 2017. Due to the nature of our operations, which includes purchases of large quantities of bulk chemicals, timing of purchases can result in significant changes in working capital investment and the resulting operating cash flow. Typically, our cash requirements increase during the period from April through November as caustic soda inventory levels increase as the majority of barges are received during this period.</w:t>
      </w:r>
    </w:p>
    <w:p>
      <w:pPr>
        <w:spacing w:after="0" w:line="12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Cash used in investing activities was $13.0 million for the six months ended October 1, 2017, compared to $12.2 million for the six months ended October 2, 2016. Capital expenditures were $13.2 million for the six months ended October 1, 2017, compared to $10.3 million in the same period of the prior fiscal year. Included in capital expenditures for the first six months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746" w:right="259" w:bottom="1440" w:gutter="0" w:footer="0" w:header="0"/>
        </w:sectPr>
      </w:pPr>
    </w:p>
    <w:bookmarkStart w:id="16" w:name="page17"/>
    <w:bookmarkEnd w:id="16"/>
    <w:p>
      <w:pPr>
        <w:ind w:right="60"/>
        <w:spacing w:after="0" w:line="259" w:lineRule="auto"/>
        <w:rPr>
          <w:sz w:val="20"/>
          <w:szCs w:val="20"/>
          <w:color w:val="auto"/>
        </w:rPr>
      </w:pPr>
      <w:r>
        <w:rPr>
          <w:rFonts w:ascii="Arial" w:cs="Arial" w:eastAsia="Arial" w:hAnsi="Arial"/>
          <w:sz w:val="18"/>
          <w:szCs w:val="18"/>
          <w:color w:val="auto"/>
        </w:rPr>
        <w:t>fiscal 2018 was $5.3 million related to business expansion, inventory storage, and process improvements, including the purchase of three of our previously leased Florida locations, and $5.8 million related to facility improvements, replacement equipment, new and replacement containers, and Water Treatment trucks. In the previous year, we paid $2.2 million of additional purchase price for Stauber as closing cash, debt and working capital balances were finalized in early 2017.</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Cash provided by financing activities was $5.5 million for the six months ended October 1, 2017, compared to cash used in financing activities of $19.2 million in the same period of the prior fiscal year. Included in financing activities were dividend payments of $4.5 million, debt repayments of $3.8 million on our Term Loan Facility (as defined below) and net proceeds of $13.0 million resulting from borrowings on our Revolving Loan Facility (as defined below) which were made in the six months ended October 1, 2017 to fund working capital requirements. In the first six months of the prior fiscal year, we made dividend payments of $4.2 million, debt repayments on our Term Loan Facility of $2.5 million, and repayments of $13.0 million on our Revolving Loan Facility.</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our cash balances and funds available under our credit facility, discussed below, along with cash flows generated from operations, will be sufficient to fund the cash requirements of our ongoing operations for the foreseeable future.</w:t>
      </w:r>
    </w:p>
    <w:p>
      <w:pPr>
        <w:spacing w:after="0" w:line="17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December 23, 2015, we entered into a credit agreement (the “Credit Agreement”) with U.S. Bank National Association (“U.S. Bank”) as Sole Lead Arranger and Sole Book Runner and other lenders from time to time party thereto (collectively, the “Lenders”), whereby U.S. Bank is also serving as Administrative Agent. The Credit Agreement provides us with senior secured credit facilities (the “Credit Facility”) totaling $165.0 million, consisting of a $100.0 million senior secured term loan credit facility (the “Term Loan Facility”) and a $65.0 million senior secured revolving loan credit facility (the “Revolving Loan Facility”). The Term Loan facility requires mandatory quarterly repayments, with the balance due at maturity. The Revolving Loan Facility includes a letter of credit subfacility in the amount of $5.0 million and a swingline subfacility in the amount of $8.0 million. The Credit Facility is scheduled to terminate on December 23, 2020. The Credit Facility is secured by substantially all of our personal property assets and those of our subsidiaries.</w:t>
      </w:r>
    </w:p>
    <w:p>
      <w:pPr>
        <w:spacing w:after="0" w:line="16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Borrowings under the Credit Facility bear interest at a variable rate per annum equal to one of the following, plus, in both cases, an applicable margin based upon our leverage ratio: (a) LIBOR for an interest period of one, two, three or six months as selected by us, reset at the end of the selected interest period, or</w:t>
      </w:r>
    </w:p>
    <w:p>
      <w:pPr>
        <w:ind w:right="60" w:firstLine="8"/>
        <w:spacing w:after="0" w:line="277" w:lineRule="auto"/>
        <w:tabs>
          <w:tab w:leader="none" w:pos="255" w:val="left"/>
        </w:tabs>
        <w:numPr>
          <w:ilvl w:val="0"/>
          <w:numId w:val="1"/>
        </w:numPr>
        <w:rPr>
          <w:rFonts w:ascii="Arial" w:cs="Arial" w:eastAsia="Arial" w:hAnsi="Arial"/>
          <w:sz w:val="17"/>
          <w:szCs w:val="17"/>
          <w:color w:val="auto"/>
        </w:rPr>
      </w:pPr>
      <w:r>
        <w:rPr>
          <w:rFonts w:ascii="Arial" w:cs="Arial" w:eastAsia="Arial" w:hAnsi="Arial"/>
          <w:sz w:val="17"/>
          <w:szCs w:val="17"/>
          <w:color w:val="auto"/>
        </w:rPr>
        <w:t>a base rate determined by reference to the highest of (1) U.S. Bank’s prime rate, (2) the Federal Funds Effective Rate plus 0.5%, or (3) one-month LIBOR for U.S. dollars plus 1.0%. The LIBOR margin is 1.125%, 1.25% or 1.5%, depending on our leverage ratio. The base rate margin is either 0.125%, 0.25% or 0.5%, depending on our leverage ratio. At October 1, 2017, the effective interest rate on our borrowings was 2.7%.</w:t>
      </w:r>
    </w:p>
    <w:p>
      <w:pPr>
        <w:spacing w:after="0" w:line="17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September 20, 2016, we entered into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new swap agreement began September 1, 2017 and will terminate concurrently with the expiration of our credit facility on December 23, 2020. The notional amount of the swap agreement is $40 million from September 1, 2017 through August 31, 2018, $30 million from September 1, 2018 through August 31, 2019 and $20 million from September 1, 2019 through December 23, 2020. We have designated this swap as a cash flow hedge and have determined that it qualifies for hedge accounting treatment. For so long as the hedge is effective, changes in fair value of the cash flow hedge are recorded in other comprehensive loss (net of tax) until income or loss from the cash flows of the hedged item is realized.</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to paying interest on the outstanding principal under the Credit Facility, we are required to pay a commitment fee on the unutilized commitments thereunder. The commitment fee is 0.25% to 0.3%, depending on our leverage ratio.</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Debt issuance costs of $0.7 million were paid to the lenders and are being amortized as interest expense over the term of the credit facility. As of October 1, 2017, the unamortized balance of these costs was $0.4 million, and is reflected as a reduction of debt on our balance sheet.</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enter into rate management transactions, subject to certain limitations. We are permitted to make distributions, pay dividends and repurchase shares so long as no default or event of default exists or would exist as a result thereof. As of October 1, 2017, we were in compliance with all required covenants.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7" w:name="page18"/>
    <w:bookmarkEnd w:id="17"/>
    <w:p>
      <w:pPr>
        <w:ind w:right="120"/>
        <w:spacing w:after="0" w:line="259" w:lineRule="auto"/>
        <w:rPr>
          <w:sz w:val="20"/>
          <w:szCs w:val="20"/>
          <w:color w:val="auto"/>
        </w:rPr>
      </w:pPr>
      <w:r>
        <w:rPr>
          <w:rFonts w:ascii="Arial" w:cs="Arial" w:eastAsia="Arial" w:hAnsi="Arial"/>
          <w:sz w:val="18"/>
          <w:szCs w:val="18"/>
          <w:color w:val="auto"/>
        </w:rPr>
        <w:t>The Credit Agreement contains customary events of default, including failure to make payments under the Term Loan Facility,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7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Our significant accounting policies are set forth in Note 1 to our consolidated financial statements in our Annual Report on Form 10-K for the fiscal year ended April 2, 2017. The accounting policies used in preparing our condensed consolidated financial statements for the first quarter of fiscal 2017 are the same as those described in that Annual Report.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Annual Report on Form 10-K for the fiscal year ended April 2, 2017.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to our customers. However, there are no assurances that we will be able to pass on the increases in the future.</w:t>
      </w:r>
    </w:p>
    <w:p>
      <w:pPr>
        <w:spacing w:after="0" w:line="18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exposed to market risks related to interest rates. Our exposure to changes in interest rates is limited to borrowings under our Credit Facility. A 25 basis point change in interest rates would potentially increase or decrease our annual interest expense by approximately $0.1 million. In the second quarter of fiscal 2017, we entered into an interest rate swap that converts a portion of our variable-rate debt into a fixed-rate obligation. The new swap agreement began September 1, 2017 and will end concurrently with the expiration of our Credit Facility on December 23, 2020. The notional amount of the swap agreement is $40 million from September 1, 2017 through August 31, 2018, $30 million from September 1, 2018 through August 31, 2019 and $20 million from September 1, 2019 through December 23, 2020. We have designated this swap as a cash flow hedge and have determined that it qualifies for hedge accounting treatment. Changes in fair value of the cash flow hedge are recorded in other comprehensive loss (net of tax) until income or loss from the cash flows of the hedged item is realized.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Other types of market risk, such as foreign currency risk, do not arise in the normal course of our business activities.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800"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Changes in Internal Control</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second quarter of fiscal 2018 that has materially affected, or is reasonably likely to materially affect, our internal control over financial reporting.</w:t>
      </w:r>
    </w:p>
    <w:p>
      <w:pPr>
        <w:spacing w:after="0" w:line="1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40"/>
          </w:cols>
          <w:pgMar w:left="240" w:top="823" w:right="619" w:bottom="1440" w:gutter="0" w:footer="0" w:header="0"/>
        </w:sectPr>
      </w:pPr>
    </w:p>
    <w:bookmarkStart w:id="19" w:name="page20"/>
    <w:bookmarkEnd w:id="19"/>
    <w:p>
      <w:pPr>
        <w:jc w:val="center"/>
        <w:ind w:right="-119"/>
        <w:spacing w:after="0"/>
        <w:rPr>
          <w:sz w:val="20"/>
          <w:szCs w:val="20"/>
          <w:color w:val="auto"/>
        </w:rPr>
      </w:pPr>
      <w:r>
        <w:rPr>
          <w:rFonts w:ascii="Arial" w:cs="Arial" w:eastAsia="Arial" w:hAnsi="Arial"/>
          <w:sz w:val="18"/>
          <w:szCs w:val="18"/>
          <w:b w:val="1"/>
          <w:bCs w:val="1"/>
          <w:color w:val="auto"/>
        </w:rPr>
        <w:t>PART II. OTHER INFORMATION</w:t>
      </w:r>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7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risk factors from those disclosed in our Annual Report on Form 10-K for the fiscal year ended April 2, 2017.</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May 29, 2014, our Board of Directors authorized a share repurchase program of up to 300,000 shares of our outstanding common stock. The shares may be repurchased on the open market or in privately negotiated transactions subject to applicable securities laws and regulations. We did not repurchase any shares of our common stock during fiscal 2018. As of October 1, 2017, 112,546 shares remain available to be repurchased under the share repurchase program.</w:t>
      </w:r>
    </w:p>
    <w:p>
      <w:pPr>
        <w:spacing w:after="0" w:line="1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240" w:top="580" w:right="3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860" w:type="dxa"/>
            <w:vAlign w:val="bottom"/>
          </w:tcPr>
          <w:p>
            <w:pPr>
              <w:jc w:val="right"/>
              <w:ind w:right="152"/>
              <w:spacing w:after="0"/>
              <w:rPr>
                <w:sz w:val="20"/>
                <w:szCs w:val="20"/>
                <w:color w:val="auto"/>
              </w:rPr>
            </w:pPr>
            <w:r>
              <w:rPr>
                <w:rFonts w:ascii="Arial" w:cs="Arial" w:eastAsia="Arial" w:hAnsi="Arial"/>
                <w:sz w:val="18"/>
                <w:szCs w:val="18"/>
                <w:color w:val="auto"/>
                <w:w w:val="95"/>
              </w:rPr>
              <w:t>ITEM 6.</w:t>
            </w:r>
          </w:p>
        </w:tc>
        <w:tc>
          <w:tcPr>
            <w:tcW w:w="8100" w:type="dxa"/>
            <w:vAlign w:val="bottom"/>
            <w:gridSpan w:val="9"/>
          </w:tcPr>
          <w:p>
            <w:pPr>
              <w:ind w:left="120"/>
              <w:spacing w:after="0"/>
              <w:rPr>
                <w:sz w:val="20"/>
                <w:szCs w:val="20"/>
                <w:color w:val="auto"/>
              </w:rPr>
            </w:pPr>
            <w:r>
              <w:rPr>
                <w:rFonts w:ascii="Arial" w:cs="Arial" w:eastAsia="Arial" w:hAnsi="Arial"/>
                <w:sz w:val="18"/>
                <w:szCs w:val="18"/>
                <w:color w:val="auto"/>
              </w:rPr>
              <w:t>EXHIBITS-</w:t>
            </w: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581"/>
        </w:trPr>
        <w:tc>
          <w:tcPr>
            <w:tcW w:w="860" w:type="dxa"/>
            <w:vAlign w:val="bottom"/>
          </w:tcPr>
          <w:p>
            <w:pPr>
              <w:jc w:val="right"/>
              <w:ind w:right="192"/>
              <w:spacing w:after="0"/>
              <w:rPr>
                <w:sz w:val="20"/>
                <w:szCs w:val="20"/>
                <w:color w:val="auto"/>
              </w:rPr>
            </w:pPr>
            <w:r>
              <w:rPr>
                <w:rFonts w:ascii="Arial" w:cs="Arial" w:eastAsia="Arial" w:hAnsi="Arial"/>
                <w:sz w:val="14"/>
                <w:szCs w:val="14"/>
                <w:color w:val="auto"/>
              </w:rPr>
              <w:t>Exhibit</w:t>
            </w:r>
          </w:p>
        </w:tc>
        <w:tc>
          <w:tcPr>
            <w:tcW w:w="2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Arial" w:cs="Arial" w:eastAsia="Arial" w:hAnsi="Arial"/>
                <w:sz w:val="14"/>
                <w:szCs w:val="14"/>
                <w:color w:val="auto"/>
                <w:w w:val="94"/>
              </w:rPr>
              <w:t>Description</w:t>
            </w:r>
          </w:p>
        </w:tc>
        <w:tc>
          <w:tcPr>
            <w:tcW w:w="3800" w:type="dxa"/>
            <w:vAlign w:val="bottom"/>
            <w:gridSpan w:val="3"/>
          </w:tcPr>
          <w:p>
            <w:pPr>
              <w:spacing w:after="0"/>
              <w:rPr>
                <w:sz w:val="24"/>
                <w:szCs w:val="24"/>
                <w:color w:val="auto"/>
              </w:rPr>
            </w:pPr>
          </w:p>
        </w:tc>
        <w:tc>
          <w:tcPr>
            <w:tcW w:w="2180" w:type="dxa"/>
            <w:vAlign w:val="bottom"/>
            <w:gridSpan w:val="3"/>
          </w:tcPr>
          <w:p>
            <w:pPr>
              <w:jc w:val="center"/>
              <w:ind w:left="152"/>
              <w:spacing w:after="0"/>
              <w:rPr>
                <w:sz w:val="20"/>
                <w:szCs w:val="20"/>
                <w:color w:val="auto"/>
              </w:rPr>
            </w:pPr>
            <w:r>
              <w:rPr>
                <w:rFonts w:ascii="Arial" w:cs="Arial" w:eastAsia="Arial" w:hAnsi="Arial"/>
                <w:sz w:val="14"/>
                <w:szCs w:val="14"/>
                <w:color w:val="auto"/>
                <w:w w:val="98"/>
              </w:rPr>
              <w:t>Method of Filing</w:t>
            </w:r>
          </w:p>
        </w:tc>
      </w:tr>
      <w:tr>
        <w:trPr>
          <w:trHeight w:val="20"/>
        </w:trPr>
        <w:tc>
          <w:tcPr>
            <w:tcW w:w="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3.1</w:t>
            </w:r>
          </w:p>
        </w:tc>
        <w:tc>
          <w:tcPr>
            <w:tcW w:w="3620" w:type="dxa"/>
            <w:vAlign w:val="bottom"/>
            <w:gridSpan w:val="3"/>
          </w:tcPr>
          <w:p>
            <w:pPr>
              <w:spacing w:after="0"/>
              <w:rPr>
                <w:rFonts w:ascii="Arial" w:cs="Arial" w:eastAsia="Arial" w:hAnsi="Arial"/>
                <w:sz w:val="18"/>
                <w:szCs w:val="18"/>
                <w:color w:val="0000FF"/>
                <w:w w:val="92"/>
              </w:rPr>
            </w:pPr>
            <w:hyperlink r:id="rId26">
              <w:r>
                <w:rPr>
                  <w:rFonts w:ascii="Arial" w:cs="Arial" w:eastAsia="Arial" w:hAnsi="Arial"/>
                  <w:sz w:val="18"/>
                  <w:szCs w:val="18"/>
                  <w:color w:val="0000FF"/>
                  <w:w w:val="92"/>
                </w:rPr>
                <w:t>Amended and Restated Articles of Incorporation.</w:t>
              </w:r>
            </w:hyperlink>
          </w:p>
        </w:tc>
        <w:tc>
          <w:tcPr>
            <w:tcW w:w="680" w:type="dxa"/>
            <w:vAlign w:val="bottom"/>
            <w:gridSpan w:val="3"/>
          </w:tcPr>
          <w:p>
            <w:pPr>
              <w:spacing w:after="0"/>
              <w:rPr>
                <w:sz w:val="19"/>
                <w:szCs w:val="19"/>
                <w:color w:val="auto"/>
              </w:rPr>
            </w:pPr>
          </w:p>
        </w:tc>
        <w:tc>
          <w:tcPr>
            <w:tcW w:w="3800" w:type="dxa"/>
            <w:vAlign w:val="bottom"/>
            <w:gridSpan w:val="3"/>
          </w:tcPr>
          <w:p>
            <w:pPr>
              <w:spacing w:after="0"/>
              <w:rPr>
                <w:sz w:val="19"/>
                <w:szCs w:val="19"/>
                <w:color w:val="auto"/>
              </w:rPr>
            </w:pPr>
          </w:p>
        </w:tc>
        <w:tc>
          <w:tcPr>
            <w:tcW w:w="2180" w:type="dxa"/>
            <w:vAlign w:val="bottom"/>
            <w:gridSpan w:val="3"/>
          </w:tcPr>
          <w:p>
            <w:pPr>
              <w:jc w:val="center"/>
              <w:ind w:left="172"/>
              <w:spacing w:after="0"/>
              <w:rPr>
                <w:sz w:val="20"/>
                <w:szCs w:val="20"/>
                <w:color w:val="auto"/>
              </w:rPr>
            </w:pPr>
            <w:r>
              <w:rPr>
                <w:rFonts w:ascii="Arial" w:cs="Arial" w:eastAsia="Arial" w:hAnsi="Arial"/>
                <w:sz w:val="18"/>
                <w:szCs w:val="18"/>
                <w:color w:val="auto"/>
                <w:w w:val="90"/>
              </w:rPr>
              <w:t>Incorporated by Reference</w:t>
            </w: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3.2</w:t>
            </w:r>
          </w:p>
        </w:tc>
        <w:tc>
          <w:tcPr>
            <w:tcW w:w="242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r:id="rId27">
              <w:r>
                <w:rPr>
                  <w:rFonts w:ascii="Arial" w:cs="Arial" w:eastAsia="Arial" w:hAnsi="Arial"/>
                  <w:sz w:val="18"/>
                  <w:szCs w:val="18"/>
                  <w:color w:val="0000FF"/>
                  <w:w w:val="89"/>
                </w:rPr>
                <w:t>Amended and Restated By-Laws.</w:t>
              </w:r>
            </w:hyperlink>
          </w:p>
        </w:tc>
        <w:tc>
          <w:tcPr>
            <w:tcW w:w="1120" w:type="dxa"/>
            <w:vAlign w:val="bottom"/>
            <w:tcBorders>
              <w:top w:val="single" w:sz="8" w:color="0000FF"/>
            </w:tcBorders>
          </w:tcPr>
          <w:p>
            <w:pPr>
              <w:spacing w:after="0"/>
              <w:rPr>
                <w:sz w:val="21"/>
                <w:szCs w:val="21"/>
                <w:color w:val="auto"/>
              </w:rPr>
            </w:pPr>
          </w:p>
        </w:tc>
        <w:tc>
          <w:tcPr>
            <w:tcW w:w="4560" w:type="dxa"/>
            <w:vAlign w:val="bottom"/>
            <w:gridSpan w:val="7"/>
          </w:tcPr>
          <w:p>
            <w:pPr>
              <w:spacing w:after="0"/>
              <w:rPr>
                <w:sz w:val="21"/>
                <w:szCs w:val="21"/>
                <w:color w:val="auto"/>
              </w:rPr>
            </w:pPr>
          </w:p>
        </w:tc>
        <w:tc>
          <w:tcPr>
            <w:tcW w:w="2180" w:type="dxa"/>
            <w:vAlign w:val="bottom"/>
            <w:gridSpan w:val="3"/>
          </w:tcPr>
          <w:p>
            <w:pPr>
              <w:jc w:val="center"/>
              <w:ind w:left="172"/>
              <w:spacing w:after="0"/>
              <w:rPr>
                <w:sz w:val="20"/>
                <w:szCs w:val="20"/>
                <w:color w:val="auto"/>
              </w:rPr>
            </w:pPr>
            <w:r>
              <w:rPr>
                <w:rFonts w:ascii="Arial" w:cs="Arial" w:eastAsia="Arial" w:hAnsi="Arial"/>
                <w:sz w:val="18"/>
                <w:szCs w:val="18"/>
                <w:color w:val="auto"/>
                <w:w w:val="90"/>
              </w:rPr>
              <w:t>Incorporated by Reference</w:t>
            </w: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31.1</w:t>
            </w:r>
          </w:p>
        </w:tc>
        <w:tc>
          <w:tcPr>
            <w:tcW w:w="8100" w:type="dxa"/>
            <w:vAlign w:val="bottom"/>
            <w:gridSpan w:val="9"/>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Certification by Chief Executive Officer pursuant to Rule 13a-14(a) of the Exchange Act.</w:t>
              </w:r>
            </w:hyperlink>
          </w:p>
        </w:tc>
        <w:tc>
          <w:tcPr>
            <w:tcW w:w="2180" w:type="dxa"/>
            <w:vAlign w:val="bottom"/>
            <w:gridSpan w:val="3"/>
          </w:tcPr>
          <w:p>
            <w:pPr>
              <w:jc w:val="center"/>
              <w:ind w:left="152"/>
              <w:spacing w:after="0"/>
              <w:rPr>
                <w:sz w:val="20"/>
                <w:szCs w:val="20"/>
                <w:color w:val="auto"/>
              </w:rPr>
            </w:pPr>
            <w:r>
              <w:rPr>
                <w:rFonts w:ascii="Arial" w:cs="Arial" w:eastAsia="Arial" w:hAnsi="Arial"/>
                <w:sz w:val="18"/>
                <w:szCs w:val="18"/>
                <w:color w:val="auto"/>
                <w:w w:val="94"/>
              </w:rPr>
              <w:t>Filed Electronically</w:t>
            </w: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31.2</w:t>
            </w:r>
          </w:p>
        </w:tc>
        <w:tc>
          <w:tcPr>
            <w:tcW w:w="640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2"/>
              </w:rPr>
            </w:pPr>
            <w:hyperlink w:anchor="page24">
              <w:r>
                <w:rPr>
                  <w:rFonts w:ascii="Arial" w:cs="Arial" w:eastAsia="Arial" w:hAnsi="Arial"/>
                  <w:sz w:val="18"/>
                  <w:szCs w:val="18"/>
                  <w:color w:val="0000FF"/>
                  <w:w w:val="92"/>
                </w:rPr>
                <w:t>Certification by Chief Financial Officer pursuant to Rule 13a-14(a) of the Exchange Act.</w:t>
              </w:r>
            </w:hyperlink>
          </w:p>
        </w:tc>
        <w:tc>
          <w:tcPr>
            <w:tcW w:w="40" w:type="dxa"/>
            <w:vAlign w:val="bottom"/>
            <w:tcBorders>
              <w:top w:val="single" w:sz="8" w:color="0000FF"/>
            </w:tcBorders>
          </w:tcPr>
          <w:p>
            <w:pPr>
              <w:spacing w:after="0"/>
              <w:rPr>
                <w:sz w:val="21"/>
                <w:szCs w:val="21"/>
                <w:color w:val="auto"/>
              </w:rPr>
            </w:pPr>
          </w:p>
        </w:tc>
        <w:tc>
          <w:tcPr>
            <w:tcW w:w="1660" w:type="dxa"/>
            <w:vAlign w:val="bottom"/>
          </w:tcPr>
          <w:p>
            <w:pPr>
              <w:spacing w:after="0"/>
              <w:rPr>
                <w:sz w:val="21"/>
                <w:szCs w:val="21"/>
                <w:color w:val="auto"/>
              </w:rPr>
            </w:pPr>
          </w:p>
        </w:tc>
        <w:tc>
          <w:tcPr>
            <w:tcW w:w="2180" w:type="dxa"/>
            <w:vAlign w:val="bottom"/>
            <w:gridSpan w:val="3"/>
          </w:tcPr>
          <w:p>
            <w:pPr>
              <w:jc w:val="center"/>
              <w:ind w:left="152"/>
              <w:spacing w:after="0"/>
              <w:rPr>
                <w:sz w:val="20"/>
                <w:szCs w:val="20"/>
                <w:color w:val="auto"/>
              </w:rPr>
            </w:pPr>
            <w:r>
              <w:rPr>
                <w:rFonts w:ascii="Arial" w:cs="Arial" w:eastAsia="Arial" w:hAnsi="Arial"/>
                <w:sz w:val="18"/>
                <w:szCs w:val="18"/>
                <w:color w:val="auto"/>
                <w:w w:val="94"/>
              </w:rPr>
              <w:t>Filed Electronically</w:t>
            </w: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32.1</w:t>
            </w:r>
          </w:p>
        </w:tc>
        <w:tc>
          <w:tcPr>
            <w:tcW w:w="8100" w:type="dxa"/>
            <w:vAlign w:val="bottom"/>
            <w:gridSpan w:val="9"/>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Section 1350 Certification by Chief Executive Officer.</w:t>
              </w:r>
            </w:hyperlink>
          </w:p>
        </w:tc>
        <w:tc>
          <w:tcPr>
            <w:tcW w:w="2180" w:type="dxa"/>
            <w:vAlign w:val="bottom"/>
            <w:gridSpan w:val="3"/>
          </w:tcPr>
          <w:p>
            <w:pPr>
              <w:jc w:val="center"/>
              <w:ind w:left="152"/>
              <w:spacing w:after="0"/>
              <w:rPr>
                <w:sz w:val="20"/>
                <w:szCs w:val="20"/>
                <w:color w:val="auto"/>
              </w:rPr>
            </w:pPr>
            <w:r>
              <w:rPr>
                <w:rFonts w:ascii="Arial" w:cs="Arial" w:eastAsia="Arial" w:hAnsi="Arial"/>
                <w:sz w:val="18"/>
                <w:szCs w:val="18"/>
                <w:color w:val="auto"/>
                <w:w w:val="94"/>
              </w:rPr>
              <w:t>Filed Electronically</w:t>
            </w: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32.2</w:t>
            </w:r>
          </w:p>
        </w:tc>
        <w:tc>
          <w:tcPr>
            <w:tcW w:w="38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w:anchor="page26">
              <w:r>
                <w:rPr>
                  <w:rFonts w:ascii="Arial" w:cs="Arial" w:eastAsia="Arial" w:hAnsi="Arial"/>
                  <w:sz w:val="18"/>
                  <w:szCs w:val="18"/>
                  <w:color w:val="0000FF"/>
                  <w:w w:val="92"/>
                </w:rPr>
                <w:t>Section 1350 Certification by Chief Financial Officer.</w:t>
              </w:r>
            </w:hyperlink>
          </w:p>
        </w:tc>
        <w:tc>
          <w:tcPr>
            <w:tcW w:w="40" w:type="dxa"/>
            <w:vAlign w:val="bottom"/>
            <w:tcBorders>
              <w:top w:val="single" w:sz="8" w:color="0000FF"/>
            </w:tcBorders>
          </w:tcPr>
          <w:p>
            <w:pPr>
              <w:spacing w:after="0"/>
              <w:rPr>
                <w:sz w:val="21"/>
                <w:szCs w:val="21"/>
                <w:color w:val="auto"/>
              </w:rPr>
            </w:pPr>
          </w:p>
        </w:tc>
        <w:tc>
          <w:tcPr>
            <w:tcW w:w="4180" w:type="dxa"/>
            <w:vAlign w:val="bottom"/>
            <w:gridSpan w:val="4"/>
          </w:tcPr>
          <w:p>
            <w:pPr>
              <w:spacing w:after="0"/>
              <w:rPr>
                <w:sz w:val="21"/>
                <w:szCs w:val="21"/>
                <w:color w:val="auto"/>
              </w:rPr>
            </w:pPr>
          </w:p>
        </w:tc>
        <w:tc>
          <w:tcPr>
            <w:tcW w:w="2180" w:type="dxa"/>
            <w:vAlign w:val="bottom"/>
            <w:gridSpan w:val="3"/>
          </w:tcPr>
          <w:p>
            <w:pPr>
              <w:jc w:val="center"/>
              <w:ind w:left="152"/>
              <w:spacing w:after="0"/>
              <w:rPr>
                <w:sz w:val="20"/>
                <w:szCs w:val="20"/>
                <w:color w:val="auto"/>
              </w:rPr>
            </w:pPr>
            <w:r>
              <w:rPr>
                <w:rFonts w:ascii="Arial" w:cs="Arial" w:eastAsia="Arial" w:hAnsi="Arial"/>
                <w:sz w:val="18"/>
                <w:szCs w:val="18"/>
                <w:color w:val="auto"/>
                <w:w w:val="94"/>
              </w:rPr>
              <w:t>Filed Electronically</w:t>
            </w:r>
          </w:p>
        </w:tc>
      </w:tr>
      <w:tr>
        <w:trPr>
          <w:trHeight w:val="276"/>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101</w:t>
            </w:r>
          </w:p>
        </w:tc>
        <w:tc>
          <w:tcPr>
            <w:tcW w:w="8100" w:type="dxa"/>
            <w:vAlign w:val="bottom"/>
            <w:gridSpan w:val="9"/>
          </w:tcPr>
          <w:p>
            <w:pPr>
              <w:spacing w:after="0"/>
              <w:rPr>
                <w:sz w:val="20"/>
                <w:szCs w:val="20"/>
                <w:color w:val="auto"/>
              </w:rPr>
            </w:pPr>
            <w:r>
              <w:rPr>
                <w:rFonts w:ascii="Arial" w:cs="Arial" w:eastAsia="Arial" w:hAnsi="Arial"/>
                <w:sz w:val="18"/>
                <w:szCs w:val="18"/>
                <w:color w:val="auto"/>
                <w:w w:val="94"/>
              </w:rPr>
              <w:t>Financial statements from the Quarterly Report on Form 10-Q of Hawkins, Inc. for the period ended October</w:t>
            </w:r>
          </w:p>
        </w:tc>
        <w:tc>
          <w:tcPr>
            <w:tcW w:w="2180" w:type="dxa"/>
            <w:vAlign w:val="bottom"/>
            <w:gridSpan w:val="3"/>
          </w:tcPr>
          <w:p>
            <w:pPr>
              <w:jc w:val="center"/>
              <w:ind w:left="152"/>
              <w:spacing w:after="0"/>
              <w:rPr>
                <w:sz w:val="20"/>
                <w:szCs w:val="20"/>
                <w:color w:val="auto"/>
              </w:rPr>
            </w:pPr>
            <w:r>
              <w:rPr>
                <w:rFonts w:ascii="Arial" w:cs="Arial" w:eastAsia="Arial" w:hAnsi="Arial"/>
                <w:sz w:val="18"/>
                <w:szCs w:val="18"/>
                <w:color w:val="auto"/>
                <w:w w:val="94"/>
              </w:rPr>
              <w:t>Filed Electronically</w:t>
            </w:r>
          </w:p>
        </w:tc>
      </w:tr>
      <w:tr>
        <w:trPr>
          <w:trHeight w:val="230"/>
        </w:trPr>
        <w:tc>
          <w:tcPr>
            <w:tcW w:w="860" w:type="dxa"/>
            <w:vAlign w:val="bottom"/>
          </w:tcPr>
          <w:p>
            <w:pPr>
              <w:spacing w:after="0"/>
              <w:rPr>
                <w:sz w:val="20"/>
                <w:szCs w:val="20"/>
                <w:color w:val="auto"/>
              </w:rPr>
            </w:pPr>
          </w:p>
        </w:tc>
        <w:tc>
          <w:tcPr>
            <w:tcW w:w="8100" w:type="dxa"/>
            <w:vAlign w:val="bottom"/>
            <w:gridSpan w:val="9"/>
          </w:tcPr>
          <w:p>
            <w:pPr>
              <w:spacing w:after="0"/>
              <w:rPr>
                <w:sz w:val="20"/>
                <w:szCs w:val="20"/>
                <w:color w:val="auto"/>
              </w:rPr>
            </w:pPr>
            <w:r>
              <w:rPr>
                <w:rFonts w:ascii="Arial" w:cs="Arial" w:eastAsia="Arial" w:hAnsi="Arial"/>
                <w:sz w:val="18"/>
                <w:szCs w:val="18"/>
                <w:color w:val="auto"/>
                <w:w w:val="98"/>
              </w:rPr>
              <w:t>1, 2017 filed with the SEC on November 1, 2017 formatted in Extensible Business Reporting Language</w:t>
            </w: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ind w:left="860" w:right="2560"/>
        <w:spacing w:after="0" w:line="252" w:lineRule="auto"/>
        <w:rPr>
          <w:sz w:val="20"/>
          <w:szCs w:val="20"/>
          <w:color w:val="auto"/>
        </w:rPr>
      </w:pPr>
      <w:r>
        <w:rPr>
          <w:rFonts w:ascii="Arial" w:cs="Arial" w:eastAsia="Arial" w:hAnsi="Arial"/>
          <w:sz w:val="18"/>
          <w:szCs w:val="18"/>
          <w:color w:val="auto"/>
        </w:rPr>
        <w:t>(XBRL); (i) the Condensed Consolidated Balance Sheets at October 1, 2017 and April 2, 2017, (ii) the Condensed Consolidated Statements of Income for the three and six months ended October 1, 2017 and October 2, 2016, (iii) the Condensed Consolidated Statements of Comprehensive Income for the three and six months ended October 1, 2017 and October 2, 2016, (iv) the Condensed Consolidated Statements of Cash Flows for the six months ended October 1, 2017 and October 2, 2016, and (v)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ind w:left="540" w:hanging="316"/>
        <w:spacing w:after="0" w:line="258"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Quarterly Report on Form 10-Q for the period ended June 30, 2010, filed on July 29, 2010 (File no. 000-07647).</w:t>
      </w:r>
    </w:p>
    <w:p>
      <w:pPr>
        <w:spacing w:after="0" w:line="1"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dated October 28, 2009 and filed November 3, 2009 (File no. 000-07647).</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584" w:right="339" w:bottom="1440" w:gutter="0" w:footer="0" w:header="0"/>
        </w:sectPr>
      </w:pPr>
    </w:p>
    <w:bookmarkStart w:id="21" w:name="page22"/>
    <w:bookmarkEnd w:id="21"/>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6420"/>
        <w:spacing w:after="0"/>
        <w:tabs>
          <w:tab w:leader="none" w:pos="8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31750</wp:posOffset>
            </wp:positionV>
            <wp:extent cx="26930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Vice President, Chief Financial Officer, and Treasurer</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behalf of the registrant and as principal financial and</w:t>
      </w:r>
    </w:p>
    <w:p>
      <w:pPr>
        <w:spacing w:after="0" w:line="23"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accounting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2017</w:t>
      </w:r>
    </w:p>
    <w:p>
      <w:pPr>
        <w:sectPr>
          <w:pgSz w:w="11900" w:h="16838" w:orient="portrait"/>
          <w:cols w:equalWidth="0" w:num="1">
            <w:col w:w="11260"/>
          </w:cols>
          <w:pgMar w:left="240" w:top="580" w:right="39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0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6"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00" w:hanging="320"/>
        <w:spacing w:after="0" w:line="26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320"/>
        <w:spacing w:after="0" w:line="334" w:lineRule="auto"/>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680" w:hanging="320"/>
        <w:spacing w:after="0" w:line="334" w:lineRule="auto"/>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2017</w:t>
      </w:r>
    </w:p>
    <w:p>
      <w:pPr>
        <w:spacing w:after="0" w:line="360"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Jeffrey P. Oldenkamp, certify that:</w:t>
      </w:r>
    </w:p>
    <w:p>
      <w:pPr>
        <w:spacing w:after="0" w:line="30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9"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0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644"/>
        <w:spacing w:after="0" w:line="317"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80" w:hanging="644"/>
        <w:spacing w:after="0" w:line="317"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6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2017</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Jeffrey P. Oldenkamp</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58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October 1, 2017,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1, 2017</w:t>
      </w:r>
    </w:p>
    <w:p>
      <w:pPr>
        <w:sectPr>
          <w:pgSz w:w="11900" w:h="16838" w:orient="portrait"/>
          <w:cols w:equalWidth="0" w:num="1">
            <w:col w:w="11420"/>
          </w:cols>
          <w:pgMar w:left="240" w:top="580"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October 1, 2017, as filed with the Securities and Exchange Commission on the date hereof (the Report), I, Jeffrey P. Oldenkamp, Chief Financial Officer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Jeffrey P. Oldenkamp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1,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2"/>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8" Type="http://schemas.openxmlformats.org/officeDocument/2006/relationships/image" Target="media/image19.png"/><Relationship Id="rId26" Type="http://schemas.openxmlformats.org/officeDocument/2006/relationships/hyperlink" Target="http://www.sec.gov/Archives/edgar/data/46250/000089710110001532/hawkins103608_ex3-1.htm" TargetMode="External"/><Relationship Id="rId27" Type="http://schemas.openxmlformats.org/officeDocument/2006/relationships/hyperlink" Target="http://www.sec.gov/Archives/edgar/data/46250/000089710109002205/hawkins095018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2019-12-29T03:40:00Z</dcterms:created>
  <dcterms:modified xsi:type="dcterms:W3CDTF">2019-12-29T03:40:00Z</dcterms:modified>
</cp:coreProperties>
</file>