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126.3425  39,639.8831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905.4307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7.437 shares acquired June 2025 - August 2025 pursuant to the Issuer's dividend reinvestment plan and 126 shares acquired on June 30, 2025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076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2025-11-05T16:01:08Z</dcterms:created>
  <dcterms:modified xsi:type="dcterms:W3CDTF">2025-11-05T16:01:08Z</dcterms:modified>
</cp:coreProperties>
</file>