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0"/>
        <w:spacing w:after="0"/>
        <w:tabs>
          <w:tab w:leader="none" w:pos="1140" w:val="left"/>
        </w:tabs>
        <w:rPr>
          <w:sz w:val="20"/>
          <w:szCs w:val="20"/>
          <w:color w:val="auto"/>
        </w:rPr>
      </w:pPr>
      <w:r>
        <w:rPr>
          <w:rFonts w:ascii="Arial" w:cs="Arial" w:eastAsia="Arial" w:hAnsi="Arial"/>
          <w:sz w:val="18"/>
          <w:szCs w:val="18"/>
          <w:color w:val="auto"/>
        </w:rPr>
        <w:t>SEC 1745</w:t>
      </w:r>
      <w:r>
        <w:rPr>
          <w:sz w:val="20"/>
          <w:szCs w:val="20"/>
          <w:color w:val="auto"/>
        </w:rPr>
        <w:tab/>
      </w:r>
      <w:r>
        <w:rPr>
          <w:rFonts w:ascii="Arial" w:cs="Arial" w:eastAsia="Arial" w:hAnsi="Arial"/>
          <w:sz w:val="15"/>
          <w:szCs w:val="15"/>
          <w:b w:val="1"/>
          <w:bCs w:val="1"/>
          <w:color w:val="auto"/>
        </w:rPr>
        <w:t>Potential persons who are to respond to the collection of information contained in this form are not required to respond unless the</w:t>
      </w:r>
    </w:p>
    <w:p>
      <w:pPr>
        <w:spacing w:after="0" w:line="25" w:lineRule="exact"/>
        <w:rPr>
          <w:sz w:val="24"/>
          <w:szCs w:val="24"/>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(02-02)</w:t>
      </w:r>
      <w:r>
        <w:rPr>
          <w:sz w:val="20"/>
          <w:szCs w:val="20"/>
          <w:color w:val="auto"/>
        </w:rPr>
        <w:tab/>
      </w:r>
      <w:r>
        <w:rPr>
          <w:rFonts w:ascii="Arial" w:cs="Arial" w:eastAsia="Arial" w:hAnsi="Arial"/>
          <w:sz w:val="16"/>
          <w:szCs w:val="16"/>
          <w:b w:val="1"/>
          <w:bCs w:val="1"/>
          <w:color w:val="auto"/>
        </w:rPr>
        <w:t>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57" w:orient="portrait"/>
          <w:cols w:equalWidth="0" w:num="1">
            <w:col w:w="11420"/>
          </w:cols>
          <w:pgMar w:left="240" w:top="463" w:right="239" w:bottom="0" w:gutter="0" w:footer="0" w:header="0"/>
        </w:sectPr>
      </w:pPr>
    </w:p>
    <w:p>
      <w:pPr>
        <w:spacing w:after="0" w:line="200" w:lineRule="exact"/>
        <w:rPr>
          <w:sz w:val="24"/>
          <w:szCs w:val="24"/>
          <w:color w:val="auto"/>
        </w:rPr>
      </w:pPr>
    </w:p>
    <w:p>
      <w:pPr>
        <w:spacing w:after="0" w:line="239" w:lineRule="exact"/>
        <w:rPr>
          <w:sz w:val="24"/>
          <w:szCs w:val="24"/>
          <w:color w:val="auto"/>
        </w:rPr>
      </w:pPr>
    </w:p>
    <w:p>
      <w:pPr>
        <w:jc w:val="center"/>
        <w:ind w:left="246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left="2460"/>
        <w:spacing w:after="0"/>
        <w:rPr>
          <w:sz w:val="20"/>
          <w:szCs w:val="20"/>
          <w:color w:val="auto"/>
        </w:rPr>
      </w:pPr>
      <w:r>
        <w:rPr>
          <w:rFonts w:ascii="Arial" w:cs="Arial" w:eastAsia="Arial" w:hAnsi="Arial"/>
          <w:sz w:val="32"/>
          <w:szCs w:val="32"/>
          <w:b w:val="1"/>
          <w:bCs w:val="1"/>
          <w:color w:val="auto"/>
        </w:rPr>
        <w:t>SECURITIES AND EXCHANGE COMMISSION</w:t>
      </w:r>
    </w:p>
    <w:p>
      <w:pPr>
        <w:spacing w:after="0" w:line="69" w:lineRule="exact"/>
        <w:rPr>
          <w:sz w:val="24"/>
          <w:szCs w:val="24"/>
          <w:color w:val="auto"/>
        </w:rPr>
      </w:pPr>
    </w:p>
    <w:p>
      <w:pPr>
        <w:jc w:val="center"/>
        <w:ind w:left="2460"/>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346" w:lineRule="exact"/>
        <w:rPr>
          <w:sz w:val="24"/>
          <w:szCs w:val="24"/>
          <w:color w:val="auto"/>
        </w:rPr>
      </w:pPr>
    </w:p>
    <w:p>
      <w:pPr>
        <w:jc w:val="center"/>
        <w:ind w:left="19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left="1980"/>
        <w:spacing w:after="0"/>
        <w:rPr>
          <w:sz w:val="20"/>
          <w:szCs w:val="20"/>
          <w:color w:val="auto"/>
        </w:rPr>
      </w:pPr>
      <w:r>
        <w:rPr>
          <w:rFonts w:ascii="Arial" w:cs="Arial" w:eastAsia="Arial" w:hAnsi="Arial"/>
          <w:sz w:val="18"/>
          <w:szCs w:val="18"/>
          <w:b w:val="1"/>
          <w:bCs w:val="1"/>
          <w:color w:val="auto"/>
        </w:rPr>
        <w:t>(Amendment No. 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ind w:right="380"/>
        <w:spacing w:after="0" w:line="282" w:lineRule="auto"/>
        <w:rPr>
          <w:sz w:val="20"/>
          <w:szCs w:val="20"/>
          <w:color w:val="auto"/>
        </w:rPr>
      </w:pPr>
      <w:r>
        <w:rPr>
          <w:rFonts w:ascii="Arial" w:cs="Arial" w:eastAsia="Arial" w:hAnsi="Arial"/>
          <w:sz w:val="17"/>
          <w:szCs w:val="17"/>
          <w:color w:val="auto"/>
        </w:rPr>
        <w:t>OMB APPROVAL OMB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-376555</wp:posOffset>
            </wp:positionV>
            <wp:extent cx="1140460" cy="12261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0460" cy="12261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3235-0145</w:t>
      </w:r>
    </w:p>
    <w:p>
      <w:pPr>
        <w:spacing w:after="0" w:line="9" w:lineRule="exact"/>
        <w:rPr>
          <w:sz w:val="24"/>
          <w:szCs w:val="24"/>
          <w:color w:val="auto"/>
        </w:rPr>
      </w:pPr>
    </w:p>
    <w:p>
      <w:pPr>
        <w:ind w:right="120"/>
        <w:spacing w:after="0" w:line="258" w:lineRule="auto"/>
        <w:rPr>
          <w:sz w:val="20"/>
          <w:szCs w:val="20"/>
          <w:color w:val="auto"/>
        </w:rPr>
      </w:pPr>
      <w:r>
        <w:rPr>
          <w:rFonts w:ascii="Arial" w:cs="Arial" w:eastAsia="Arial" w:hAnsi="Arial"/>
          <w:sz w:val="18"/>
          <w:szCs w:val="18"/>
          <w:color w:val="auto"/>
        </w:rPr>
        <w:t>Expires: December 31, 2005</w:t>
      </w:r>
    </w:p>
    <w:p>
      <w:pPr>
        <w:spacing w:after="0" w:line="1" w:lineRule="exact"/>
        <w:rPr>
          <w:sz w:val="24"/>
          <w:szCs w:val="24"/>
          <w:color w:val="auto"/>
        </w:rPr>
      </w:pPr>
    </w:p>
    <w:p>
      <w:pPr>
        <w:ind w:right="440"/>
        <w:spacing w:after="0" w:line="311" w:lineRule="auto"/>
        <w:rPr>
          <w:sz w:val="20"/>
          <w:szCs w:val="20"/>
          <w:color w:val="auto"/>
        </w:rPr>
      </w:pPr>
      <w:r>
        <w:rPr>
          <w:rFonts w:ascii="Arial" w:cs="Arial" w:eastAsia="Arial" w:hAnsi="Arial"/>
          <w:sz w:val="16"/>
          <w:szCs w:val="16"/>
          <w:color w:val="auto"/>
        </w:rPr>
        <w:t>Estimated average burden hours per response. . 11</w:t>
      </w:r>
    </w:p>
    <w:p>
      <w:pPr>
        <w:spacing w:after="0" w:line="783" w:lineRule="exact"/>
        <w:rPr>
          <w:sz w:val="24"/>
          <w:szCs w:val="24"/>
          <w:color w:val="auto"/>
        </w:rPr>
      </w:pPr>
    </w:p>
    <w:p>
      <w:pPr>
        <w:sectPr>
          <w:pgSz w:w="11900" w:h="16857" w:orient="portrait"/>
          <w:cols w:equalWidth="0" w:num="2">
            <w:col w:w="9440" w:space="200"/>
            <w:col w:w="1780"/>
          </w:cols>
          <w:pgMar w:left="240" w:top="463" w:right="239" w:bottom="0" w:gutter="0" w:footer="0" w:header="0"/>
          <w:type w:val="continuous"/>
        </w:sect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$.05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420261 10 9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2002</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380"/>
        <w:spacing w:after="0"/>
        <w:tabs>
          <w:tab w:leader="none" w:pos="1120" w:val="left"/>
        </w:tabs>
        <w:rPr>
          <w:sz w:val="20"/>
          <w:szCs w:val="20"/>
          <w:color w:val="auto"/>
        </w:rPr>
      </w:pPr>
      <w:r>
        <w:rPr>
          <w:rFonts w:ascii="Arial" w:cs="Arial" w:eastAsia="Arial" w:hAnsi="Arial"/>
          <w:sz w:val="18"/>
          <w:szCs w:val="18"/>
          <w:color w:val="auto"/>
        </w:rPr>
        <w:t>[ X ]</w:t>
      </w:r>
      <w:r>
        <w:rPr>
          <w:sz w:val="20"/>
          <w:szCs w:val="20"/>
          <w:color w:val="auto"/>
        </w:rPr>
        <w:tab/>
      </w:r>
      <w:r>
        <w:rPr>
          <w:rFonts w:ascii="Arial" w:cs="Arial" w:eastAsia="Arial" w:hAnsi="Arial"/>
          <w:sz w:val="16"/>
          <w:szCs w:val="16"/>
          <w:color w:val="auto"/>
        </w:rPr>
        <w:t>Rule 13d-1(b)</w:t>
      </w:r>
    </w:p>
    <w:p>
      <w:pPr>
        <w:spacing w:after="0" w:line="117" w:lineRule="exact"/>
        <w:rPr>
          <w:sz w:val="24"/>
          <w:szCs w:val="24"/>
          <w:color w:val="auto"/>
        </w:rPr>
      </w:pPr>
    </w:p>
    <w:p>
      <w:pPr>
        <w:ind w:left="660" w:hanging="284"/>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13d-1(c)</w:t>
      </w:r>
    </w:p>
    <w:p>
      <w:pPr>
        <w:spacing w:after="0" w:line="117" w:lineRule="exact"/>
        <w:rPr>
          <w:sz w:val="24"/>
          <w:szCs w:val="24"/>
          <w:color w:val="auto"/>
        </w:rPr>
      </w:pPr>
    </w:p>
    <w:p>
      <w:pPr>
        <w:ind w:left="660" w:hanging="28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13d-1(d)</w:t>
      </w:r>
    </w:p>
    <w:p>
      <w:pPr>
        <w:spacing w:after="0" w:line="279" w:lineRule="exact"/>
        <w:rPr>
          <w:rFonts w:ascii="Arial" w:cs="Arial" w:eastAsia="Arial" w:hAnsi="Arial"/>
          <w:sz w:val="18"/>
          <w:szCs w:val="18"/>
          <w:color w:val="auto"/>
        </w:rPr>
      </w:pPr>
    </w:p>
    <w:p>
      <w:pPr>
        <w:ind w:left="660" w:right="160"/>
        <w:spacing w:after="0" w:line="308" w:lineRule="auto"/>
        <w:rPr>
          <w:rFonts w:ascii="Arial" w:cs="Arial" w:eastAsia="Arial" w:hAnsi="Arial"/>
          <w:sz w:val="18"/>
          <w:szCs w:val="18"/>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Arial" w:cs="Arial" w:eastAsia="Arial" w:hAnsi="Arial"/>
          <w:sz w:val="18"/>
          <w:szCs w:val="18"/>
          <w:color w:val="auto"/>
        </w:rPr>
      </w:pPr>
    </w:p>
    <w:p>
      <w:pPr>
        <w:ind w:left="660" w:right="280"/>
        <w:spacing w:after="0" w:line="264" w:lineRule="auto"/>
        <w:rPr>
          <w:rFonts w:ascii="Arial" w:cs="Arial" w:eastAsia="Arial" w:hAnsi="Arial"/>
          <w:sz w:val="18"/>
          <w:szCs w:val="18"/>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CUSIP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3760" w:hanging="620"/>
        <w:spacing w:after="0" w:line="261" w:lineRule="auto"/>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I.R.S. Identification Nos. of above persons (entities only) </w:t>
      </w:r>
      <w:r>
        <w:rPr>
          <w:rFonts w:ascii="Arial" w:cs="Arial" w:eastAsia="Arial" w:hAnsi="Arial"/>
          <w:sz w:val="18"/>
          <w:szCs w:val="18"/>
          <w:color w:val="auto"/>
        </w:rPr>
        <w:t>Hawkins, Inc. Employee Stock Ownership Plan and Trust</w:t>
      </w:r>
    </w:p>
    <w:p>
      <w:pPr>
        <w:ind w:left="1300" w:hanging="239"/>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41-0014205</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21" w:lineRule="exact"/>
        <w:rPr>
          <w:rFonts w:ascii="Arial" w:cs="Arial" w:eastAsia="Arial" w:hAnsi="Arial"/>
          <w:sz w:val="18"/>
          <w:szCs w:val="18"/>
          <w:b w:val="1"/>
          <w:bCs w:val="1"/>
          <w:color w:val="auto"/>
        </w:rPr>
      </w:pPr>
    </w:p>
    <w:p>
      <w:pPr>
        <w:ind w:left="2120" w:hanging="1059"/>
        <w:spacing w:after="0"/>
        <w:tabs>
          <w:tab w:leader="none" w:pos="212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130" w:lineRule="exact"/>
        <w:rPr>
          <w:rFonts w:ascii="Arial" w:cs="Arial" w:eastAsia="Arial" w:hAnsi="Arial"/>
          <w:sz w:val="18"/>
          <w:szCs w:val="18"/>
          <w:b w:val="1"/>
          <w:bCs w:val="1"/>
          <w:color w:val="auto"/>
        </w:rPr>
      </w:pPr>
    </w:p>
    <w:p>
      <w:pPr>
        <w:ind w:left="2120" w:hanging="1059"/>
        <w:spacing w:after="0"/>
        <w:tabs>
          <w:tab w:leader="none" w:pos="212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200" w:lineRule="exact"/>
        <w:rPr>
          <w:rFonts w:ascii="Arial" w:cs="Arial" w:eastAsia="Arial" w:hAnsi="Arial"/>
          <w:sz w:val="18"/>
          <w:szCs w:val="18"/>
          <w:b w:val="1"/>
          <w:bCs w:val="1"/>
          <w:color w:val="auto"/>
        </w:rPr>
      </w:pPr>
    </w:p>
    <w:p>
      <w:pPr>
        <w:spacing w:after="0" w:line="250" w:lineRule="exact"/>
        <w:rPr>
          <w:rFonts w:ascii="Arial" w:cs="Arial" w:eastAsia="Arial" w:hAnsi="Arial"/>
          <w:sz w:val="18"/>
          <w:szCs w:val="18"/>
          <w:b w:val="1"/>
          <w:bCs w:val="1"/>
          <w:color w:val="auto"/>
        </w:rPr>
      </w:pPr>
    </w:p>
    <w:p>
      <w:pPr>
        <w:ind w:left="1060" w:hanging="620"/>
        <w:spacing w:after="0"/>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1060" w:right="7560" w:hanging="620"/>
        <w:spacing w:after="0" w:line="282" w:lineRule="auto"/>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-1805940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-1179830</wp:posOffset>
            </wp:positionV>
            <wp:extent cx="59347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-965200</wp:posOffset>
            </wp:positionV>
            <wp:extent cx="5934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-545465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right"/>
              <w:ind w:right="630"/>
              <w:spacing w:after="0"/>
              <w:rPr>
                <w:sz w:val="20"/>
                <w:szCs w:val="20"/>
                <w:color w:val="auto"/>
              </w:rPr>
            </w:pPr>
            <w:r>
              <w:rPr>
                <w:rFonts w:ascii="Arial" w:cs="Arial" w:eastAsia="Arial" w:hAnsi="Arial"/>
                <w:sz w:val="18"/>
                <w:szCs w:val="18"/>
                <w:b w:val="1"/>
                <w:bCs w:val="1"/>
                <w:color w:val="auto"/>
              </w:rPr>
              <w:t>5.</w:t>
            </w:r>
          </w:p>
        </w:tc>
        <w:tc>
          <w:tcPr>
            <w:tcW w:w="8900" w:type="dxa"/>
            <w:vAlign w:val="bottom"/>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1200" w:type="dxa"/>
            <w:vAlign w:val="bottom"/>
          </w:tcPr>
          <w:p>
            <w:pPr>
              <w:spacing w:after="0"/>
              <w:rPr>
                <w:sz w:val="18"/>
                <w:szCs w:val="18"/>
                <w:color w:val="auto"/>
              </w:rPr>
            </w:pPr>
          </w:p>
        </w:tc>
        <w:tc>
          <w:tcPr>
            <w:tcW w:w="89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2"/>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Pr>
          <w:p>
            <w:pPr>
              <w:spacing w:after="0"/>
              <w:rPr>
                <w:sz w:val="6"/>
                <w:szCs w:val="6"/>
                <w:color w:val="auto"/>
              </w:rPr>
            </w:pPr>
          </w:p>
        </w:tc>
        <w:tc>
          <w:tcPr>
            <w:tcW w:w="8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26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20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200" w:type="dxa"/>
            <w:vAlign w:val="bottom"/>
          </w:tcPr>
          <w:p>
            <w:pPr>
              <w:jc w:val="right"/>
              <w:ind w:right="630"/>
              <w:spacing w:after="0"/>
              <w:rPr>
                <w:sz w:val="20"/>
                <w:szCs w:val="20"/>
                <w:color w:val="auto"/>
              </w:rPr>
            </w:pPr>
            <w:r>
              <w:rPr>
                <w:rFonts w:ascii="Arial" w:cs="Arial" w:eastAsia="Arial" w:hAnsi="Arial"/>
                <w:sz w:val="18"/>
                <w:szCs w:val="18"/>
                <w:b w:val="1"/>
                <w:bCs w:val="1"/>
                <w:color w:val="auto"/>
              </w:rPr>
              <w:t>6.</w:t>
            </w:r>
          </w:p>
        </w:tc>
        <w:tc>
          <w:tcPr>
            <w:tcW w:w="89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900" w:type="dxa"/>
            <w:vAlign w:val="bottom"/>
          </w:tcPr>
          <w:p>
            <w:pPr>
              <w:ind w:left="60"/>
              <w:spacing w:after="0"/>
              <w:rPr>
                <w:sz w:val="20"/>
                <w:szCs w:val="20"/>
                <w:color w:val="auto"/>
              </w:rPr>
            </w:pPr>
            <w:r>
              <w:rPr>
                <w:rFonts w:ascii="Arial" w:cs="Arial" w:eastAsia="Arial" w:hAnsi="Arial"/>
                <w:sz w:val="18"/>
                <w:szCs w:val="18"/>
                <w:color w:val="auto"/>
              </w:rPr>
              <w:t>1,943,950</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463" w:right="239" w:bottom="0" w:gutter="0" w:footer="0" w:header="0"/>
          <w:type w:val="continuous"/>
        </w:sectPr>
      </w:pPr>
    </w:p>
    <w:bookmarkStart w:id="1" w:name="page2"/>
    <w:bookmarkEnd w:id="1"/>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118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11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7.</w:t>
            </w:r>
          </w:p>
        </w:tc>
        <w:tc>
          <w:tcPr>
            <w:tcW w:w="89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94"/>
        </w:trPr>
        <w:tc>
          <w:tcPr>
            <w:tcW w:w="1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9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2580" w:right="6880" w:hanging="911"/>
        <w:spacing w:after="0" w:line="282" w:lineRule="auto"/>
        <w:tabs>
          <w:tab w:leader="none" w:pos="258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1,943,950</w:t>
      </w:r>
    </w:p>
    <w:p>
      <w:pPr>
        <w:spacing w:after="0" w:line="391" w:lineRule="exact"/>
        <w:rPr>
          <w:rFonts w:ascii="Arial" w:cs="Arial" w:eastAsia="Arial" w:hAnsi="Arial"/>
          <w:sz w:val="18"/>
          <w:szCs w:val="18"/>
          <w:b w:val="1"/>
          <w:bCs w:val="1"/>
          <w:color w:val="auto"/>
        </w:rPr>
      </w:pPr>
    </w:p>
    <w:p>
      <w:pPr>
        <w:ind w:left="1060" w:right="5280" w:hanging="620"/>
        <w:spacing w:after="0" w:line="282" w:lineRule="auto"/>
        <w:tabs>
          <w:tab w:leader="none" w:pos="10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1,943,950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-545465</wp:posOffset>
            </wp:positionV>
            <wp:extent cx="5651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150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1" w:lineRule="exact"/>
        <w:rPr>
          <w:sz w:val="20"/>
          <w:szCs w:val="20"/>
          <w:color w:val="auto"/>
        </w:rPr>
      </w:pPr>
    </w:p>
    <w:p>
      <w:pPr>
        <w:ind w:left="440"/>
        <w:spacing w:after="0"/>
        <w:tabs>
          <w:tab w:leader="none" w:pos="1040" w:val="left"/>
          <w:tab w:leader="none" w:pos="802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7"/>
          <w:szCs w:val="17"/>
          <w:b w:val="1"/>
          <w:bCs w:val="1"/>
          <w:color w:val="auto"/>
        </w:rPr>
        <w:t xml:space="preserve">Check if the Aggregate Amount in Row (9) Excludes Certain Shares (See Instructions) </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189230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60" w:right="6360" w:hanging="620"/>
        <w:spacing w:after="0" w:line="282" w:lineRule="auto"/>
        <w:tabs>
          <w:tab w:leader="none" w:pos="10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19%</w:t>
      </w:r>
    </w:p>
    <w:p>
      <w:pPr>
        <w:spacing w:after="0" w:line="391" w:lineRule="exact"/>
        <w:rPr>
          <w:rFonts w:ascii="Arial" w:cs="Arial" w:eastAsia="Arial" w:hAnsi="Arial"/>
          <w:sz w:val="18"/>
          <w:szCs w:val="18"/>
          <w:b w:val="1"/>
          <w:bCs w:val="1"/>
          <w:color w:val="auto"/>
        </w:rPr>
      </w:pPr>
    </w:p>
    <w:p>
      <w:pPr>
        <w:ind w:left="1060" w:hanging="620"/>
        <w:spacing w:after="0"/>
        <w:tabs>
          <w:tab w:leader="none" w:pos="10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060"/>
        <w:spacing w:after="0"/>
        <w:rPr>
          <w:rFonts w:ascii="Arial" w:cs="Arial" w:eastAsia="Arial" w:hAnsi="Arial"/>
          <w:sz w:val="18"/>
          <w:szCs w:val="18"/>
          <w:b w:val="1"/>
          <w:bCs w:val="1"/>
          <w:color w:val="auto"/>
        </w:rPr>
      </w:pPr>
      <w:r>
        <w:rPr>
          <w:rFonts w:ascii="Arial" w:cs="Arial" w:eastAsia="Arial" w:hAnsi="Arial"/>
          <w:sz w:val="18"/>
          <w:szCs w:val="18"/>
          <w:color w:val="auto"/>
        </w:rPr>
        <w:t>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-516890</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w:t>
      </w:r>
    </w:p>
    <w:p>
      <w:pPr>
        <w:spacing w:after="0" w:line="229" w:lineRule="exact"/>
        <w:rPr>
          <w:sz w:val="20"/>
          <w:szCs w:val="20"/>
          <w:color w:val="auto"/>
        </w:rPr>
      </w:pPr>
    </w:p>
    <w:p>
      <w:pPr>
        <w:ind w:right="20" w:firstLine="656"/>
        <w:spacing w:after="0" w:line="257" w:lineRule="auto"/>
        <w:tabs>
          <w:tab w:leader="none" w:pos="98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Trustees of the Hawkins, Inc. Employee Stock Ownership Plan and Trust are Messrs. John R. Hawkins, Kurt R. Norman and Marvin E. Dee. Messrs. Hawkins and Norman are both directors and officers of the Issuer and Mr. Dee is an officer but not a director. Apart from the plan holdings in this plan and the individual interests of each trustee under such plan as of December 31, 2002, these individuals had personal holdings of the Issuer’s common stock as set forth below. Unless otherwise noted, all shares shown are held by individuals possessing sole voting and dispositive power with respect to such shares.</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3220" w:type="dxa"/>
            <w:vAlign w:val="bottom"/>
            <w:gridSpan w:val="3"/>
            <w:vMerge w:val="continue"/>
          </w:tcPr>
          <w:p>
            <w:pPr>
              <w:spacing w:after="0"/>
              <w:rPr>
                <w:sz w:val="14"/>
                <w:szCs w:val="14"/>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17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240" w:type="dxa"/>
            <w:vAlign w:val="bottom"/>
            <w:vMerge w:val="continue"/>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58,407(1)</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Kurt R. Norman</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18,238(2)</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E. Dee</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1,259</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56"/>
        <w:spacing w:after="0" w:line="291" w:lineRule="auto"/>
        <w:tabs>
          <w:tab w:leader="none" w:pos="993"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Hawkins, Inc. Employee Stock Ownership Plan and Trust (the “ESOP”) currently holds 1,943,950 shares of the Issuer’s common stock, representing 19% of the total outstanding shares. The ESOP allows participants to direct the voting of shares allocated to their accounts, but since the Trustees may vote shares with respect to which no directions are received, the Trustees may be deemed to share voting power as to all of these shares. In addition, certain Trustees, as individual participants in the ESOP, have the power to direct the voting of the following number of shares allocated to their personal accounts as of December 31, 2002. John R. Hawkins, 124,596 shares, Kurt R. Norman, 30,601 shares, and Marvin E. Dee, 2,888 shares. The Trustees also have dispositive power with respect to all 1,943,950 shares, provided that this power is limited by a requirement that the assets of the ESOP Trust must consist primarily of shares of the Issuer’s stock. Each Trustee disclaims beneficial ownership of the shares attributed to him solely as a Trustee of the ESOP.</w:t>
      </w:r>
    </w:p>
    <w:p>
      <w:pPr>
        <w:spacing w:after="0" w:line="356" w:lineRule="exact"/>
        <w:rPr>
          <w:rFonts w:ascii="Arial" w:cs="Arial" w:eastAsia="Arial" w:hAnsi="Arial"/>
          <w:sz w:val="16"/>
          <w:szCs w:val="16"/>
          <w:color w:val="auto"/>
        </w:rPr>
      </w:pPr>
    </w:p>
    <w:p>
      <w:pPr>
        <w:ind w:right="320" w:firstLine="8"/>
        <w:spacing w:after="0" w:line="258"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Hawkins has sole voting and dispositive power over all of these 58,407 shares, except 57,747 shares that Mr. Hawkins holds jointly with his wife as to which he shares voting and dispositive power.</w:t>
      </w:r>
    </w:p>
    <w:p>
      <w:pPr>
        <w:spacing w:after="0" w:line="1" w:lineRule="exact"/>
        <w:rPr>
          <w:rFonts w:ascii="Arial" w:cs="Arial" w:eastAsia="Arial" w:hAnsi="Arial"/>
          <w:sz w:val="18"/>
          <w:szCs w:val="18"/>
          <w:color w:val="auto"/>
        </w:rPr>
      </w:pPr>
    </w:p>
    <w:p>
      <w:pPr>
        <w:ind w:right="80" w:firstLine="8"/>
        <w:spacing w:after="0" w:line="261"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18,238 shares include 1,428 shares held by Mr. Norman’s wife as custodian for their children, as to which he disclaims beneficial ownership, and 1,810 shares that Mr. Norman holds jointly with his wife as to which he shares voting and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117" w:lineRule="exact"/>
        <w:rPr>
          <w:sz w:val="20"/>
          <w:szCs w:val="20"/>
          <w:color w:val="auto"/>
        </w:rPr>
      </w:pPr>
    </w:p>
    <w:p>
      <w:pPr>
        <w:ind w:left="1500" w:right="8760" w:hanging="506"/>
        <w:spacing w:after="0" w:line="347" w:lineRule="auto"/>
        <w:tabs>
          <w:tab w:leader="none" w:pos="15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Hawkins, Inc.</w:t>
      </w:r>
    </w:p>
    <w:p>
      <w:pPr>
        <w:spacing w:after="0" w:line="8" w:lineRule="exact"/>
        <w:rPr>
          <w:rFonts w:ascii="Arial" w:cs="Arial" w:eastAsia="Arial" w:hAnsi="Arial"/>
          <w:sz w:val="16"/>
          <w:szCs w:val="16"/>
          <w:b w:val="1"/>
          <w:bCs w:val="1"/>
          <w:color w:val="auto"/>
        </w:rPr>
      </w:pPr>
    </w:p>
    <w:p>
      <w:pPr>
        <w:ind w:left="1500" w:right="6340" w:hanging="506"/>
        <w:spacing w:after="0" w:line="261" w:lineRule="auto"/>
        <w:tabs>
          <w:tab w:leader="none" w:pos="1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3100 East Hennepin Avenue</w:t>
      </w: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Minneapolis, MN 55413</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17" w:lineRule="exact"/>
        <w:rPr>
          <w:sz w:val="20"/>
          <w:szCs w:val="20"/>
          <w:color w:val="auto"/>
        </w:rPr>
      </w:pPr>
    </w:p>
    <w:p>
      <w:pPr>
        <w:ind w:left="1500" w:hanging="506"/>
        <w:spacing w:after="0"/>
        <w:tabs>
          <w:tab w:leader="none" w:pos="1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7"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Hawkins, Inc. Employee Stock Ownership Plan and Trust</w:t>
      </w:r>
    </w:p>
    <w:p>
      <w:pPr>
        <w:spacing w:after="0" w:line="98" w:lineRule="exact"/>
        <w:rPr>
          <w:rFonts w:ascii="Arial" w:cs="Arial" w:eastAsia="Arial" w:hAnsi="Arial"/>
          <w:sz w:val="18"/>
          <w:szCs w:val="18"/>
          <w:b w:val="1"/>
          <w:bCs w:val="1"/>
          <w:color w:val="auto"/>
        </w:rPr>
      </w:pPr>
    </w:p>
    <w:p>
      <w:pPr>
        <w:ind w:left="1500" w:hanging="506"/>
        <w:spacing w:after="0"/>
        <w:tabs>
          <w:tab w:leader="none" w:pos="1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ectPr>
          <w:pgSz w:w="11900" w:h="16870" w:orient="portrait"/>
          <w:cols w:equalWidth="0" w:num="1">
            <w:col w:w="11420"/>
          </w:cols>
          <w:pgMar w:left="240" w:top="121" w:right="239" w:bottom="0" w:gutter="0" w:footer="0" w:header="0"/>
        </w:sectPr>
      </w:pPr>
    </w:p>
    <w:bookmarkStart w:id="2" w:name="page3"/>
    <w:bookmarkEnd w:id="2"/>
    <w:p>
      <w:pPr>
        <w:ind w:left="1500"/>
        <w:spacing w:after="0"/>
        <w:rPr>
          <w:sz w:val="20"/>
          <w:szCs w:val="20"/>
          <w:color w:val="auto"/>
        </w:rPr>
      </w:pPr>
      <w:r>
        <w:rPr>
          <w:rFonts w:ascii="Arial" w:cs="Arial" w:eastAsia="Arial" w:hAnsi="Arial"/>
          <w:sz w:val="18"/>
          <w:szCs w:val="18"/>
          <w:color w:val="auto"/>
        </w:rPr>
        <w:t>Residence</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Hawkins, Inc.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3100 East Hennepin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Minneapolis, MN 55413</w:t>
      </w:r>
    </w:p>
    <w:p>
      <w:pPr>
        <w:spacing w:after="0" w:line="99" w:lineRule="exact"/>
        <w:rPr>
          <w:sz w:val="20"/>
          <w:szCs w:val="20"/>
          <w:color w:val="auto"/>
        </w:rPr>
      </w:pPr>
    </w:p>
    <w:p>
      <w:pPr>
        <w:ind w:left="1500" w:right="9080" w:hanging="506"/>
        <w:spacing w:after="0" w:line="347" w:lineRule="auto"/>
        <w:tabs>
          <w:tab w:leader="none" w:pos="150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Minnesota</w:t>
      </w:r>
    </w:p>
    <w:p>
      <w:pPr>
        <w:spacing w:after="0" w:line="8" w:lineRule="exact"/>
        <w:rPr>
          <w:rFonts w:ascii="Arial" w:cs="Arial" w:eastAsia="Arial" w:hAnsi="Arial"/>
          <w:sz w:val="16"/>
          <w:szCs w:val="16"/>
          <w:b w:val="1"/>
          <w:bCs w:val="1"/>
          <w:color w:val="auto"/>
        </w:rPr>
      </w:pPr>
    </w:p>
    <w:p>
      <w:pPr>
        <w:ind w:left="1500" w:hanging="506"/>
        <w:spacing w:after="0"/>
        <w:tabs>
          <w:tab w:leader="none" w:pos="1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7"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Common Stock, Par Value $.05 per share</w:t>
      </w:r>
    </w:p>
    <w:p>
      <w:pPr>
        <w:spacing w:after="0" w:line="98" w:lineRule="exact"/>
        <w:rPr>
          <w:rFonts w:ascii="Arial" w:cs="Arial" w:eastAsia="Arial" w:hAnsi="Arial"/>
          <w:sz w:val="18"/>
          <w:szCs w:val="18"/>
          <w:b w:val="1"/>
          <w:bCs w:val="1"/>
          <w:color w:val="auto"/>
        </w:rPr>
      </w:pPr>
    </w:p>
    <w:p>
      <w:pPr>
        <w:ind w:left="1500" w:right="8720" w:hanging="506"/>
        <w:spacing w:after="0" w:line="313" w:lineRule="auto"/>
        <w:tabs>
          <w:tab w:leader="none" w:pos="15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420261 10 9</w:t>
      </w: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660" w:type="dxa"/>
            <w:vAlign w:val="bottom"/>
            <w:gridSpan w:val="4"/>
          </w:tcPr>
          <w:p>
            <w:pPr>
              <w:ind w:left="200"/>
              <w:spacing w:after="0"/>
              <w:rPr>
                <w:sz w:val="20"/>
                <w:szCs w:val="20"/>
                <w:color w:val="auto"/>
              </w:rPr>
            </w:pPr>
            <w:r>
              <w:rPr>
                <w:rFonts w:ascii="Arial" w:cs="Arial" w:eastAsia="Arial" w:hAnsi="Arial"/>
                <w:sz w:val="18"/>
                <w:szCs w:val="18"/>
                <w:b w:val="1"/>
                <w:bCs w:val="1"/>
                <w:color w:val="auto"/>
                <w:w w:val="89"/>
              </w:rPr>
              <w:t>If this statement is filed pursuant to §§240.13d-1(b) or 240.13d-2(b) or (c), check whether the person filing is a:</w:t>
            </w:r>
          </w:p>
        </w:tc>
      </w:tr>
      <w:tr>
        <w:trPr>
          <w:trHeight w:val="324"/>
        </w:trPr>
        <w:tc>
          <w:tcPr>
            <w:tcW w:w="74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Arial" w:cs="Arial" w:eastAsia="Arial" w:hAnsi="Arial"/>
                <w:sz w:val="18"/>
                <w:szCs w:val="18"/>
                <w:b w:val="1"/>
                <w:bCs w:val="1"/>
                <w:color w:val="auto"/>
              </w:rPr>
              <w:t>(a)</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500" w:type="dxa"/>
            <w:vAlign w:val="bottom"/>
          </w:tcPr>
          <w:p>
            <w:pPr>
              <w:ind w:left="200"/>
              <w:spacing w:after="0"/>
              <w:rPr>
                <w:sz w:val="20"/>
                <w:szCs w:val="20"/>
                <w:color w:val="auto"/>
              </w:rPr>
            </w:pPr>
            <w:r>
              <w:rPr>
                <w:rFonts w:ascii="Arial" w:cs="Arial" w:eastAsia="Arial" w:hAnsi="Arial"/>
                <w:sz w:val="18"/>
                <w:szCs w:val="18"/>
                <w:b w:val="1"/>
                <w:bCs w:val="1"/>
                <w:color w:val="auto"/>
              </w:rPr>
              <w:t>Broker or dealer registered under section 15 of the Act.</w:t>
            </w:r>
          </w:p>
        </w:tc>
      </w:tr>
      <w:tr>
        <w:trPr>
          <w:trHeight w:val="324"/>
        </w:trPr>
        <w:tc>
          <w:tcPr>
            <w:tcW w:w="74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Arial" w:cs="Arial" w:eastAsia="Arial" w:hAnsi="Arial"/>
                <w:sz w:val="18"/>
                <w:szCs w:val="18"/>
                <w:b w:val="1"/>
                <w:bCs w:val="1"/>
                <w:color w:val="auto"/>
              </w:rPr>
              <w:t>(b)</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500" w:type="dxa"/>
            <w:vAlign w:val="bottom"/>
          </w:tcPr>
          <w:p>
            <w:pPr>
              <w:ind w:left="200"/>
              <w:spacing w:after="0"/>
              <w:rPr>
                <w:sz w:val="20"/>
                <w:szCs w:val="20"/>
                <w:color w:val="auto"/>
              </w:rPr>
            </w:pPr>
            <w:r>
              <w:rPr>
                <w:rFonts w:ascii="Arial" w:cs="Arial" w:eastAsia="Arial" w:hAnsi="Arial"/>
                <w:sz w:val="18"/>
                <w:szCs w:val="18"/>
                <w:b w:val="1"/>
                <w:bCs w:val="1"/>
                <w:color w:val="auto"/>
              </w:rPr>
              <w:t>Bank as defined in section 3(a)(6) of the Act.</w:t>
            </w:r>
          </w:p>
        </w:tc>
      </w:tr>
      <w:tr>
        <w:trPr>
          <w:trHeight w:val="324"/>
        </w:trPr>
        <w:tc>
          <w:tcPr>
            <w:tcW w:w="74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Arial" w:cs="Arial" w:eastAsia="Arial" w:hAnsi="Arial"/>
                <w:sz w:val="18"/>
                <w:szCs w:val="18"/>
                <w:b w:val="1"/>
                <w:bCs w:val="1"/>
                <w:color w:val="auto"/>
              </w:rPr>
              <w:t>(c)</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500" w:type="dxa"/>
            <w:vAlign w:val="bottom"/>
          </w:tcPr>
          <w:p>
            <w:pPr>
              <w:ind w:left="200"/>
              <w:spacing w:after="0"/>
              <w:rPr>
                <w:sz w:val="20"/>
                <w:szCs w:val="20"/>
                <w:color w:val="auto"/>
              </w:rPr>
            </w:pPr>
            <w:r>
              <w:rPr>
                <w:rFonts w:ascii="Arial" w:cs="Arial" w:eastAsia="Arial" w:hAnsi="Arial"/>
                <w:sz w:val="18"/>
                <w:szCs w:val="18"/>
                <w:b w:val="1"/>
                <w:bCs w:val="1"/>
                <w:color w:val="auto"/>
              </w:rPr>
              <w:t>Insurance company as defined in section 3(a)(19) of the Act.</w:t>
            </w:r>
          </w:p>
        </w:tc>
      </w:tr>
      <w:tr>
        <w:trPr>
          <w:trHeight w:val="324"/>
        </w:trPr>
        <w:tc>
          <w:tcPr>
            <w:tcW w:w="74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Arial" w:cs="Arial" w:eastAsia="Arial" w:hAnsi="Arial"/>
                <w:sz w:val="18"/>
                <w:szCs w:val="18"/>
                <w:b w:val="1"/>
                <w:bCs w:val="1"/>
                <w:color w:val="auto"/>
              </w:rPr>
              <w:t>(d)</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500" w:type="dxa"/>
            <w:vAlign w:val="bottom"/>
          </w:tcPr>
          <w:p>
            <w:pPr>
              <w:ind w:left="200"/>
              <w:spacing w:after="0"/>
              <w:rPr>
                <w:sz w:val="20"/>
                <w:szCs w:val="20"/>
                <w:color w:val="auto"/>
              </w:rPr>
            </w:pPr>
            <w:r>
              <w:rPr>
                <w:rFonts w:ascii="Arial" w:cs="Arial" w:eastAsia="Arial" w:hAnsi="Arial"/>
                <w:sz w:val="18"/>
                <w:szCs w:val="18"/>
                <w:b w:val="1"/>
                <w:bCs w:val="1"/>
                <w:color w:val="auto"/>
                <w:w w:val="96"/>
              </w:rPr>
              <w:t>Investment company registered under section 8 of the Investment Company Act of 1940.</w:t>
            </w:r>
          </w:p>
        </w:tc>
      </w:tr>
      <w:tr>
        <w:trPr>
          <w:trHeight w:val="324"/>
        </w:trPr>
        <w:tc>
          <w:tcPr>
            <w:tcW w:w="74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Arial" w:cs="Arial" w:eastAsia="Arial" w:hAnsi="Arial"/>
                <w:sz w:val="18"/>
                <w:szCs w:val="18"/>
                <w:b w:val="1"/>
                <w:bCs w:val="1"/>
                <w:color w:val="auto"/>
              </w:rPr>
              <w:t>(e)</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500" w:type="dxa"/>
            <w:vAlign w:val="bottom"/>
          </w:tcPr>
          <w:p>
            <w:pPr>
              <w:ind w:left="200"/>
              <w:spacing w:after="0"/>
              <w:rPr>
                <w:sz w:val="20"/>
                <w:szCs w:val="20"/>
                <w:color w:val="auto"/>
              </w:rPr>
            </w:pPr>
            <w:r>
              <w:rPr>
                <w:rFonts w:ascii="Arial" w:cs="Arial" w:eastAsia="Arial" w:hAnsi="Arial"/>
                <w:sz w:val="18"/>
                <w:szCs w:val="18"/>
                <w:b w:val="1"/>
                <w:bCs w:val="1"/>
                <w:color w:val="auto"/>
              </w:rPr>
              <w:t>An investment adviser in accordance with §240.13d-1(b)(1)(ii)(E).</w:t>
            </w:r>
          </w:p>
        </w:tc>
      </w:tr>
    </w:tbl>
    <w:p>
      <w:pPr>
        <w:spacing w:after="0" w:line="90" w:lineRule="exact"/>
        <w:rPr>
          <w:sz w:val="20"/>
          <w:szCs w:val="20"/>
          <w:color w:val="auto"/>
        </w:rPr>
      </w:pPr>
    </w:p>
    <w:p>
      <w:pPr>
        <w:ind w:left="1500" w:hanging="506"/>
        <w:spacing w:after="0"/>
        <w:tabs>
          <w:tab w:leader="none" w:pos="1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[X]</w:t>
      </w:r>
      <w:r>
        <w:rPr>
          <w:rFonts w:ascii="Arial" w:cs="Arial" w:eastAsia="Arial" w:hAnsi="Arial"/>
          <w:sz w:val="16"/>
          <w:szCs w:val="16"/>
          <w:b w:val="1"/>
          <w:bCs w:val="1"/>
          <w:color w:val="auto"/>
        </w:rPr>
        <w:t>An employee benefit plan or endowment fund in accordance with §240.13d-1(b)(1)(ii)(F).</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560" w:type="dxa"/>
            <w:vAlign w:val="bottom"/>
          </w:tcPr>
          <w:p>
            <w:pPr>
              <w:ind w:left="200"/>
              <w:spacing w:after="0"/>
              <w:rPr>
                <w:sz w:val="20"/>
                <w:szCs w:val="20"/>
                <w:color w:val="auto"/>
              </w:rPr>
            </w:pPr>
            <w:r>
              <w:rPr>
                <w:rFonts w:ascii="Arial" w:cs="Arial" w:eastAsia="Arial" w:hAnsi="Arial"/>
                <w:sz w:val="18"/>
                <w:szCs w:val="18"/>
                <w:b w:val="1"/>
                <w:bCs w:val="1"/>
                <w:color w:val="auto"/>
              </w:rPr>
              <w:t>(g)</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340" w:type="dxa"/>
            <w:vAlign w:val="bottom"/>
          </w:tcPr>
          <w:p>
            <w:pPr>
              <w:ind w:left="60"/>
              <w:spacing w:after="0"/>
              <w:rPr>
                <w:sz w:val="20"/>
                <w:szCs w:val="20"/>
                <w:color w:val="auto"/>
              </w:rPr>
            </w:pPr>
            <w:r>
              <w:rPr>
                <w:rFonts w:ascii="Arial" w:cs="Arial" w:eastAsia="Arial" w:hAnsi="Arial"/>
                <w:sz w:val="18"/>
                <w:szCs w:val="18"/>
                <w:b w:val="1"/>
                <w:bCs w:val="1"/>
                <w:color w:val="auto"/>
              </w:rPr>
              <w:t>A parent holding company or control person in accordance with § 240.13d-1(b)(1)(ii)(G).</w:t>
            </w:r>
          </w:p>
        </w:tc>
      </w:tr>
      <w:tr>
        <w:trPr>
          <w:trHeight w:val="324"/>
        </w:trPr>
        <w:tc>
          <w:tcPr>
            <w:tcW w:w="80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Arial" w:cs="Arial" w:eastAsia="Arial" w:hAnsi="Arial"/>
                <w:sz w:val="18"/>
                <w:szCs w:val="18"/>
                <w:b w:val="1"/>
                <w:bCs w:val="1"/>
                <w:color w:val="auto"/>
              </w:rPr>
              <w:t>(h)</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340" w:type="dxa"/>
            <w:vAlign w:val="bottom"/>
          </w:tcPr>
          <w:p>
            <w:pPr>
              <w:ind w:left="60"/>
              <w:spacing w:after="0"/>
              <w:rPr>
                <w:sz w:val="20"/>
                <w:szCs w:val="20"/>
                <w:color w:val="auto"/>
              </w:rPr>
            </w:pPr>
            <w:r>
              <w:rPr>
                <w:rFonts w:ascii="Arial" w:cs="Arial" w:eastAsia="Arial" w:hAnsi="Arial"/>
                <w:sz w:val="18"/>
                <w:szCs w:val="18"/>
                <w:b w:val="1"/>
                <w:bCs w:val="1"/>
                <w:color w:val="auto"/>
              </w:rPr>
              <w:t>A savings association as defined in Section 3(b) of the Federal Deposit Insurance Act.</w:t>
            </w:r>
          </w:p>
        </w:tc>
      </w:tr>
      <w:tr>
        <w:trPr>
          <w:trHeight w:val="306"/>
        </w:trPr>
        <w:tc>
          <w:tcPr>
            <w:tcW w:w="80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Arial" w:cs="Arial" w:eastAsia="Arial" w:hAnsi="Arial"/>
                <w:sz w:val="18"/>
                <w:szCs w:val="18"/>
                <w:b w:val="1"/>
                <w:bCs w:val="1"/>
                <w:color w:val="auto"/>
              </w:rPr>
              <w:t>(i)</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340" w:type="dxa"/>
            <w:vAlign w:val="bottom"/>
          </w:tcPr>
          <w:p>
            <w:pPr>
              <w:ind w:left="60"/>
              <w:spacing w:after="0"/>
              <w:rPr>
                <w:sz w:val="20"/>
                <w:szCs w:val="20"/>
                <w:color w:val="auto"/>
              </w:rPr>
            </w:pPr>
            <w:r>
              <w:rPr>
                <w:rFonts w:ascii="Arial" w:cs="Arial" w:eastAsia="Arial" w:hAnsi="Arial"/>
                <w:sz w:val="18"/>
                <w:szCs w:val="18"/>
                <w:b w:val="1"/>
                <w:bCs w:val="1"/>
                <w:color w:val="auto"/>
                <w:w w:val="92"/>
              </w:rPr>
              <w:t>A church plan that is excluded from the definition of an investment company under section 3(c)(14) of the Investment</w:t>
            </w:r>
          </w:p>
        </w:tc>
      </w:tr>
      <w:tr>
        <w:trPr>
          <w:trHeight w:val="234"/>
        </w:trPr>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8"/>
                <w:szCs w:val="18"/>
                <w:b w:val="1"/>
                <w:bCs w:val="1"/>
                <w:color w:val="auto"/>
              </w:rPr>
              <w:t>Company Act of 1940.</w:t>
            </w:r>
          </w:p>
        </w:tc>
      </w:tr>
      <w:tr>
        <w:trPr>
          <w:trHeight w:val="324"/>
        </w:trPr>
        <w:tc>
          <w:tcPr>
            <w:tcW w:w="80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Arial" w:cs="Arial" w:eastAsia="Arial" w:hAnsi="Arial"/>
                <w:sz w:val="18"/>
                <w:szCs w:val="18"/>
                <w:b w:val="1"/>
                <w:bCs w:val="1"/>
                <w:color w:val="auto"/>
              </w:rPr>
              <w:t>(j)</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340" w:type="dxa"/>
            <w:vAlign w:val="bottom"/>
          </w:tcPr>
          <w:p>
            <w:pPr>
              <w:ind w:left="60"/>
              <w:spacing w:after="0"/>
              <w:rPr>
                <w:sz w:val="20"/>
                <w:szCs w:val="20"/>
                <w:color w:val="auto"/>
              </w:rPr>
            </w:pPr>
            <w:r>
              <w:rPr>
                <w:rFonts w:ascii="Arial" w:cs="Arial" w:eastAsia="Arial" w:hAnsi="Arial"/>
                <w:sz w:val="18"/>
                <w:szCs w:val="18"/>
                <w:b w:val="1"/>
                <w:bCs w:val="1"/>
                <w:color w:val="auto"/>
              </w:rPr>
              <w:t>Group, in accordance with §240.13d-1(b)(1)(ii)(J).</w:t>
            </w:r>
          </w:p>
        </w:tc>
      </w:tr>
      <w:tr>
        <w:trPr>
          <w:trHeight w:val="486"/>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40" w:type="dxa"/>
            <w:vAlign w:val="bottom"/>
          </w:tcPr>
          <w:p>
            <w:pPr>
              <w:ind w:left="3560"/>
              <w:spacing w:after="0"/>
              <w:rPr>
                <w:sz w:val="20"/>
                <w:szCs w:val="20"/>
                <w:color w:val="auto"/>
              </w:rPr>
            </w:pPr>
            <w:r>
              <w:rPr>
                <w:rFonts w:ascii="Arial" w:cs="Arial" w:eastAsia="Arial" w:hAnsi="Arial"/>
                <w:sz w:val="18"/>
                <w:szCs w:val="18"/>
                <w:color w:val="auto"/>
              </w:rPr>
              <w:t>4</w:t>
            </w:r>
          </w:p>
        </w:tc>
      </w:tr>
      <w:tr>
        <w:trPr>
          <w:trHeight w:val="91"/>
        </w:trPr>
        <w:tc>
          <w:tcPr>
            <w:tcW w:w="80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gridSpan w:val="3"/>
          </w:tcPr>
          <w:p>
            <w:pPr>
              <w:spacing w:after="0"/>
              <w:rPr>
                <w:sz w:val="7"/>
                <w:szCs w:val="7"/>
                <w:color w:val="auto"/>
              </w:rPr>
            </w:pPr>
          </w:p>
        </w:tc>
        <w:tc>
          <w:tcPr>
            <w:tcW w:w="9340" w:type="dxa"/>
            <w:vAlign w:val="bottom"/>
            <w:tcBorders>
              <w:bottom w:val="single" w:sz="8" w:color="808080"/>
            </w:tcBorders>
          </w:tcPr>
          <w:p>
            <w:pPr>
              <w:spacing w:after="0"/>
              <w:rPr>
                <w:sz w:val="7"/>
                <w:szCs w:val="7"/>
                <w:color w:val="auto"/>
              </w:rPr>
            </w:pPr>
          </w:p>
        </w:tc>
      </w:tr>
      <w:tr>
        <w:trPr>
          <w:trHeight w:val="794"/>
        </w:trPr>
        <w:tc>
          <w:tcPr>
            <w:tcW w:w="800" w:type="dxa"/>
            <w:vAlign w:val="bottom"/>
          </w:tcPr>
          <w:p>
            <w:pPr>
              <w:ind w:left="60"/>
              <w:spacing w:after="0"/>
              <w:rPr>
                <w:sz w:val="20"/>
                <w:szCs w:val="20"/>
                <w:color w:val="auto"/>
              </w:rPr>
            </w:pPr>
            <w:r>
              <w:rPr>
                <w:rFonts w:ascii="Arial" w:cs="Arial" w:eastAsia="Arial" w:hAnsi="Arial"/>
                <w:sz w:val="18"/>
                <w:szCs w:val="18"/>
                <w:b w:val="1"/>
                <w:bCs w:val="1"/>
                <w:color w:val="auto"/>
              </w:rPr>
              <w:t>Item 4.</w:t>
            </w:r>
          </w:p>
        </w:tc>
        <w:tc>
          <w:tcPr>
            <w:tcW w:w="1300" w:type="dxa"/>
            <w:vAlign w:val="bottom"/>
            <w:gridSpan w:val="3"/>
          </w:tcPr>
          <w:p>
            <w:pPr>
              <w:ind w:left="380"/>
              <w:spacing w:after="0"/>
              <w:rPr>
                <w:sz w:val="20"/>
                <w:szCs w:val="20"/>
                <w:color w:val="auto"/>
              </w:rPr>
            </w:pPr>
            <w:r>
              <w:rPr>
                <w:rFonts w:ascii="Arial" w:cs="Arial" w:eastAsia="Arial" w:hAnsi="Arial"/>
                <w:sz w:val="18"/>
                <w:szCs w:val="18"/>
                <w:b w:val="1"/>
                <w:bCs w:val="1"/>
                <w:color w:val="auto"/>
                <w:w w:val="96"/>
              </w:rPr>
              <w:t>Ownership</w:t>
            </w:r>
          </w:p>
        </w:tc>
        <w:tc>
          <w:tcPr>
            <w:tcW w:w="9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-518160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Provide the following information regarding the aggregate number and percentage of the class of securities of the issuer identified in Item 1.</w:t>
      </w:r>
    </w:p>
    <w:p>
      <w:pPr>
        <w:spacing w:after="0" w:line="129" w:lineRule="exact"/>
        <w:rPr>
          <w:sz w:val="20"/>
          <w:szCs w:val="20"/>
          <w:color w:val="auto"/>
        </w:rPr>
      </w:pPr>
    </w:p>
    <w:p>
      <w:pPr>
        <w:ind w:left="1660" w:hanging="477"/>
        <w:spacing w:after="0"/>
        <w:tabs>
          <w:tab w:leader="none" w:pos="1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1,943,950 (See Note b)</w:t>
      </w:r>
    </w:p>
    <w:p>
      <w:pPr>
        <w:spacing w:after="0" w:line="117" w:lineRule="exact"/>
        <w:rPr>
          <w:rFonts w:ascii="Arial" w:cs="Arial" w:eastAsia="Arial" w:hAnsi="Arial"/>
          <w:sz w:val="18"/>
          <w:szCs w:val="18"/>
          <w:b w:val="1"/>
          <w:bCs w:val="1"/>
          <w:color w:val="auto"/>
        </w:rPr>
      </w:pPr>
    </w:p>
    <w:p>
      <w:pPr>
        <w:ind w:left="1660" w:hanging="477"/>
        <w:spacing w:after="0"/>
        <w:tabs>
          <w:tab w:leader="none" w:pos="1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19%</w:t>
      </w:r>
    </w:p>
    <w:p>
      <w:pPr>
        <w:spacing w:after="0" w:line="117" w:lineRule="exact"/>
        <w:rPr>
          <w:rFonts w:ascii="Arial" w:cs="Arial" w:eastAsia="Arial" w:hAnsi="Arial"/>
          <w:sz w:val="18"/>
          <w:szCs w:val="18"/>
          <w:b w:val="1"/>
          <w:bCs w:val="1"/>
          <w:color w:val="auto"/>
        </w:rPr>
      </w:pPr>
    </w:p>
    <w:p>
      <w:pPr>
        <w:ind w:left="1660" w:hanging="477"/>
        <w:spacing w:after="0"/>
        <w:tabs>
          <w:tab w:leader="none" w:pos="1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ectPr>
          <w:pgSz w:w="11900" w:h="16838" w:orient="portrait"/>
          <w:cols w:equalWidth="0" w:num="1">
            <w:col w:w="11440"/>
          </w:cols>
          <w:pgMar w:left="240" w:top="125" w:right="219" w:bottom="86" w:gutter="0" w:footer="0" w:header="0"/>
        </w:sectPr>
      </w:pPr>
    </w:p>
    <w:p>
      <w:pPr>
        <w:spacing w:after="0" w:line="117" w:lineRule="exact"/>
        <w:rPr>
          <w:sz w:val="20"/>
          <w:szCs w:val="20"/>
          <w:color w:val="auto"/>
        </w:rPr>
      </w:pPr>
    </w:p>
    <w:p>
      <w:pPr>
        <w:ind w:left="1660"/>
        <w:spacing w:after="0"/>
        <w:tabs>
          <w:tab w:leader="none" w:pos="2260" w:val="left"/>
          <w:tab w:leader="none" w:pos="5400" w:val="left"/>
        </w:tabs>
        <w:rPr>
          <w:sz w:val="20"/>
          <w:szCs w:val="20"/>
          <w:color w:val="auto"/>
        </w:rPr>
      </w:pPr>
      <w:r>
        <w:rPr>
          <w:rFonts w:ascii="Arial" w:cs="Arial" w:eastAsia="Arial" w:hAnsi="Arial"/>
          <w:sz w:val="17"/>
          <w:szCs w:val="17"/>
          <w:b w:val="1"/>
          <w:bCs w:val="1"/>
          <w:color w:val="auto"/>
        </w:rPr>
        <w:t>(i)</w:t>
      </w:r>
      <w:r>
        <w:rPr>
          <w:sz w:val="20"/>
          <w:szCs w:val="20"/>
          <w:color w:val="auto"/>
        </w:rPr>
        <w:tab/>
      </w:r>
      <w:r>
        <w:rPr>
          <w:rFonts w:ascii="Arial" w:cs="Arial" w:eastAsia="Arial" w:hAnsi="Arial"/>
          <w:sz w:val="17"/>
          <w:szCs w:val="17"/>
          <w:b w:val="1"/>
          <w:bCs w:val="1"/>
          <w:color w:val="auto"/>
        </w:rPr>
        <w:t>Sole power to vote or to direct the vote</w:t>
      </w:r>
      <w:r>
        <w:rPr>
          <w:sz w:val="20"/>
          <w:szCs w:val="20"/>
          <w:color w:val="auto"/>
        </w:rPr>
        <w:tab/>
      </w:r>
      <w:r>
        <w:rPr>
          <w:rFonts w:ascii="Arial" w:cs="Arial" w:eastAsia="Arial" w:hAnsi="Arial"/>
          <w:sz w:val="14"/>
          <w:szCs w:val="14"/>
          <w:color w:val="auto"/>
        </w:rPr>
        <w:t>0</w:t>
      </w:r>
    </w:p>
    <w:p>
      <w:pPr>
        <w:spacing w:after="0" w:line="129" w:lineRule="exact"/>
        <w:rPr>
          <w:sz w:val="20"/>
          <w:szCs w:val="20"/>
          <w:color w:val="auto"/>
        </w:rPr>
      </w:pPr>
    </w:p>
    <w:p>
      <w:pPr>
        <w:ind w:left="1660"/>
        <w:spacing w:after="0"/>
        <w:tabs>
          <w:tab w:leader="none" w:pos="2260" w:val="left"/>
          <w:tab w:leader="none" w:pos="562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8"/>
          <w:szCs w:val="18"/>
          <w:b w:val="1"/>
          <w:bCs w:val="1"/>
          <w:color w:val="auto"/>
        </w:rPr>
        <w:t>Shared power to vote or to direct the vote</w:t>
      </w:r>
      <w:r>
        <w:rPr>
          <w:sz w:val="20"/>
          <w:szCs w:val="20"/>
          <w:color w:val="auto"/>
        </w:rPr>
        <w:tab/>
      </w:r>
      <w:r>
        <w:rPr>
          <w:rFonts w:ascii="Arial" w:cs="Arial" w:eastAsia="Arial" w:hAnsi="Arial"/>
          <w:sz w:val="16"/>
          <w:szCs w:val="16"/>
          <w:color w:val="auto"/>
        </w:rPr>
        <w:t>1,943,950</w:t>
      </w:r>
    </w:p>
    <w:p>
      <w:pPr>
        <w:spacing w:after="0" w:line="117" w:lineRule="exact"/>
        <w:rPr>
          <w:sz w:val="20"/>
          <w:szCs w:val="20"/>
          <w:color w:val="auto"/>
        </w:rPr>
      </w:pPr>
    </w:p>
    <w:p>
      <w:pPr>
        <w:ind w:left="1660"/>
        <w:spacing w:after="0"/>
        <w:tabs>
          <w:tab w:leader="none" w:pos="2260" w:val="left"/>
          <w:tab w:leader="none" w:pos="6340" w:val="left"/>
        </w:tabs>
        <w:rPr>
          <w:sz w:val="20"/>
          <w:szCs w:val="20"/>
          <w:color w:val="auto"/>
        </w:rPr>
      </w:pPr>
      <w:r>
        <w:rPr>
          <w:rFonts w:ascii="Arial" w:cs="Arial" w:eastAsia="Arial" w:hAnsi="Arial"/>
          <w:sz w:val="16"/>
          <w:szCs w:val="16"/>
          <w:b w:val="1"/>
          <w:bCs w:val="1"/>
          <w:color w:val="auto"/>
        </w:rPr>
        <w:t>(iii)</w:t>
      </w:r>
      <w:r>
        <w:rPr>
          <w:sz w:val="20"/>
          <w:szCs w:val="20"/>
          <w:color w:val="auto"/>
        </w:rPr>
        <w:tab/>
      </w:r>
      <w:r>
        <w:rPr>
          <w:rFonts w:ascii="Arial" w:cs="Arial" w:eastAsia="Arial" w:hAnsi="Arial"/>
          <w:sz w:val="16"/>
          <w:szCs w:val="16"/>
          <w:b w:val="1"/>
          <w:bCs w:val="1"/>
          <w:color w:val="auto"/>
        </w:rPr>
        <w:t>Sole power to dispose or to direct the disposition of</w:t>
      </w:r>
      <w:r>
        <w:rPr>
          <w:sz w:val="20"/>
          <w:szCs w:val="20"/>
          <w:color w:val="auto"/>
        </w:rPr>
        <w:tab/>
      </w:r>
      <w:r>
        <w:rPr>
          <w:rFonts w:ascii="Arial" w:cs="Arial" w:eastAsia="Arial" w:hAnsi="Arial"/>
          <w:sz w:val="14"/>
          <w:szCs w:val="14"/>
          <w:color w:val="auto"/>
        </w:rPr>
        <w:t>0</w:t>
      </w:r>
    </w:p>
    <w:p>
      <w:pPr>
        <w:spacing w:after="0" w:line="140" w:lineRule="exact"/>
        <w:rPr>
          <w:sz w:val="20"/>
          <w:szCs w:val="20"/>
          <w:color w:val="auto"/>
        </w:rPr>
      </w:pPr>
    </w:p>
    <w:p>
      <w:pPr>
        <w:ind w:left="1660"/>
        <w:spacing w:after="0"/>
        <w:tabs>
          <w:tab w:leader="none" w:pos="2260" w:val="left"/>
        </w:tabs>
        <w:rPr>
          <w:sz w:val="20"/>
          <w:szCs w:val="20"/>
          <w:color w:val="auto"/>
        </w:rPr>
      </w:pPr>
      <w:r>
        <w:rPr>
          <w:rFonts w:ascii="Arial" w:cs="Arial" w:eastAsia="Arial" w:hAnsi="Arial"/>
          <w:sz w:val="15"/>
          <w:szCs w:val="15"/>
          <w:b w:val="1"/>
          <w:bCs w:val="1"/>
          <w:color w:val="auto"/>
        </w:rPr>
        <w:t>(iv)</w:t>
      </w:r>
      <w:r>
        <w:rPr>
          <w:sz w:val="20"/>
          <w:szCs w:val="20"/>
          <w:color w:val="auto"/>
        </w:rPr>
        <w:tab/>
      </w:r>
      <w:r>
        <w:rPr>
          <w:rFonts w:ascii="Arial" w:cs="Arial" w:eastAsia="Arial" w:hAnsi="Arial"/>
          <w:sz w:val="15"/>
          <w:szCs w:val="15"/>
          <w:b w:val="1"/>
          <w:bCs w:val="1"/>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1,943,950</w:t>
      </w:r>
    </w:p>
    <w:p>
      <w:pPr>
        <w:spacing w:after="0" w:line="200" w:lineRule="exact"/>
        <w:rPr>
          <w:sz w:val="20"/>
          <w:szCs w:val="20"/>
          <w:color w:val="auto"/>
        </w:rPr>
      </w:pPr>
    </w:p>
    <w:p>
      <w:pPr>
        <w:sectPr>
          <w:pgSz w:w="11900" w:h="16838" w:orient="portrait"/>
          <w:cols w:equalWidth="0" w:num="2">
            <w:col w:w="6440" w:space="140"/>
            <w:col w:w="4860"/>
          </w:cols>
          <w:pgMar w:left="240" w:top="125" w:right="219" w:bottom="86" w:gutter="0" w:footer="0" w:header="0"/>
          <w:type w:val="continuous"/>
        </w:sect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right="34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80" w:right="10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40"/>
          </w:cols>
          <w:pgMar w:left="240" w:top="125" w:right="219" w:bottom="86" w:gutter="0" w:footer="0" w:header="0"/>
          <w:type w:val="continuous"/>
        </w:sectPr>
      </w:pPr>
    </w:p>
    <w:bookmarkStart w:id="3" w:name="page4"/>
    <w:bookmarkEnd w:id="3"/>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60" w:right="220" w:firstLine="648"/>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7720" w:type="dxa"/>
            <w:vAlign w:val="bottom"/>
            <w:gridSpan w:val="2"/>
          </w:tcPr>
          <w:p>
            <w:pPr>
              <w:ind w:left="2040"/>
              <w:spacing w:after="0"/>
              <w:rPr>
                <w:sz w:val="20"/>
                <w:szCs w:val="20"/>
                <w:color w:val="auto"/>
              </w:rPr>
            </w:pPr>
            <w:r>
              <w:rPr>
                <w:rFonts w:ascii="Arial" w:cs="Arial" w:eastAsia="Arial" w:hAnsi="Arial"/>
                <w:sz w:val="18"/>
                <w:szCs w:val="18"/>
                <w:b w:val="1"/>
                <w:bCs w:val="1"/>
                <w:color w:val="auto"/>
              </w:rPr>
              <w:t>HAWKINS, INC.</w:t>
            </w:r>
          </w:p>
        </w:tc>
      </w:tr>
      <w:tr>
        <w:trPr>
          <w:trHeight w:val="234"/>
        </w:trPr>
        <w:tc>
          <w:tcPr>
            <w:tcW w:w="3680" w:type="dxa"/>
            <w:vAlign w:val="bottom"/>
          </w:tcPr>
          <w:p>
            <w:pPr>
              <w:spacing w:after="0"/>
              <w:rPr>
                <w:sz w:val="20"/>
                <w:szCs w:val="20"/>
                <w:color w:val="auto"/>
              </w:rPr>
            </w:pPr>
          </w:p>
        </w:tc>
        <w:tc>
          <w:tcPr>
            <w:tcW w:w="7720" w:type="dxa"/>
            <w:vAlign w:val="bottom"/>
            <w:gridSpan w:val="2"/>
          </w:tcPr>
          <w:p>
            <w:pPr>
              <w:ind w:left="2040"/>
              <w:spacing w:after="0"/>
              <w:rPr>
                <w:sz w:val="20"/>
                <w:szCs w:val="20"/>
                <w:color w:val="auto"/>
              </w:rPr>
            </w:pPr>
            <w:r>
              <w:rPr>
                <w:rFonts w:ascii="Arial" w:cs="Arial" w:eastAsia="Arial" w:hAnsi="Arial"/>
                <w:sz w:val="18"/>
                <w:szCs w:val="18"/>
                <w:b w:val="1"/>
                <w:bCs w:val="1"/>
                <w:color w:val="auto"/>
              </w:rPr>
              <w:t>EMPLOYEE STOCK OWNERSHIP TRUST</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Dated: August 5, 2003</w:t>
            </w:r>
          </w:p>
        </w:tc>
        <w:tc>
          <w:tcPr>
            <w:tcW w:w="2700" w:type="dxa"/>
            <w:vAlign w:val="bottom"/>
          </w:tcPr>
          <w:p>
            <w:pPr>
              <w:ind w:left="20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John R. Hawkins</w:t>
            </w:r>
          </w:p>
        </w:tc>
      </w:tr>
      <w:tr>
        <w:trPr>
          <w:trHeight w:val="224"/>
        </w:trPr>
        <w:tc>
          <w:tcPr>
            <w:tcW w:w="36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John R. Hawkins, Trustee</w:t>
            </w:r>
          </w:p>
        </w:tc>
      </w:tr>
      <w:tr>
        <w:trPr>
          <w:trHeight w:val="418"/>
        </w:trPr>
        <w:tc>
          <w:tcPr>
            <w:tcW w:w="3680" w:type="dxa"/>
            <w:vAlign w:val="bottom"/>
          </w:tcPr>
          <w:p>
            <w:pPr>
              <w:spacing w:after="0"/>
              <w:rPr>
                <w:sz w:val="24"/>
                <w:szCs w:val="24"/>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Kurt R. Norman</w:t>
            </w:r>
          </w:p>
        </w:tc>
      </w:tr>
      <w:tr>
        <w:trPr>
          <w:trHeight w:val="224"/>
        </w:trPr>
        <w:tc>
          <w:tcPr>
            <w:tcW w:w="36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Kurt R. Norman, Trustee</w:t>
            </w:r>
          </w:p>
        </w:tc>
      </w:tr>
      <w:tr>
        <w:trPr>
          <w:trHeight w:val="418"/>
        </w:trPr>
        <w:tc>
          <w:tcPr>
            <w:tcW w:w="3680" w:type="dxa"/>
            <w:vAlign w:val="bottom"/>
          </w:tcPr>
          <w:p>
            <w:pPr>
              <w:spacing w:after="0"/>
              <w:rPr>
                <w:sz w:val="24"/>
                <w:szCs w:val="24"/>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Marvin E. Dee</w:t>
            </w:r>
          </w:p>
        </w:tc>
      </w:tr>
      <w:tr>
        <w:trPr>
          <w:trHeight w:val="224"/>
        </w:trPr>
        <w:tc>
          <w:tcPr>
            <w:tcW w:w="36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Marvin E. Dee, Trustee</w:t>
            </w:r>
          </w:p>
        </w:tc>
      </w:tr>
    </w:tbl>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for whom copies are to be sent.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M1:1012867.01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lvl w:ilvl="1">
      <w:lvlJc w:val="left"/>
      <w:lvlText w:val="(%2)"/>
      <w:numFmt w:val="lowerLetter"/>
      <w:start w:val="1"/>
    </w:lvl>
  </w:abstractNum>
  <w:abstractNum w:abstractNumId="3">
    <w:nsid w:val="5BD062C2"/>
    <w:multiLevelType w:val="hybridMultilevel"/>
    <w:lvl w:ilvl="0">
      <w:lvlJc w:val="left"/>
      <w:lvlText w:val="%1"/>
      <w:numFmt w:val="decimal"/>
      <w:start w:val="1"/>
    </w:lvl>
    <w:lvl w:ilvl="1">
      <w:lvlJc w:val="left"/>
      <w:lvlText w:val="%2."/>
      <w:numFmt w:val="decimal"/>
      <w:start w:val="8"/>
    </w:lvl>
  </w:abstractNum>
  <w:abstractNum w:abstractNumId="4">
    <w:nsid w:val="12200854"/>
    <w:multiLevelType w:val="hybridMultilevel"/>
    <w:lvl w:ilvl="0">
      <w:lvlJc w:val="left"/>
      <w:lvlText w:val="%1."/>
      <w:numFmt w:val="decimal"/>
      <w:start w:val="9"/>
    </w:lvl>
    <w:lvl w:ilvl="1">
      <w:lvlJc w:val="left"/>
      <w:lvlText w:val="%2"/>
      <w:numFmt w:val="decimal"/>
      <w:start w:val="1"/>
    </w:lvl>
  </w:abstractNum>
  <w:abstractNum w:abstractNumId="5">
    <w:nsid w:val="4DB127F8"/>
    <w:multiLevelType w:val="hybridMultilevel"/>
    <w:lvl w:ilvl="0">
      <w:lvlJc w:val="left"/>
      <w:lvlText w:val="%1."/>
      <w:numFmt w:val="decimal"/>
      <w:start w:val="1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1"/>
    </w:lvl>
    <w:lvl w:ilvl="1">
      <w:lvlJc w:val="left"/>
      <w:lvlText w:val="(%2)"/>
      <w:numFmt w:val="lowerLetter"/>
      <w:start w:val="2"/>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3"/>
    </w:lvl>
  </w:abstractNum>
  <w:abstractNum w:abstractNumId="12">
    <w:nsid w:val="109CF92E"/>
    <w:multiLevelType w:val="hybridMultilevel"/>
    <w:lvl w:ilvl="0">
      <w:lvlJc w:val="left"/>
      <w:lvlText w:val="(%1)"/>
      <w:numFmt w:val="lowerLetter"/>
      <w:start w:val="6"/>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2019-12-11T18:20:54Z</dcterms:created>
  <dcterms:modified xsi:type="dcterms:W3CDTF">2019-12-11T18:20:54Z</dcterms:modified>
</cp:coreProperties>
</file>