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18,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380" w:space="720"/>
            <w:col w:w="2680" w:space="720"/>
            <w:col w:w="2920"/>
          </w:cols>
          <w:pgMar w:left="240" w:top="530" w:right="239" w:bottom="0" w:gutter="0" w:footer="0" w:header="0"/>
          <w:type w:val="continuous"/>
        </w:sectPr>
      </w:pPr>
    </w:p>
    <w:p>
      <w:pPr>
        <w:spacing w:after="0" w:line="200" w:lineRule="exact"/>
        <w:rPr>
          <w:sz w:val="24"/>
          <w:szCs w:val="24"/>
          <w:color w:val="auto"/>
        </w:rPr>
      </w:pPr>
    </w:p>
    <w:p>
      <w:pPr>
        <w:spacing w:after="0" w:line="251" w:lineRule="exact"/>
        <w:rPr>
          <w:sz w:val="24"/>
          <w:szCs w:val="24"/>
          <w:color w:val="auto"/>
        </w:rPr>
      </w:pPr>
    </w:p>
    <w:p>
      <w:pPr>
        <w:jc w:val="center"/>
        <w:ind w:right="340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340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3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680" w:space="720"/>
            <w:col w:w="2020"/>
          </w:cols>
          <w:pgMar w:left="240" w:top="530" w:right="239" w:bottom="0" w:gutter="0" w:footer="0" w:header="0"/>
          <w:type w:val="continuous"/>
        </w:sect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612-331-6910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200" w:firstLine="33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00" w:hanging="254"/>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00" w:hanging="254"/>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00" w:hanging="254"/>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00" w:hanging="254"/>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180" w:firstLine="690"/>
        <w:spacing w:after="0" w:line="264" w:lineRule="auto"/>
        <w:rPr>
          <w:sz w:val="20"/>
          <w:szCs w:val="20"/>
          <w:color w:val="auto"/>
        </w:rPr>
      </w:pPr>
      <w:r>
        <w:rPr>
          <w:rFonts w:ascii="Arial" w:cs="Arial" w:eastAsia="Arial" w:hAnsi="Arial"/>
          <w:sz w:val="18"/>
          <w:szCs w:val="18"/>
          <w:color w:val="auto"/>
        </w:rPr>
        <w:t>On September 18, 2007, the Compensation Committee (the “Committee”) of the Board of Directors of Hawkins, Inc. (the “Company”) approved changes to the annual cash bonus arrangement for the named executive officers (the “Officers”) of the Company. These changes are effective for the second six months of fiscal 2008, beginning October 1, 2007.</w:t>
      </w:r>
    </w:p>
    <w:p>
      <w:pPr>
        <w:spacing w:after="0" w:line="181" w:lineRule="exact"/>
        <w:rPr>
          <w:sz w:val="24"/>
          <w:szCs w:val="24"/>
          <w:color w:val="auto"/>
        </w:rPr>
      </w:pPr>
    </w:p>
    <w:p>
      <w:pPr>
        <w:ind w:right="20" w:firstLine="699"/>
        <w:spacing w:after="0" w:line="277" w:lineRule="auto"/>
        <w:rPr>
          <w:sz w:val="20"/>
          <w:szCs w:val="20"/>
          <w:color w:val="auto"/>
        </w:rPr>
      </w:pPr>
      <w:r>
        <w:rPr>
          <w:rFonts w:ascii="Arial" w:cs="Arial" w:eastAsia="Arial" w:hAnsi="Arial"/>
          <w:sz w:val="18"/>
          <w:szCs w:val="18"/>
          <w:color w:val="auto"/>
        </w:rPr>
        <w:t>Bonuses will continue to be assessed and paid twice each year with 60% of the bonus opportunity based on the first six months of the fiscal year and 40% based on the last six months. This split reflects the Company’s historical business cycle.</w:t>
      </w:r>
    </w:p>
    <w:p>
      <w:pPr>
        <w:spacing w:after="0" w:line="170" w:lineRule="exact"/>
        <w:rPr>
          <w:sz w:val="24"/>
          <w:szCs w:val="24"/>
          <w:color w:val="auto"/>
        </w:rPr>
      </w:pPr>
    </w:p>
    <w:p>
      <w:pPr>
        <w:ind w:right="120" w:firstLine="690"/>
        <w:spacing w:after="0" w:line="276" w:lineRule="auto"/>
        <w:rPr>
          <w:sz w:val="20"/>
          <w:szCs w:val="20"/>
          <w:color w:val="auto"/>
        </w:rPr>
      </w:pPr>
      <w:r>
        <w:rPr>
          <w:rFonts w:ascii="Arial" w:cs="Arial" w:eastAsia="Arial" w:hAnsi="Arial"/>
          <w:sz w:val="17"/>
          <w:szCs w:val="17"/>
          <w:color w:val="auto"/>
        </w:rPr>
        <w:t>For the Chief Executive Officer and the Chief Financial Officer, performance will be based 80% on Company financial performance and 20% on individual objectives. For the Vice President of the Water Treatment Group, the Vice President of the Industrial Group, and the Vice President of the Pharmaceutical Group, performance will be based 40% on overall Company financial performance, 40% on respective business unit performance and 20% on individual objectives. The Committee established a six-month Company financial performance target based on income before taxes and six-month business unit performance targets based on unit profitability. The Committee also established a set of individual objectives for each Officer.</w:t>
      </w:r>
    </w:p>
    <w:p>
      <w:pPr>
        <w:spacing w:after="0" w:line="173" w:lineRule="exact"/>
        <w:rPr>
          <w:sz w:val="24"/>
          <w:szCs w:val="24"/>
          <w:color w:val="auto"/>
        </w:rPr>
      </w:pPr>
    </w:p>
    <w:p>
      <w:pPr>
        <w:ind w:left="700"/>
        <w:spacing w:after="0"/>
        <w:rPr>
          <w:sz w:val="20"/>
          <w:szCs w:val="20"/>
          <w:color w:val="auto"/>
        </w:rPr>
      </w:pPr>
      <w:r>
        <w:rPr>
          <w:rFonts w:ascii="Arial" w:cs="Arial" w:eastAsia="Arial" w:hAnsi="Arial"/>
          <w:sz w:val="18"/>
          <w:szCs w:val="18"/>
          <w:color w:val="auto"/>
        </w:rPr>
        <w:t>The bonus opportunity for the Officers is based on the following percentages of base salary for the applicable six-month period: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Position</w:t>
            </w:r>
          </w:p>
        </w:tc>
        <w:tc>
          <w:tcPr>
            <w:tcW w:w="3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Threshold Bonus</w:t>
            </w:r>
          </w:p>
        </w:tc>
        <w:tc>
          <w:tcPr>
            <w:tcW w:w="28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Target Bonus</w:t>
            </w:r>
          </w:p>
        </w:tc>
        <w:tc>
          <w:tcPr>
            <w:tcW w:w="35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Maximum Bonus</w:t>
            </w:r>
          </w:p>
        </w:tc>
      </w:tr>
      <w:tr>
        <w:trPr>
          <w:trHeight w:val="195"/>
        </w:trPr>
        <w:tc>
          <w:tcPr>
            <w:tcW w:w="1940" w:type="dxa"/>
            <w:vAlign w:val="bottom"/>
          </w:tcPr>
          <w:p>
            <w:pPr>
              <w:ind w:left="20"/>
              <w:spacing w:after="0" w:line="195" w:lineRule="exact"/>
              <w:rPr>
                <w:sz w:val="20"/>
                <w:szCs w:val="20"/>
                <w:color w:val="auto"/>
              </w:rPr>
            </w:pPr>
            <w:r>
              <w:rPr>
                <w:rFonts w:ascii="Arial" w:cs="Arial" w:eastAsia="Arial" w:hAnsi="Arial"/>
                <w:sz w:val="18"/>
                <w:szCs w:val="18"/>
                <w:color w:val="auto"/>
              </w:rPr>
              <w:t>CEO</w:t>
            </w:r>
          </w:p>
        </w:tc>
        <w:tc>
          <w:tcPr>
            <w:tcW w:w="3120" w:type="dxa"/>
            <w:vAlign w:val="bottom"/>
          </w:tcPr>
          <w:p>
            <w:pPr>
              <w:ind w:left="900"/>
              <w:spacing w:after="0" w:line="195" w:lineRule="exact"/>
              <w:rPr>
                <w:sz w:val="20"/>
                <w:szCs w:val="20"/>
                <w:color w:val="auto"/>
              </w:rPr>
            </w:pPr>
            <w:r>
              <w:rPr>
                <w:rFonts w:ascii="Arial" w:cs="Arial" w:eastAsia="Arial" w:hAnsi="Arial"/>
                <w:sz w:val="18"/>
                <w:szCs w:val="18"/>
                <w:color w:val="auto"/>
              </w:rPr>
              <w:t>48%</w:t>
            </w:r>
          </w:p>
        </w:tc>
        <w:tc>
          <w:tcPr>
            <w:tcW w:w="2820" w:type="dxa"/>
            <w:vAlign w:val="bottom"/>
          </w:tcPr>
          <w:p>
            <w:pPr>
              <w:ind w:left="1000"/>
              <w:spacing w:after="0" w:line="195" w:lineRule="exact"/>
              <w:rPr>
                <w:sz w:val="20"/>
                <w:szCs w:val="20"/>
                <w:color w:val="auto"/>
              </w:rPr>
            </w:pPr>
            <w:r>
              <w:rPr>
                <w:rFonts w:ascii="Arial" w:cs="Arial" w:eastAsia="Arial" w:hAnsi="Arial"/>
                <w:sz w:val="18"/>
                <w:szCs w:val="18"/>
                <w:color w:val="auto"/>
              </w:rPr>
              <w:t>60%</w:t>
            </w:r>
          </w:p>
        </w:tc>
        <w:tc>
          <w:tcPr>
            <w:tcW w:w="3540" w:type="dxa"/>
            <w:vAlign w:val="bottom"/>
          </w:tcPr>
          <w:p>
            <w:pPr>
              <w:ind w:left="900"/>
              <w:spacing w:after="0" w:line="195" w:lineRule="exact"/>
              <w:rPr>
                <w:sz w:val="20"/>
                <w:szCs w:val="20"/>
                <w:color w:val="auto"/>
              </w:rPr>
            </w:pPr>
            <w:r>
              <w:rPr>
                <w:rFonts w:ascii="Arial" w:cs="Arial" w:eastAsia="Arial" w:hAnsi="Arial"/>
                <w:sz w:val="18"/>
                <w:szCs w:val="18"/>
                <w:color w:val="auto"/>
              </w:rPr>
              <w:t>120%</w:t>
            </w: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Other Officers</w:t>
            </w:r>
          </w:p>
        </w:tc>
        <w:tc>
          <w:tcPr>
            <w:tcW w:w="3120" w:type="dxa"/>
            <w:vAlign w:val="bottom"/>
          </w:tcPr>
          <w:p>
            <w:pPr>
              <w:ind w:left="900"/>
              <w:spacing w:after="0"/>
              <w:rPr>
                <w:sz w:val="20"/>
                <w:szCs w:val="20"/>
                <w:color w:val="auto"/>
              </w:rPr>
            </w:pPr>
            <w:r>
              <w:rPr>
                <w:rFonts w:ascii="Arial" w:cs="Arial" w:eastAsia="Arial" w:hAnsi="Arial"/>
                <w:sz w:val="18"/>
                <w:szCs w:val="18"/>
                <w:color w:val="auto"/>
              </w:rPr>
              <w:t>28–32%</w:t>
            </w:r>
          </w:p>
        </w:tc>
        <w:tc>
          <w:tcPr>
            <w:tcW w:w="2820" w:type="dxa"/>
            <w:vAlign w:val="bottom"/>
          </w:tcPr>
          <w:p>
            <w:pPr>
              <w:ind w:left="1000"/>
              <w:spacing w:after="0"/>
              <w:rPr>
                <w:sz w:val="20"/>
                <w:szCs w:val="20"/>
                <w:color w:val="auto"/>
              </w:rPr>
            </w:pPr>
            <w:r>
              <w:rPr>
                <w:rFonts w:ascii="Arial" w:cs="Arial" w:eastAsia="Arial" w:hAnsi="Arial"/>
                <w:sz w:val="18"/>
                <w:szCs w:val="18"/>
                <w:color w:val="auto"/>
              </w:rPr>
              <w:t>35–40%</w:t>
            </w:r>
          </w:p>
        </w:tc>
        <w:tc>
          <w:tcPr>
            <w:tcW w:w="3540" w:type="dxa"/>
            <w:vAlign w:val="bottom"/>
          </w:tcPr>
          <w:p>
            <w:pPr>
              <w:ind w:left="900"/>
              <w:spacing w:after="0"/>
              <w:rPr>
                <w:sz w:val="20"/>
                <w:szCs w:val="20"/>
                <w:color w:val="auto"/>
              </w:rPr>
            </w:pPr>
            <w:r>
              <w:rPr>
                <w:rFonts w:ascii="Arial" w:cs="Arial" w:eastAsia="Arial" w:hAnsi="Arial"/>
                <w:sz w:val="18"/>
                <w:szCs w:val="18"/>
                <w:color w:val="auto"/>
              </w:rPr>
              <w:t>70–80%</w:t>
            </w:r>
          </w:p>
        </w:tc>
      </w:tr>
    </w:tbl>
    <w:p>
      <w:pPr>
        <w:spacing w:after="0" w:line="202" w:lineRule="exact"/>
        <w:rPr>
          <w:sz w:val="24"/>
          <w:szCs w:val="24"/>
          <w:color w:val="auto"/>
        </w:rPr>
      </w:pPr>
    </w:p>
    <w:p>
      <w:pPr>
        <w:ind w:right="100" w:firstLine="690"/>
        <w:spacing w:after="0" w:line="312" w:lineRule="auto"/>
        <w:rPr>
          <w:sz w:val="20"/>
          <w:szCs w:val="20"/>
          <w:color w:val="auto"/>
        </w:rPr>
      </w:pPr>
      <w:r>
        <w:rPr>
          <w:rFonts w:ascii="Arial" w:cs="Arial" w:eastAsia="Arial" w:hAnsi="Arial"/>
          <w:sz w:val="16"/>
          <w:szCs w:val="16"/>
          <w:color w:val="auto"/>
        </w:rPr>
        <w:t>No bonus payments will be made unless the threshold level of 80% of the respective performance target is achieved. Performance between 80% and 100% of the applicable target will be rewarded with the same percentage of the target bonus (e.g., 85% of performance target will lead to an award of 85% of the target bonus). Performance between 100% and 120% of the respective target will be rewarded on a linear scale from 100% of the target bonus for exactly</w:t>
      </w:r>
    </w:p>
    <w:p>
      <w:pPr>
        <w:sectPr>
          <w:pgSz w:w="11900" w:h="16838" w:orient="portrait"/>
          <w:cols w:equalWidth="0" w:num="1">
            <w:col w:w="11420"/>
          </w:cols>
          <w:pgMar w:left="240" w:top="530" w:right="239" w:bottom="0" w:gutter="0" w:footer="0" w:header="0"/>
          <w:type w:val="continuous"/>
        </w:sectPr>
      </w:pPr>
    </w:p>
    <w:bookmarkStart w:id="1" w:name="page2"/>
    <w:bookmarkEnd w:id="1"/>
    <w:p>
      <w:pPr>
        <w:jc w:val="both"/>
        <w:ind w:right="120"/>
        <w:spacing w:after="0" w:line="286" w:lineRule="auto"/>
        <w:rPr>
          <w:sz w:val="20"/>
          <w:szCs w:val="20"/>
          <w:color w:val="auto"/>
        </w:rPr>
      </w:pPr>
      <w:r>
        <w:rPr>
          <w:rFonts w:ascii="Arial" w:cs="Arial" w:eastAsia="Arial" w:hAnsi="Arial"/>
          <w:sz w:val="17"/>
          <w:szCs w:val="17"/>
          <w:color w:val="auto"/>
        </w:rPr>
        <w:t>meeting the performance target to 200% of the target bonus for exceeding the performance target by 20% (e.g., 105% of performance target will lead to an award of 125% of the target bonus). Performance over 120% of the applicable performance target will not result in any additional bonus payments. Each Officer must be employed by the Company at the end of the applicable period in order to receive a cash bonus payout for that period.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right="540" w:firstLine="637"/>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2007</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HAWKINS,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56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Marvin E. Dee</w:t>
            </w:r>
          </w:p>
        </w:tc>
        <w:tc>
          <w:tcPr>
            <w:tcW w:w="40" w:type="dxa"/>
            <w:vAlign w:val="bottom"/>
          </w:tcPr>
          <w:p>
            <w:pPr>
              <w:spacing w:after="0"/>
              <w:rPr>
                <w:sz w:val="20"/>
                <w:szCs w:val="20"/>
                <w:color w:val="auto"/>
              </w:rPr>
            </w:pPr>
          </w:p>
        </w:tc>
      </w:tr>
      <w:tr>
        <w:trPr>
          <w:trHeight w:val="195"/>
        </w:trPr>
        <w:tc>
          <w:tcPr>
            <w:tcW w:w="6720" w:type="dxa"/>
            <w:vAlign w:val="bottom"/>
          </w:tcPr>
          <w:p>
            <w:pPr>
              <w:spacing w:after="0"/>
              <w:rPr>
                <w:sz w:val="16"/>
                <w:szCs w:val="16"/>
                <w:color w:val="auto"/>
              </w:rPr>
            </w:pPr>
          </w:p>
        </w:tc>
        <w:tc>
          <w:tcPr>
            <w:tcW w:w="4700" w:type="dxa"/>
            <w:vAlign w:val="bottom"/>
          </w:tcPr>
          <w:p>
            <w:pPr>
              <w:ind w:left="100"/>
              <w:spacing w:after="0" w:line="195" w:lineRule="exact"/>
              <w:rPr>
                <w:sz w:val="20"/>
                <w:szCs w:val="20"/>
                <w:color w:val="auto"/>
              </w:rPr>
            </w:pPr>
            <w:r>
              <w:rPr>
                <w:rFonts w:ascii="Arial" w:cs="Arial" w:eastAsia="Arial" w:hAnsi="Arial"/>
                <w:sz w:val="18"/>
                <w:szCs w:val="18"/>
                <w:color w:val="auto"/>
              </w:rPr>
              <w:t>Marvin E. Dee</w:t>
            </w:r>
          </w:p>
        </w:tc>
        <w:tc>
          <w:tcPr>
            <w:tcW w:w="40" w:type="dxa"/>
            <w:vAlign w:val="bottom"/>
          </w:tcPr>
          <w:p>
            <w:pPr>
              <w:spacing w:after="0"/>
              <w:rPr>
                <w:sz w:val="16"/>
                <w:szCs w:val="16"/>
                <w:color w:val="auto"/>
              </w:rPr>
            </w:pPr>
          </w:p>
        </w:tc>
      </w:tr>
      <w:tr>
        <w:trPr>
          <w:trHeight w:val="216"/>
        </w:trPr>
        <w:tc>
          <w:tcPr>
            <w:tcW w:w="67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i w:val="1"/>
                <w:iCs w:val="1"/>
                <w:color w:val="auto"/>
              </w:rPr>
              <w:t>Vice President, Chief Financial Officer, Secretary and</w:t>
            </w:r>
          </w:p>
        </w:tc>
        <w:tc>
          <w:tcPr>
            <w:tcW w:w="40" w:type="dxa"/>
            <w:vAlign w:val="bottom"/>
          </w:tcPr>
          <w:p>
            <w:pPr>
              <w:spacing w:after="0"/>
              <w:rPr>
                <w:sz w:val="18"/>
                <w:szCs w:val="18"/>
                <w:color w:val="auto"/>
              </w:rPr>
            </w:pPr>
          </w:p>
        </w:tc>
      </w:tr>
      <w:tr>
        <w:trPr>
          <w:trHeight w:val="230"/>
        </w:trPr>
        <w:tc>
          <w:tcPr>
            <w:tcW w:w="6720" w:type="dxa"/>
            <w:vAlign w:val="bottom"/>
          </w:tcPr>
          <w:p>
            <w:pPr>
              <w:spacing w:after="0"/>
              <w:rPr>
                <w:sz w:val="20"/>
                <w:szCs w:val="20"/>
                <w:color w:val="auto"/>
              </w:rPr>
            </w:pPr>
          </w:p>
        </w:tc>
        <w:tc>
          <w:tcPr>
            <w:tcW w:w="4700" w:type="dxa"/>
            <w:vAlign w:val="bottom"/>
          </w:tcPr>
          <w:p>
            <w:pPr>
              <w:ind w:left="100"/>
              <w:spacing w:after="0"/>
              <w:rPr>
                <w:sz w:val="20"/>
                <w:szCs w:val="20"/>
                <w:color w:val="auto"/>
              </w:rPr>
            </w:pPr>
            <w:r>
              <w:rPr>
                <w:rFonts w:ascii="Arial" w:cs="Arial" w:eastAsia="Arial" w:hAnsi="Arial"/>
                <w:sz w:val="18"/>
                <w:szCs w:val="18"/>
                <w:i w:val="1"/>
                <w:iCs w:val="1"/>
                <w:color w:val="auto"/>
              </w:rPr>
              <w:t>Treasurer</w:t>
            </w:r>
          </w:p>
        </w:tc>
        <w:tc>
          <w:tcPr>
            <w:tcW w:w="40" w:type="dxa"/>
            <w:vAlign w:val="bottom"/>
          </w:tcPr>
          <w:p>
            <w:pPr>
              <w:spacing w:after="0"/>
              <w:rPr>
                <w:sz w:val="20"/>
                <w:szCs w:val="20"/>
                <w:color w:val="auto"/>
              </w:rPr>
            </w:pPr>
          </w:p>
        </w:tc>
      </w:tr>
      <w:tr>
        <w:trPr>
          <w:trHeight w:val="648"/>
        </w:trPr>
        <w:tc>
          <w:tcPr>
            <w:tcW w:w="6720" w:type="dxa"/>
            <w:vAlign w:val="bottom"/>
          </w:tcPr>
          <w:p>
            <w:pPr>
              <w:ind w:left="5660"/>
              <w:spacing w:after="0"/>
              <w:rPr>
                <w:sz w:val="20"/>
                <w:szCs w:val="20"/>
                <w:color w:val="auto"/>
              </w:rPr>
            </w:pPr>
            <w:r>
              <w:rPr>
                <w:rFonts w:ascii="Arial" w:cs="Arial" w:eastAsia="Arial" w:hAnsi="Arial"/>
                <w:sz w:val="18"/>
                <w:szCs w:val="18"/>
                <w:color w:val="auto"/>
              </w:rPr>
              <w:t>3</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72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2019-12-13T01:47:16Z</dcterms:created>
  <dcterms:modified xsi:type="dcterms:W3CDTF">2019-12-13T01:47:16Z</dcterms:modified>
</cp:coreProperties>
</file>