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21, 2005</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85" w:right="319" w:bottom="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60" w:space="720"/>
            <w:col w:w="2700" w:space="720"/>
            <w:col w:w="3040"/>
          </w:cols>
          <w:pgMar w:left="240" w:top="585" w:right="319" w:bottom="0" w:gutter="0" w:footer="0" w:header="0"/>
          <w:type w:val="continuous"/>
        </w:sectPr>
      </w:pPr>
    </w:p>
    <w:p>
      <w:pPr>
        <w:spacing w:after="0" w:line="18"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3100 East Hennepin Ave.</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500" w:space="720"/>
            <w:col w:w="2120"/>
          </w:cols>
          <w:pgMar w:left="240" w:top="585"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Telephone Number: 612-331-6910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200" w:hanging="544"/>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left="660"/>
        <w:spacing w:after="0" w:line="293" w:lineRule="auto"/>
        <w:rPr>
          <w:sz w:val="20"/>
          <w:szCs w:val="20"/>
          <w:color w:val="auto"/>
        </w:rPr>
      </w:pPr>
      <w:r>
        <w:rPr>
          <w:rFonts w:ascii="Arial" w:cs="Arial" w:eastAsia="Arial" w:hAnsi="Arial"/>
          <w:sz w:val="16"/>
          <w:szCs w:val="16"/>
          <w:color w:val="auto"/>
        </w:rPr>
        <w:t>On September 21, 2005, the Board of Directors (the “Board”) of Hawkins, Inc. (the “Company”) elected John S. McKeon, a current director of the Company, as the Chairman of the Board. Mr. McKeon will succeed John R. Hawkins, the Company’s Chief Executive Officer, who will continue to serve as a member of the Board. The Company issued a press release relating to this event, which is furnished as Exhibit 99 to this Current Report on Form 8-K and incorporated by reference herein. The Board also approved the payment of an annual retainer for a non-employee Chairman of the Board of $10,000. For the current year, the amount to be paid to Mr. McKeon for his service as the Chairman of the Board will be offset by the amount previously paid to him for serving as the Chairman of the Audit Committee for the current year as described below.</w:t>
      </w:r>
    </w:p>
    <w:p>
      <w:pPr>
        <w:spacing w:after="0" w:line="1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remaining Board compensation for non-employee directors will remain as follows:</w:t>
      </w:r>
    </w:p>
    <w:p>
      <w:pPr>
        <w:spacing w:after="0" w:line="225" w:lineRule="exact"/>
        <w:rPr>
          <w:sz w:val="24"/>
          <w:szCs w:val="24"/>
          <w:color w:val="auto"/>
        </w:rPr>
      </w:pPr>
    </w:p>
    <w:p>
      <w:pPr>
        <w:ind w:left="660" w:right="60"/>
        <w:spacing w:after="0" w:line="297" w:lineRule="auto"/>
        <w:rPr>
          <w:sz w:val="20"/>
          <w:szCs w:val="20"/>
          <w:color w:val="auto"/>
        </w:rPr>
      </w:pPr>
      <w:r>
        <w:rPr>
          <w:rFonts w:ascii="Arial" w:cs="Arial" w:eastAsia="Arial" w:hAnsi="Arial"/>
          <w:sz w:val="16"/>
          <w:szCs w:val="16"/>
          <w:color w:val="auto"/>
        </w:rPr>
        <w:t>Each director who is not an employee of the Company receives an annual retainer of $15,000, of which $6,000 is used to purchase Company common stock through the Company’s Employee Stock Purchase Plan. Pursuant to the bonus provisions of the Employee Stock Purchase Plan, the Company credits each year an additional $4,500 to each non-employee director’s account to fund the purchase of additional shares of Company common stock. The Company also pays an annual retainer of $2,500 to the chairs of the Audit Committee and the Compensation Committee. Additionally, the non-employee directors receive a meeting fee of $1,000 for each Board and committee meeting attended.</w:t>
      </w:r>
    </w:p>
    <w:p>
      <w:pPr>
        <w:spacing w:after="0" w:line="158" w:lineRule="exact"/>
        <w:rPr>
          <w:sz w:val="24"/>
          <w:szCs w:val="24"/>
          <w:color w:val="auto"/>
        </w:rPr>
      </w:pPr>
    </w:p>
    <w:p>
      <w:pPr>
        <w:ind w:left="660" w:right="60"/>
        <w:spacing w:after="0" w:line="277" w:lineRule="auto"/>
        <w:rPr>
          <w:sz w:val="20"/>
          <w:szCs w:val="20"/>
          <w:color w:val="auto"/>
        </w:rPr>
      </w:pPr>
      <w:r>
        <w:rPr>
          <w:rFonts w:ascii="Arial" w:cs="Arial" w:eastAsia="Arial" w:hAnsi="Arial"/>
          <w:sz w:val="18"/>
          <w:szCs w:val="18"/>
          <w:color w:val="auto"/>
        </w:rPr>
        <w:t>Also on September 21, 2005, Mr. McKeon resigned from the Audit Committee and the Board elected Daryl I. Skaar, a current member of the Audit Committee, to succeed Mr. McKeon as the Chairman of the Audit Committee.</w:t>
      </w:r>
    </w:p>
    <w:p>
      <w:pPr>
        <w:spacing w:after="0" w:line="170" w:lineRule="exact"/>
        <w:rPr>
          <w:sz w:val="24"/>
          <w:szCs w:val="24"/>
          <w:color w:val="auto"/>
        </w:rPr>
      </w:pPr>
    </w:p>
    <w:p>
      <w:pPr>
        <w:ind w:left="660"/>
        <w:spacing w:after="0" w:line="264" w:lineRule="auto"/>
        <w:rPr>
          <w:sz w:val="20"/>
          <w:szCs w:val="20"/>
          <w:color w:val="auto"/>
        </w:rPr>
      </w:pPr>
      <w:r>
        <w:rPr>
          <w:rFonts w:ascii="Arial" w:cs="Arial" w:eastAsia="Arial" w:hAnsi="Arial"/>
          <w:sz w:val="18"/>
          <w:szCs w:val="18"/>
          <w:color w:val="auto"/>
        </w:rPr>
        <w:t>On September 21, 2005, Mr. McKeon also agreed to provide consulting services to the Company on certain strategic projects identified by the Chief Executive Officer of the Company for which Mr. McKeon will be paid $5,000 per month. Either the Company or Mr. McKeon can terminate this arrangement at any time.</w:t>
      </w:r>
    </w:p>
    <w:p>
      <w:pPr>
        <w:spacing w:after="0" w:line="177"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229" w:lineRule="exact"/>
        <w:rPr>
          <w:sz w:val="24"/>
          <w:szCs w:val="24"/>
          <w:color w:val="auto"/>
        </w:rPr>
      </w:pPr>
    </w:p>
    <w:p>
      <w:pPr>
        <w:ind w:left="1280" w:hanging="624"/>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4"/>
          <w:szCs w:val="24"/>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September 26, 2005</w:t>
      </w:r>
    </w:p>
    <w:p>
      <w:pPr>
        <w:sectPr>
          <w:pgSz w:w="11900" w:h="16838" w:orient="portrait"/>
          <w:cols w:equalWidth="0" w:num="1">
            <w:col w:w="11340"/>
          </w:cols>
          <w:pgMar w:left="240" w:top="585" w:right="31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September 26, 2005</w:t>
            </w:r>
          </w:p>
        </w:tc>
        <w:tc>
          <w:tcPr>
            <w:tcW w:w="7640" w:type="dxa"/>
            <w:vAlign w:val="bottom"/>
            <w:gridSpan w:val="2"/>
          </w:tcPr>
          <w:p>
            <w:pPr>
              <w:ind w:left="2840"/>
              <w:spacing w:after="0"/>
              <w:rPr>
                <w:sz w:val="20"/>
                <w:szCs w:val="20"/>
                <w:color w:val="auto"/>
              </w:rPr>
            </w:pPr>
            <w:r>
              <w:rPr>
                <w:rFonts w:ascii="Arial" w:cs="Arial" w:eastAsia="Arial" w:hAnsi="Arial"/>
                <w:sz w:val="18"/>
                <w:szCs w:val="18"/>
                <w:color w:val="auto"/>
              </w:rPr>
              <w:t>HAWKINS, INC.</w:t>
            </w:r>
          </w:p>
        </w:tc>
        <w:tc>
          <w:tcPr>
            <w:tcW w:w="20" w:type="dxa"/>
            <w:vAlign w:val="bottom"/>
          </w:tcPr>
          <w:p>
            <w:pPr>
              <w:spacing w:after="0"/>
              <w:rPr>
                <w:sz w:val="20"/>
                <w:szCs w:val="20"/>
                <w:color w:val="auto"/>
              </w:rPr>
            </w:pPr>
          </w:p>
        </w:tc>
      </w:tr>
      <w:tr>
        <w:trPr>
          <w:trHeight w:val="648"/>
        </w:trPr>
        <w:tc>
          <w:tcPr>
            <w:tcW w:w="3780" w:type="dxa"/>
            <w:vAlign w:val="bottom"/>
          </w:tcPr>
          <w:p>
            <w:pPr>
              <w:spacing w:after="0"/>
              <w:rPr>
                <w:sz w:val="24"/>
                <w:szCs w:val="24"/>
                <w:color w:val="auto"/>
              </w:rPr>
            </w:pPr>
          </w:p>
        </w:tc>
        <w:tc>
          <w:tcPr>
            <w:tcW w:w="7640" w:type="dxa"/>
            <w:vAlign w:val="bottom"/>
            <w:gridSpan w:val="2"/>
          </w:tcPr>
          <w:p>
            <w:pPr>
              <w:ind w:left="2840"/>
              <w:spacing w:after="0"/>
              <w:rPr>
                <w:sz w:val="20"/>
                <w:szCs w:val="20"/>
                <w:color w:val="auto"/>
              </w:rPr>
            </w:pPr>
            <w:r>
              <w:rPr>
                <w:rFonts w:ascii="Arial" w:cs="Arial" w:eastAsia="Arial" w:hAnsi="Arial"/>
                <w:sz w:val="18"/>
                <w:szCs w:val="18"/>
                <w:color w:val="auto"/>
              </w:rPr>
              <w:t>By   /s/ John R. Hawkins</w:t>
            </w:r>
          </w:p>
        </w:tc>
        <w:tc>
          <w:tcPr>
            <w:tcW w:w="2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R. Hawkins</w:t>
            </w:r>
          </w:p>
        </w:tc>
        <w:tc>
          <w:tcPr>
            <w:tcW w:w="2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7640" w:type="dxa"/>
            <w:vAlign w:val="bottom"/>
            <w:gridSpan w:val="2"/>
          </w:tcPr>
          <w:p>
            <w:pPr>
              <w:ind w:left="3180"/>
              <w:spacing w:after="0"/>
              <w:rPr>
                <w:sz w:val="20"/>
                <w:szCs w:val="20"/>
                <w:color w:val="auto"/>
              </w:rPr>
            </w:pPr>
            <w:r>
              <w:rPr>
                <w:rFonts w:ascii="Arial" w:cs="Arial" w:eastAsia="Arial" w:hAnsi="Arial"/>
                <w:sz w:val="18"/>
                <w:szCs w:val="18"/>
                <w:i w:val="1"/>
                <w:iCs w:val="1"/>
                <w:color w:val="auto"/>
              </w:rPr>
              <w:t>Chief Executive Officer</w:t>
            </w:r>
          </w:p>
        </w:tc>
        <w:tc>
          <w:tcPr>
            <w:tcW w:w="2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3180" w:type="dxa"/>
            <w:vAlign w:val="bottom"/>
          </w:tcPr>
          <w:p>
            <w:pPr>
              <w:jc w:val="right"/>
              <w:ind w:right="1110"/>
              <w:spacing w:after="0"/>
              <w:rPr>
                <w:sz w:val="20"/>
                <w:szCs w:val="20"/>
                <w:color w:val="auto"/>
              </w:rPr>
            </w:pPr>
            <w:r>
              <w:rPr>
                <w:rFonts w:ascii="Arial" w:cs="Arial" w:eastAsia="Arial" w:hAnsi="Arial"/>
                <w:sz w:val="18"/>
                <w:szCs w:val="18"/>
                <w:color w:val="auto"/>
              </w:rPr>
              <w:t>2</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78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JWeichert@comcast.net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S. MCKEON NAMED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CHAIRMAN OF THE BOARD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HAWKINS, INC</w:t>
      </w:r>
      <w:r>
        <w:rPr>
          <w:rFonts w:ascii="Arial" w:cs="Arial" w:eastAsia="Arial" w:hAnsi="Arial"/>
          <w:sz w:val="18"/>
          <w:szCs w:val="18"/>
          <w:color w:val="auto"/>
        </w:rPr>
        <w:t>.</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Minneapolis, MN, September 26, 2005 – Hawkins, Inc. (Nasdaq: HWKN) today announced that John S. “Jack” McKeon, a Hawkins Board member since 1984, has been named Chairman of the Board of Directors effective September 21, 2005. John R. Hawkins will remain Chief Executive Officer of Hawkins, Inc.</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John R. Hawkins, Chief Executive Officer, commented, “We recognize the fundamental importance of good corporate governance and determined it would be prudent as a public company to separate the roles of Board Chairman and CEO. This change is timely and in the best interests of the Company, its shareholders, employees, customers and suppliers. It signifies Hawkins’ understanding of how to maximize value creation for our shareholders through greater transparency and more independence amongst the Board and management roles.”</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Mr. McKeon was the President and Chief Operating Officer of ConAgra Foods, Inc. Venture Development Group through June 2005 and President and Chief Operating Officer of ConAgra Foods Snack Group (formerly Golden Valley Microwave Foods, Inc.) through November 2003. Previously he headed McKeon Associates, a corporate finance-consulting firm and served as a Vice President of Northstar Industries until 1990.</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exceptionally pleased that Jack McKeon, a seasoned manager and well respected business leader, agreed to expand his service to the Company as Chairman of the Board,” Hawkins said. “When he first joined our Board in 1984, this company had sales of approximately $30.0 million; for the 2005 fiscal year ended April 3, 2005 Hawkins’ sales hit $115.3 million. Jack has helped guide the Company’s growth and success as well as transitions amongst the management team. He has proven to be an integral member of our Board who I admire and respect.”</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believe this move is in the best interests of our shareholders,” Hawkins said. “Jack understands the importance and relevance of corporate governance in today’s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environment and in his new role now has the opportunity to maximize his expertise to the benefit of Hawkins.”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3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April 3, 2005, Forms 10-Q, and other SEC filings.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2019-12-11T18:06:22Z</dcterms:created>
  <dcterms:modified xsi:type="dcterms:W3CDTF">2019-12-11T18:06:22Z</dcterms:modified>
</cp:coreProperties>
</file>