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11, 2020</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246" w:right="239" w:bottom="1440" w:gutter="0" w:footer="0" w:header="0"/>
        </w:sectPr>
      </w:pPr>
    </w:p>
    <w:p>
      <w:pPr>
        <w:spacing w:after="0" w:line="232" w:lineRule="exact"/>
        <w:rPr>
          <w:sz w:val="24"/>
          <w:szCs w:val="24"/>
          <w:color w:val="auto"/>
        </w:rPr>
      </w:pPr>
    </w:p>
    <w:p>
      <w:pPr>
        <w:ind w:left="172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240" w:space="720"/>
            <w:col w:w="2500" w:space="720"/>
            <w:col w:w="2240"/>
          </w:cols>
          <w:pgMar w:left="240" w:top="1246" w:right="239" w:bottom="1440" w:gutter="0" w:footer="0" w:header="0"/>
          <w:type w:val="continuous"/>
        </w:sectPr>
      </w:pPr>
    </w:p>
    <w:p>
      <w:pPr>
        <w:ind w:left="74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660" w:space="720"/>
            <w:col w:w="2460" w:space="720"/>
            <w:col w:w="2860"/>
          </w:cols>
          <w:pgMar w:left="240" w:top="1246" w:right="239" w:bottom="1440" w:gutter="0" w:footer="0" w:header="0"/>
          <w:type w:val="continuous"/>
        </w:sectPr>
      </w:pPr>
    </w:p>
    <w:p>
      <w:pPr>
        <w:spacing w:after="0" w:line="290" w:lineRule="exact"/>
        <w:rPr>
          <w:sz w:val="24"/>
          <w:szCs w:val="24"/>
          <w:color w:val="auto"/>
        </w:rPr>
      </w:pPr>
    </w:p>
    <w:p>
      <w:pPr>
        <w:ind w:left="1160"/>
        <w:spacing w:after="0"/>
        <w:rPr>
          <w:sz w:val="20"/>
          <w:szCs w:val="20"/>
          <w:color w:val="auto"/>
        </w:rPr>
      </w:pPr>
      <w:r>
        <w:rPr>
          <w:rFonts w:ascii="Arial" w:cs="Arial" w:eastAsia="Arial" w:hAnsi="Arial"/>
          <w:sz w:val="15"/>
          <w:szCs w:val="15"/>
          <w:b w:val="1"/>
          <w:bCs w:val="1"/>
          <w:color w:val="auto"/>
        </w:rPr>
        <w:t>2381 Rosegate, Roseville,</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3" w:lineRule="exact"/>
        <w:rPr>
          <w:sz w:val="24"/>
          <w:szCs w:val="24"/>
          <w:color w:val="auto"/>
        </w:rPr>
      </w:pPr>
    </w:p>
    <w:p>
      <w:pPr>
        <w:sectPr>
          <w:pgSz w:w="11900" w:h="16838" w:orient="portrait"/>
          <w:cols w:equalWidth="0" w:num="3">
            <w:col w:w="3080" w:space="360"/>
            <w:col w:w="4620" w:space="720"/>
            <w:col w:w="2640"/>
          </w:cols>
          <w:pgMar w:left="240" w:top="1246" w:right="239" w:bottom="1440" w:gutter="0" w:footer="0" w:header="0"/>
          <w:type w:val="continuous"/>
        </w:sectPr>
      </w:pPr>
    </w:p>
    <w:p>
      <w:pPr>
        <w:ind w:left="14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940" w:space="720"/>
            <w:col w:w="2760"/>
          </w:cols>
          <w:pgMar w:left="240" w:top="1246" w:right="239" w:bottom="1440" w:gutter="0" w:footer="0" w:header="0"/>
          <w:type w:val="continuous"/>
        </w:sect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91" w:lineRule="exact"/>
        <w:rPr>
          <w:sz w:val="24"/>
          <w:szCs w:val="24"/>
          <w:color w:val="auto"/>
        </w:rPr>
      </w:pPr>
    </w:p>
    <w:p>
      <w:pPr>
        <w:ind w:right="420" w:firstLine="446"/>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9" w:lineRule="exact"/>
        <w:rPr>
          <w:sz w:val="24"/>
          <w:szCs w:val="24"/>
          <w:color w:val="auto"/>
        </w:rPr>
      </w:pPr>
    </w:p>
    <w:tbl>
      <w:tblPr>
        <w:tblLayout w:type="fixed"/>
        <w:tblInd w:w="340" w:type="dxa"/>
        <w:tblCellMar>
          <w:top w:w="0" w:type="dxa"/>
          <w:left w:w="0" w:type="dxa"/>
          <w:bottom w:w="0" w:type="dxa"/>
          <w:right w:w="0" w:type="dxa"/>
        </w:tblCellMar>
      </w:tblPr>
      <w:tr>
        <w:trPr>
          <w:trHeight w:val="228"/>
        </w:trPr>
        <w:tc>
          <w:tcPr>
            <w:tcW w:w="356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Title of each class</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46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4"/>
        </w:trPr>
        <w:tc>
          <w:tcPr>
            <w:tcW w:w="356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2540" w:type="dxa"/>
            <w:vAlign w:val="bottom"/>
          </w:tcPr>
          <w:p>
            <w:pPr>
              <w:jc w:val="center"/>
              <w:spacing w:after="0"/>
              <w:rPr>
                <w:sz w:val="20"/>
                <w:szCs w:val="20"/>
                <w:color w:val="auto"/>
              </w:rPr>
            </w:pPr>
            <w:r>
              <w:rPr>
                <w:rFonts w:ascii="Arial" w:cs="Arial" w:eastAsia="Arial" w:hAnsi="Arial"/>
                <w:sz w:val="16"/>
                <w:szCs w:val="16"/>
                <w:color w:val="auto"/>
              </w:rPr>
              <w:t>HWKN</w:t>
            </w:r>
          </w:p>
        </w:tc>
        <w:tc>
          <w:tcPr>
            <w:tcW w:w="4660" w:type="dxa"/>
            <w:vAlign w:val="bottom"/>
          </w:tcPr>
          <w:p>
            <w:pPr>
              <w:jc w:val="center"/>
              <w:ind w:right="119"/>
              <w:spacing w:after="0"/>
              <w:rPr>
                <w:sz w:val="20"/>
                <w:szCs w:val="20"/>
                <w:color w:val="auto"/>
              </w:rPr>
            </w:pPr>
            <w:r>
              <w:rPr>
                <w:rFonts w:ascii="Arial" w:cs="Arial" w:eastAsia="Arial" w:hAnsi="Arial"/>
                <w:sz w:val="16"/>
                <w:szCs w:val="16"/>
                <w:color w:val="auto"/>
              </w:rPr>
              <w:t>Nasdaq Stock Market LLC</w:t>
            </w:r>
          </w:p>
        </w:tc>
      </w:tr>
    </w:tbl>
    <w:p>
      <w:pPr>
        <w:spacing w:after="0" w:line="356"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Exchange Act (§240.12b-2 of this chapter).</w:t>
      </w:r>
    </w:p>
    <w:p>
      <w:pPr>
        <w:spacing w:after="0" w:line="165"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16" w:lineRule="exact"/>
        <w:rPr>
          <w:sz w:val="20"/>
          <w:szCs w:val="20"/>
          <w:color w:val="auto"/>
        </w:rPr>
      </w:pPr>
    </w:p>
    <w:p>
      <w:pPr>
        <w:ind w:right="60" w:firstLine="648"/>
        <w:spacing w:after="0" w:line="234" w:lineRule="auto"/>
        <w:rPr>
          <w:sz w:val="20"/>
          <w:szCs w:val="20"/>
          <w:color w:val="auto"/>
        </w:rPr>
      </w:pPr>
      <w:r>
        <w:rPr>
          <w:rFonts w:ascii="Arial" w:cs="Arial" w:eastAsia="Arial" w:hAnsi="Arial"/>
          <w:sz w:val="18"/>
          <w:szCs w:val="18"/>
          <w:color w:val="auto"/>
        </w:rPr>
        <w:t>The Audit Committee (the “Committee”) of the Board of Directors of Hawkins, Inc. (the “Company”) conducted a competitive process to determine the Company’s independent registered public accounting firm for the Company’s fiscal year ending March 28, 2021. The Company invited several independent registered public accounting firms to participate in this process.</w:t>
      </w:r>
    </w:p>
    <w:p>
      <w:pPr>
        <w:spacing w:after="0" w:line="2" w:lineRule="exact"/>
        <w:rPr>
          <w:sz w:val="20"/>
          <w:szCs w:val="20"/>
          <w:color w:val="auto"/>
        </w:rPr>
      </w:pPr>
    </w:p>
    <w:p>
      <w:pPr>
        <w:ind w:right="100" w:firstLine="648"/>
        <w:spacing w:after="0" w:line="248" w:lineRule="auto"/>
        <w:rPr>
          <w:sz w:val="20"/>
          <w:szCs w:val="20"/>
          <w:color w:val="auto"/>
        </w:rPr>
      </w:pPr>
      <w:r>
        <w:rPr>
          <w:rFonts w:ascii="Arial" w:cs="Arial" w:eastAsia="Arial" w:hAnsi="Arial"/>
          <w:sz w:val="17"/>
          <w:szCs w:val="17"/>
          <w:color w:val="auto"/>
        </w:rPr>
        <w:t>Following the review of proposals from the independent registered public accounting firms that participated in the process, on February 5, 2020, the Committee approved the engagement of Grant Thornton LLP (“Grant”), as the Company’s independent registered public accounting firm, for the Company’s fiscal year ending March 28, 2021, subject to the completion of Grant’s standard client acceptance procedures and execution of an engagement letter. In connection with this appointment, the Committee approved the dismissal of KPMG LLP (“KPMG”), the Company’s current independent registered public accounting firm, effective upon completion of the audit for the fiscal year ending March 29, 2020.</w:t>
      </w:r>
    </w:p>
    <w:p>
      <w:pPr>
        <w:spacing w:after="0" w:line="3"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18"/>
          <w:szCs w:val="18"/>
          <w:color w:val="auto"/>
        </w:rPr>
        <w:t>KPMG’s reports on the consolidated financial statements of the Company as of and for the fiscal years ended March 31, 2019 and April 1, 2018, and the effectiveness of internal control over financial reporting as of March 31, 2019, did not contain any adverse opinion or disclaimer of opinion, nor were they qualified or modified as to uncertainty, audit scope or accounting principles.</w:t>
      </w:r>
    </w:p>
    <w:p>
      <w:pPr>
        <w:spacing w:after="0" w:line="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6"/>
          <w:szCs w:val="16"/>
          <w:color w:val="auto"/>
        </w:rPr>
        <w:t>During the fiscal years ended April 1, 2018 and March 31, 2019, and the subsequent interim periods through February 5, 2020, there were (i) no disagreements within the meaning of Item 304(a)(1)(iv) of Regulation S-K and the related instructions between the Company and KPMG on any matters of accounting principles or practices, financial statement disclosure, or auditing scope or procedure which, if not resolved to the satisfaction of KPMG, would have caused KPMG to make reference thereto in their reports; and (ii) no “reportable events” as defined in Item 304(a)(1)(v) of Regulation S-K.</w:t>
      </w:r>
    </w:p>
    <w:p>
      <w:pPr>
        <w:spacing w:after="0" w:line="1" w:lineRule="exact"/>
        <w:rPr>
          <w:sz w:val="20"/>
          <w:szCs w:val="20"/>
          <w:color w:val="auto"/>
        </w:rPr>
      </w:pPr>
    </w:p>
    <w:p>
      <w:pPr>
        <w:ind w:firstLine="648"/>
        <w:spacing w:after="0" w:line="248" w:lineRule="auto"/>
        <w:rPr>
          <w:sz w:val="20"/>
          <w:szCs w:val="20"/>
          <w:color w:val="auto"/>
        </w:rPr>
      </w:pPr>
      <w:r>
        <w:rPr>
          <w:rFonts w:ascii="Arial" w:cs="Arial" w:eastAsia="Arial" w:hAnsi="Arial"/>
          <w:sz w:val="17"/>
          <w:szCs w:val="17"/>
          <w:color w:val="auto"/>
        </w:rPr>
        <w:t>During the fiscal years ended April 1, 2018 and March 31, 2019, and the subsequent interim periods through February 5, 2020, neither the Company nor anyone on its behalf has consulted with Grant regarding (i) the application of accounting principles to a specific transaction, either completed or proposed, or the type of audit opinion that might be rendered on the Company’s consolidated financial statements, and neither a written report nor oral advice was provided to the Company that Grant concluded was an important factor considered by the Company in reaching a decision as to any accounting, auditing, or financial reporting issue; (ii) any matters that were the subject of a disagreement within the meaning of Item 304(a)(1)(iv) of Regulation S-K and the related instructions; or (iii) any reportable event within the meaning of Item 304(a)(1)(v) of Regulation S-K.</w:t>
      </w:r>
    </w:p>
    <w:p>
      <w:pPr>
        <w:spacing w:after="0" w:line="4"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 has provided KPMG with a copy of this disclosure and requested that KPMG furnish the Company with a letter addressed to the Securities and Exchange Commission stating whether it agrees with the above statements. The letter from KPMG was furnished to the Company on February 11, 2020, and the text of the letter is attached as Exhibit 16.1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665480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40"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6"/>
                <w:szCs w:val="16"/>
                <w:color w:val="auto"/>
              </w:rPr>
            </w:pPr>
          </w:p>
        </w:tc>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100" w:type="dxa"/>
            <w:vAlign w:val="bottom"/>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Method of Filing</w:t>
            </w:r>
          </w:p>
        </w:tc>
        <w:tc>
          <w:tcPr>
            <w:tcW w:w="18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98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16.</w:t>
              </w:r>
              <w:r>
                <w:rPr>
                  <w:rFonts w:ascii="Arial" w:cs="Arial" w:eastAsia="Arial" w:hAnsi="Arial"/>
                  <w:sz w:val="18"/>
                  <w:szCs w:val="18"/>
                  <w:u w:val="single" w:color="auto"/>
                  <w:color w:val="0000FF"/>
                </w:rPr>
                <w:t>1</w:t>
              </w:r>
            </w:hyperlink>
          </w:p>
        </w:tc>
        <w:tc>
          <w:tcPr>
            <w:tcW w:w="100" w:type="dxa"/>
            <w:vAlign w:val="bottom"/>
          </w:tcPr>
          <w:p>
            <w:pPr>
              <w:spacing w:after="0"/>
              <w:rPr>
                <w:sz w:val="21"/>
                <w:szCs w:val="21"/>
                <w:color w:val="auto"/>
              </w:rPr>
            </w:pPr>
          </w:p>
        </w:tc>
        <w:tc>
          <w:tcPr>
            <w:tcW w:w="7480" w:type="dxa"/>
            <w:vAlign w:val="bottom"/>
            <w:gridSpan w:val="2"/>
          </w:tcPr>
          <w:p>
            <w:pPr>
              <w:ind w:left="20"/>
              <w:spacing w:after="0"/>
              <w:rPr>
                <w:sz w:val="20"/>
                <w:szCs w:val="20"/>
                <w:color w:val="auto"/>
              </w:rPr>
            </w:pPr>
            <w:r>
              <w:rPr>
                <w:rFonts w:ascii="Arial" w:cs="Arial" w:eastAsia="Arial" w:hAnsi="Arial"/>
                <w:sz w:val="18"/>
                <w:szCs w:val="18"/>
                <w:color w:val="auto"/>
              </w:rPr>
              <w:t>Correspondence from KPMG LLP dated February 11, 2020</w:t>
            </w:r>
          </w:p>
        </w:tc>
        <w:tc>
          <w:tcPr>
            <w:tcW w:w="28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Filed Electronically</w:t>
            </w:r>
          </w:p>
        </w:tc>
      </w:tr>
      <w:tr>
        <w:trPr>
          <w:trHeight w:val="291"/>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9"/>
              </w:rPr>
              <w:t>104</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8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8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Filed Electronically</w:t>
            </w:r>
          </w:p>
        </w:tc>
      </w:tr>
      <w:tr>
        <w:trPr>
          <w:trHeight w:val="13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6"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HAWKINS, INC.</w:t>
      </w:r>
    </w:p>
    <w:p>
      <w:pPr>
        <w:spacing w:after="0" w:line="333" w:lineRule="exact"/>
        <w:rPr>
          <w:sz w:val="20"/>
          <w:szCs w:val="20"/>
          <w:color w:val="auto"/>
        </w:rPr>
      </w:pPr>
    </w:p>
    <w:p>
      <w:pPr>
        <w:ind w:left="20"/>
        <w:spacing w:after="0"/>
        <w:tabs>
          <w:tab w:leader="none" w:pos="4660" w:val="left"/>
          <w:tab w:leader="none" w:pos="7420" w:val="left"/>
        </w:tabs>
        <w:rPr>
          <w:sz w:val="20"/>
          <w:szCs w:val="20"/>
          <w:color w:val="auto"/>
        </w:rPr>
      </w:pPr>
      <w:r>
        <w:rPr>
          <w:rFonts w:ascii="Arial" w:cs="Arial" w:eastAsia="Arial" w:hAnsi="Arial"/>
          <w:sz w:val="18"/>
          <w:szCs w:val="18"/>
          <w:color w:val="auto"/>
        </w:rPr>
        <w:t>Date: February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936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57"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940"/>
          </w:cols>
          <w:pgMar w:left="240" w:top="1094"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16.1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We are currently principal accountants for Hawkins, Inc. and, under the date of May 23, 2019, we reported on the consolidated financial statements of Hawkins, Inc. and subsidiaries as of and for the years ended March 31, 2019 and April 1, 2018, and the effectiveness of internal control over financial reporting as of March 31, 2019. On February 6, 2020, we were notified that Hawkins, Inc. engaged Grant Thornton LLP (“Grant”) as its principal accountant for the year ending March 28, 2021 and that the auditor-client relationship with KPMG LLP will cease upon completion of the audit of Hawkins, Inc.’s consolidated financial statements as of and for the year ending March 29, 2020, and the effectiveness of internal control over financial reporting as of March 29, 2020, and the issuance of our report thereon. We have read Hawkins, Inc.’s statements included under Item 4.01 of its Form 8-K dated February 11, 2020, and we agree with such statements, except that we are not in a position to agree or disagree with (i) the first paragraph of Item 4.01 related to the process undertaken by the Company, (ii) Hawkins, Inc.’s statement that the Committee approved the engagement of Grant as the Company’s independent registered public accounting firm for the Company’s fiscal year ending March 28, 2021, subject to the completion of Grant’s standard client acceptance procedures and execution of an engagement letter, and (iii) Hawkins, Inc.’s statements in the fifth paragraph of Item 4.01.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sectPr>
      <w:pgSz w:w="11900" w:h="16838" w:orient="portrait"/>
      <w:cols w:equalWidth="0" w:num="1">
        <w:col w:w="11420"/>
      </w:cols>
      <w:pgMar w:left="240" w:top="14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2020-02-11T15:37:47Z</dcterms:created>
  <dcterms:modified xsi:type="dcterms:W3CDTF">2020-02-11T15:37:47Z</dcterms:modified>
</cp:coreProperties>
</file>