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Jones Gregory Alan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920" w:type="dxa"/>
            <w:vAlign w:val="bottom"/>
            <w:tcBorders>
              <w:top w:val="single" w:sz="8" w:color="0000EE"/>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04/14/2025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HAWKINS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HWKN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2381 ROSEGATE</w:t>
            </w:r>
          </w:p>
        </w:tc>
        <w:tc>
          <w:tcPr>
            <w:tcW w:w="130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ROSEVILLE MN</w:t>
            </w:r>
          </w:p>
        </w:tc>
        <w:tc>
          <w:tcPr>
            <w:tcW w:w="1300" w:type="dxa"/>
            <w:vAlign w:val="bottom"/>
          </w:tcPr>
          <w:p>
            <w:pPr>
              <w:jc w:val="right"/>
              <w:ind w:right="397"/>
              <w:spacing w:after="0"/>
              <w:rPr>
                <w:sz w:val="20"/>
                <w:szCs w:val="20"/>
                <w:color w:val="auto"/>
              </w:rPr>
            </w:pPr>
            <w:r>
              <w:rPr>
                <w:rFonts w:ascii="Times New Roman" w:cs="Times New Roman" w:eastAsia="Times New Roman" w:hAnsi="Times New Roman"/>
                <w:sz w:val="20"/>
                <w:szCs w:val="20"/>
                <w:color w:val="0000FF"/>
              </w:rPr>
              <w:t>55113</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283"/>
        <w:spacing w:after="0"/>
        <w:rPr>
          <w:sz w:val="20"/>
          <w:szCs w:val="20"/>
          <w:color w:val="auto"/>
        </w:rPr>
      </w:pPr>
      <w:r>
        <w:rPr>
          <w:rFonts w:ascii="Times New Roman" w:cs="Times New Roman" w:eastAsia="Times New Roman" w:hAnsi="Times New Roman"/>
          <w:sz w:val="20"/>
          <w:szCs w:val="20"/>
          <w:color w:val="0000FF"/>
        </w:rPr>
        <w:t>VP of Food and Health Sciences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60" w:type="dxa"/>
            <w:vAlign w:val="bottom"/>
          </w:tcPr>
          <w:p>
            <w:pPr>
              <w:ind w:left="620"/>
              <w:spacing w:after="0"/>
              <w:rPr>
                <w:sz w:val="20"/>
                <w:szCs w:val="20"/>
                <w:color w:val="auto"/>
              </w:rPr>
            </w:pPr>
            <w:r>
              <w:rPr>
                <w:rFonts w:ascii="Times New Roman" w:cs="Times New Roman" w:eastAsia="Times New Roman" w:hAnsi="Times New Roman"/>
                <w:sz w:val="20"/>
                <w:szCs w:val="20"/>
                <w:color w:val="0000FF"/>
              </w:rPr>
              <w:t>4,569</w:t>
            </w:r>
          </w:p>
        </w:tc>
        <w:tc>
          <w:tcPr>
            <w:tcW w:w="110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100" w:type="dxa"/>
            <w:vAlign w:val="bottom"/>
            <w:gridSpan w:val="2"/>
            <w:vMerge w:val="restart"/>
          </w:tcPr>
          <w:p>
            <w:pPr>
              <w:ind w:left="4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00" w:type="dxa"/>
            <w:vAlign w:val="bottom"/>
            <w:gridSpan w:val="2"/>
          </w:tcPr>
          <w:p>
            <w:pPr>
              <w:ind w:left="4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EX-24 POA</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Joshua L. Colburn,</w:t>
            </w:r>
          </w:p>
        </w:tc>
        <w:tc>
          <w:tcPr>
            <w:tcW w:w="4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05/09/2025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LIMITED POWER OF ATTORNEY</w:t>
      </w:r>
    </w:p>
    <w:p>
      <w:pPr>
        <w:spacing w:after="0" w:line="276"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2"/>
          <w:szCs w:val="22"/>
          <w:color w:val="auto"/>
        </w:rPr>
        <w:t>Know all by these presents, that the undersigned hereby makes, constitutes and appoints each of Richard G. Erstad, Dan Louismet, Steven C. Kennedy, Joshua L. Colburn, Lexi J. Pitz and Amra Hoso, with full power of substitution and re-substitution, acting individually, as the undersigned’s true and lawful attorney-in-fact (each of such persons and their substitutes hereafter referred to as an “Attorney-in-Fact”), with full power and authority as hereinafter described on behalf of and in the undersigned’s name, place and stead, in any and all capacities to:</w:t>
      </w:r>
    </w:p>
    <w:p>
      <w:pPr>
        <w:spacing w:after="0" w:line="233" w:lineRule="exact"/>
        <w:rPr>
          <w:sz w:val="20"/>
          <w:szCs w:val="20"/>
          <w:color w:val="auto"/>
        </w:rPr>
      </w:pPr>
    </w:p>
    <w:p>
      <w:pPr>
        <w:jc w:val="both"/>
        <w:ind w:left="720" w:right="220" w:hanging="360"/>
        <w:spacing w:after="0" w:line="246" w:lineRule="auto"/>
        <w:tabs>
          <w:tab w:leader="none" w:pos="69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credentials (including codes or passwords) to enable the undersigned to submit and file documents, forms and information required by Section 16(a) of the Securities Exchange Act of 1934, as amended (the “Exchange Act”) or any rule or regulation of the U.S. Securities and Exchange Commission (the “SEC”) via the Electronic Data Gathering and Retrieval (“EDGAR”) system, including (i) preparing, executing in the undersigned’s name and on the undersigned’s behalf, and submitting to the SEC a Form ID (and any amendments thereto) or any other documents necessary or appropriate to obtain such credentials and legally bind the undersigned for purpose of the Form ID or such other documents; and (ii) enrolling the undersigned in EDGAR Next or any successor filing system;</w:t>
      </w:r>
    </w:p>
    <w:p>
      <w:pPr>
        <w:spacing w:after="0" w:line="236" w:lineRule="exact"/>
        <w:rPr>
          <w:rFonts w:ascii="Times New Roman" w:cs="Times New Roman" w:eastAsia="Times New Roman" w:hAnsi="Times New Roman"/>
          <w:sz w:val="22"/>
          <w:szCs w:val="22"/>
          <w:color w:val="auto"/>
        </w:rPr>
      </w:pPr>
    </w:p>
    <w:p>
      <w:pPr>
        <w:jc w:val="both"/>
        <w:ind w:left="720" w:right="240" w:hanging="360"/>
        <w:spacing w:after="0" w:line="249" w:lineRule="auto"/>
        <w:tabs>
          <w:tab w:leader="none" w:pos="69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 as an account administrator for the undersigned’s EDGAR account, including: (i)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w:t>
      </w:r>
    </w:p>
    <w:p>
      <w:pPr>
        <w:spacing w:after="0" w:line="233" w:lineRule="exact"/>
        <w:rPr>
          <w:rFonts w:ascii="Times New Roman" w:cs="Times New Roman" w:eastAsia="Times New Roman" w:hAnsi="Times New Roman"/>
          <w:sz w:val="22"/>
          <w:szCs w:val="22"/>
          <w:color w:val="auto"/>
        </w:rPr>
      </w:pPr>
    </w:p>
    <w:p>
      <w:pPr>
        <w:jc w:val="both"/>
        <w:ind w:left="720" w:right="220" w:hanging="360"/>
        <w:spacing w:after="0" w:line="252" w:lineRule="auto"/>
        <w:tabs>
          <w:tab w:leader="none" w:pos="69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Hawkins, Inc., (the “Company”) and Faegre Drinker Biddle &amp; Reath LLP (“Faegre Drinker”) to accept a delegation of authority from the undersigned’s EDGAR account administrators and authorize each such delegate's EDGAR account administrators pursuant to that delegated entity designation to appoint, remove or replace users for the undersigned’s EDGAR account;</w:t>
      </w:r>
    </w:p>
    <w:p>
      <w:pPr>
        <w:spacing w:after="0" w:line="228" w:lineRule="exact"/>
        <w:rPr>
          <w:rFonts w:ascii="Times New Roman" w:cs="Times New Roman" w:eastAsia="Times New Roman" w:hAnsi="Times New Roman"/>
          <w:sz w:val="22"/>
          <w:szCs w:val="22"/>
          <w:color w:val="auto"/>
        </w:rPr>
      </w:pPr>
    </w:p>
    <w:p>
      <w:pPr>
        <w:jc w:val="both"/>
        <w:ind w:left="720" w:right="220" w:hanging="360"/>
        <w:spacing w:after="0" w:line="247" w:lineRule="auto"/>
        <w:tabs>
          <w:tab w:leader="none" w:pos="69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and submit to the SEC, the Company, and any national securities exchange on which the Company’s securities are listed, for and on behalf of the undersigned and in the undersigned’s capacity as an officer and/or director of the Company, any and all reports (including any amendments thereto) that are required to be filed with such body, or which any Attorney-in-Fact considers advisable to file with such body, including but not limited to Forms 3, 4 and 5 relating to the Company in accordance with Section 16(a) of the Exchange Act the rules and regulations promulgated thereunder, and Forms 144 in accordance with Rule 144 under the Securities Act of 1933, as amended (the “Securities Act”);</w:t>
      </w:r>
    </w:p>
    <w:p>
      <w:pPr>
        <w:spacing w:after="0" w:line="233" w:lineRule="exact"/>
        <w:rPr>
          <w:rFonts w:ascii="Times New Roman" w:cs="Times New Roman" w:eastAsia="Times New Roman" w:hAnsi="Times New Roman"/>
          <w:sz w:val="22"/>
          <w:szCs w:val="22"/>
          <w:color w:val="auto"/>
        </w:rPr>
      </w:pPr>
    </w:p>
    <w:p>
      <w:pPr>
        <w:jc w:val="both"/>
        <w:ind w:left="720" w:right="220" w:hanging="360"/>
        <w:spacing w:after="0" w:line="252" w:lineRule="auto"/>
        <w:tabs>
          <w:tab w:leader="none" w:pos="69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third parties to release any such information to any Attorney-in-Fact and further approves and ratifies any such release of information;</w:t>
      </w:r>
    </w:p>
    <w:p>
      <w:pPr>
        <w:spacing w:after="0" w:line="228" w:lineRule="exact"/>
        <w:rPr>
          <w:rFonts w:ascii="Times New Roman" w:cs="Times New Roman" w:eastAsia="Times New Roman" w:hAnsi="Times New Roman"/>
          <w:sz w:val="22"/>
          <w:szCs w:val="22"/>
          <w:color w:val="auto"/>
        </w:rPr>
      </w:pPr>
    </w:p>
    <w:p>
      <w:pPr>
        <w:jc w:val="both"/>
        <w:ind w:left="720" w:right="220" w:hanging="360"/>
        <w:spacing w:after="0" w:line="249" w:lineRule="auto"/>
        <w:tabs>
          <w:tab w:leader="none" w:pos="69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that may be necessary or desirable to prepare, complete and execute any such Form 3, 4 or 5, or Forms 144, and any amendments thereto, or other required report, and timely file such forms or reports with the SEC and any stock exchange or similar authority as considered necessary or advisable under Section 16(a) of the Exchange Act or Rule I44 of the Securities Act; and</w:t>
      </w:r>
    </w:p>
    <w:p>
      <w:pPr>
        <w:spacing w:after="0" w:line="233" w:lineRule="exact"/>
        <w:rPr>
          <w:rFonts w:ascii="Times New Roman" w:cs="Times New Roman" w:eastAsia="Times New Roman" w:hAnsi="Times New Roman"/>
          <w:sz w:val="22"/>
          <w:szCs w:val="22"/>
          <w:color w:val="auto"/>
        </w:rPr>
      </w:pPr>
    </w:p>
    <w:p>
      <w:pPr>
        <w:jc w:val="both"/>
        <w:ind w:left="720" w:right="220" w:hanging="360"/>
        <w:spacing w:after="0" w:line="249" w:lineRule="auto"/>
        <w:tabs>
          <w:tab w:leader="none" w:pos="69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that such Attorney-in-Fact reasonably believes may be of benefit to, in the best interest of, or legally required of, the undersigned, it being understood that the documents executed by such Attorney-in-Fact on behalf of the undersigned pursuant to this Limited Power of Attorney will be in such fo1m and will contain such disclosure, information, terms and conditions as such Attorney-in-Fact, in such Attorney-in-Fact’s sole discretion, deems necessary or advisable.</w:t>
      </w:r>
    </w:p>
    <w:p>
      <w:pPr>
        <w:spacing w:after="0" w:line="200" w:lineRule="exact"/>
        <w:rPr>
          <w:sz w:val="20"/>
          <w:szCs w:val="20"/>
          <w:color w:val="auto"/>
        </w:rPr>
      </w:pPr>
    </w:p>
    <w:p>
      <w:pPr>
        <w:spacing w:after="0" w:line="30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color w:val="auto"/>
        </w:rPr>
        <w:t>The undersigned hereby acknowledges that (a) the foregoing Attorneys-in-Fact are serving in such capacity at the request of the undersigned; (b) this Limited Power of Attorney authorizes, but does not require, each such Attorney­in-Fact to act in the Attorney-in-Fact's discretion on information provided to such Attorney-in-Fact without independent verification of such information; (c) neither the Company, Faegre Drinker, nor any Attorney-in-Fact assumes (i) any liability for the undersigned’s responsibility to timely comply with the requirements of the Exchange Act or the Securities Act, (ii) any liability of the undersigned for any failure to comply with such requirements, (iii) any liability for any action or inaction by an Attorney-in-Fact relating to their service as an account administrator for the undersigned’s EDGAR account, or (iv) any obligation or liability of the undersigned for profit disgorgement under Section l 6(b) of the Exchange Act; and (d) this Limited Power of Attorney does not relieve the undersigned from responsibility for compliance with the undersigned’s</w:t>
      </w:r>
    </w:p>
    <w:p>
      <w:pPr>
        <w:sectPr>
          <w:pgSz w:w="11900" w:h="16838" w:orient="portrait"/>
          <w:cols w:equalWidth="0" w:num="1">
            <w:col w:w="10920"/>
          </w:cols>
          <w:pgMar w:left="480" w:top="381" w:right="499" w:bottom="0" w:gutter="0" w:footer="0" w:header="0"/>
        </w:sectPr>
      </w:pPr>
    </w:p>
    <w:bookmarkStart w:id="2" w:name="page3"/>
    <w:bookmarkEnd w:id="2"/>
    <w:p>
      <w:pPr>
        <w:ind w:right="120"/>
        <w:spacing w:after="0" w:line="274" w:lineRule="auto"/>
        <w:rPr>
          <w:sz w:val="20"/>
          <w:szCs w:val="20"/>
          <w:color w:val="auto"/>
        </w:rPr>
      </w:pPr>
      <w:r>
        <w:rPr>
          <w:rFonts w:ascii="Times New Roman" w:cs="Times New Roman" w:eastAsia="Times New Roman" w:hAnsi="Times New Roman"/>
          <w:sz w:val="22"/>
          <w:szCs w:val="22"/>
          <w:color w:val="auto"/>
        </w:rPr>
        <w:t>obligations under the Exchange Act and the Securities Act, including, without limitation, the reporting requirements under Section 16 of the Exchange Act.</w:t>
      </w:r>
    </w:p>
    <w:p>
      <w:pPr>
        <w:spacing w:after="0" w:line="20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This Limited Power of Attorney will remain in full force and effect until the undersigned is no longer required to file Forms 3, 4 and 5 or Forms 144 with respect to the undersigned’s holdings of, and transactions in, securities issued by the Company, unless earlier revoked as to any Attorney-in-Fact by the undersigned in a signed writing delivered to such Attorney-in-Fact. Notwithstanding the foregoing, if any such Attorney-in-Fact hereafter ceases to be at least one of the following: (1) an employee of the Company, or (2) a partner or employee of Faegre Drinker, then this Limited Power of Attorney will be automatically revoked solely as to such individual, immediately upon such cessation, without any further action by the undersigned.</w:t>
      </w:r>
    </w:p>
    <w:p>
      <w:pPr>
        <w:spacing w:after="0" w:line="233"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22"/>
          <w:szCs w:val="22"/>
          <w:color w:val="auto"/>
        </w:rPr>
        <w:t>The undersigned hereby revokes all previous powers of attorney that had been granted by or on their behalf in connection with reporting obligations, if any, under Section 16 of the Exchange Act and Rule 144 under the Securities Act concerning holdings of and transactions in securities issued by the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undersigned has caused this Limited Power of Attorney to be executed as of April 3, 2025</w:t>
      </w:r>
    </w:p>
    <w:p>
      <w:pPr>
        <w:spacing w:after="0" w:line="3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 Gregory Alan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17145</wp:posOffset>
            </wp:positionV>
            <wp:extent cx="33540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354070" cy="9525"/>
                    </a:xfrm>
                    <a:prstGeom prst="rect">
                      <a:avLst/>
                    </a:prstGeom>
                    <a:noFill/>
                  </pic:spPr>
                </pic:pic>
              </a:graphicData>
            </a:graphic>
          </wp:anchor>
        </w:drawing>
      </w:r>
    </w:p>
    <w:p>
      <w:pPr>
        <w:spacing w:after="0" w:line="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Name: Gregory Alan Jones</w:t>
      </w:r>
    </w:p>
    <w:sectPr>
      <w:pgSz w:w="11900" w:h="16838" w:orient="portrait"/>
      <w:cols w:equalWidth="0" w:num="1">
        <w:col w:w="10900"/>
      </w:cols>
      <w:pgMar w:left="480" w:top="11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067498" TargetMode="External"/><Relationship Id="rId11"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2025-05-09T15:16:19Z</dcterms:created>
  <dcterms:modified xsi:type="dcterms:W3CDTF">2025-05-09T15:16:19Z</dcterms:modified>
</cp:coreProperties>
</file>