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4"/>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29"/>
                <w:szCs w:val="29"/>
                <w:b w:val="1"/>
                <w:bCs w:val="1"/>
                <w:color w:val="auto"/>
                <w:w w:val="96"/>
              </w:rPr>
              <w:t>UNITED STATES</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20" w:type="dxa"/>
            <w:vAlign w:val="bottom"/>
            <w:gridSpan w:val="3"/>
          </w:tcPr>
          <w:p>
            <w:pPr>
              <w:jc w:val="center"/>
              <w:ind w:right="2860"/>
              <w:spacing w:after="0" w:line="350" w:lineRule="exact"/>
              <w:rPr>
                <w:sz w:val="20"/>
                <w:szCs w:val="20"/>
                <w:color w:val="auto"/>
              </w:rPr>
            </w:pPr>
            <w:r>
              <w:rPr>
                <w:rFonts w:ascii="Calibri" w:cs="Calibri" w:eastAsia="Calibri" w:hAnsi="Calibri"/>
                <w:sz w:val="29"/>
                <w:szCs w:val="29"/>
                <w:b w:val="1"/>
                <w:bCs w:val="1"/>
                <w:color w:val="auto"/>
                <w:w w:val="98"/>
              </w:rPr>
              <w:t>SECURITIES AND EXCHANGE COMMISSION</w:t>
            </w:r>
          </w:p>
        </w:tc>
      </w:tr>
      <w:tr>
        <w:trPr>
          <w:trHeight w:val="217"/>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0" w:type="dxa"/>
            <w:vAlign w:val="bottom"/>
          </w:tcPr>
          <w:p>
            <w:pPr>
              <w:jc w:val="center"/>
              <w:ind w:left="552"/>
              <w:spacing w:after="0" w:line="217" w:lineRule="exact"/>
              <w:rPr>
                <w:sz w:val="20"/>
                <w:szCs w:val="20"/>
                <w:color w:val="auto"/>
              </w:rPr>
            </w:pPr>
            <w:r>
              <w:rPr>
                <w:rFonts w:ascii="Calibri" w:cs="Calibri" w:eastAsia="Calibri" w:hAnsi="Calibri"/>
                <w:sz w:val="18"/>
                <w:szCs w:val="18"/>
                <w:b w:val="1"/>
                <w:bCs w:val="1"/>
                <w:color w:val="auto"/>
                <w:w w:val="96"/>
              </w:rPr>
              <w:t>WASHINGTON, D.C. 20549</w:t>
            </w: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0"/>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r>
        <w:trPr>
          <w:trHeight w:val="33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Borders>
              <w:bottom w:val="single" w:sz="8" w:color="auto"/>
            </w:tcBorders>
          </w:tcPr>
          <w:p>
            <w:pPr>
              <w:jc w:val="center"/>
              <w:ind w:left="552"/>
              <w:spacing w:after="0" w:line="331" w:lineRule="exact"/>
              <w:rPr>
                <w:sz w:val="20"/>
                <w:szCs w:val="20"/>
                <w:color w:val="auto"/>
              </w:rPr>
            </w:pPr>
            <w:r>
              <w:rPr>
                <w:rFonts w:ascii="Calibri" w:cs="Calibri" w:eastAsia="Calibri" w:hAnsi="Calibri"/>
                <w:sz w:val="29"/>
                <w:szCs w:val="29"/>
                <w:b w:val="1"/>
                <w:bCs w:val="1"/>
                <w:color w:val="auto"/>
                <w:w w:val="99"/>
              </w:rPr>
              <w:t>FORM 10-Q</w:t>
            </w:r>
          </w:p>
        </w:tc>
        <w:tc>
          <w:tcPr>
            <w:tcW w:w="6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7"/>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QUARTERLY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8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8"/>
                <w:szCs w:val="18"/>
                <w:b w:val="1"/>
                <w:bCs w:val="1"/>
                <w:color w:val="auto"/>
                <w:w w:val="97"/>
              </w:rPr>
              <w:t>For the quarterly period ended June 30, 2024</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83"/>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TRANSITION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8"/>
                <w:szCs w:val="18"/>
                <w:b w:val="1"/>
                <w:bCs w:val="1"/>
                <w:color w:val="auto"/>
                <w:w w:val="99"/>
              </w:rPr>
              <w:t>Commission fle number 0-7647</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0"/>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32"/>
                <w:szCs w:val="32"/>
                <w:b w:val="1"/>
                <w:bCs w:val="1"/>
                <w:color w:val="auto"/>
              </w:rPr>
              <w:t>HAWKINS, INC.</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3"/>
        </w:trPr>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800" w:type="dxa"/>
            <w:vAlign w:val="bottom"/>
          </w:tcPr>
          <w:p>
            <w:pPr>
              <w:jc w:val="center"/>
              <w:ind w:left="512"/>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3520" w:type="dxa"/>
            <w:vAlign w:val="bottom"/>
            <w:tcBorders>
              <w:bottom w:val="single" w:sz="8" w:color="auto"/>
            </w:tcBorders>
            <w:gridSpan w:val="2"/>
          </w:tcPr>
          <w:p>
            <w:pPr>
              <w:spacing w:after="0"/>
              <w:rPr>
                <w:sz w:val="4"/>
                <w:szCs w:val="4"/>
                <w:color w:val="auto"/>
              </w:rPr>
            </w:pPr>
          </w:p>
        </w:tc>
      </w:tr>
      <w:tr>
        <w:trPr>
          <w:trHeight w:val="321"/>
        </w:trPr>
        <w:tc>
          <w:tcPr>
            <w:tcW w:w="1200" w:type="dxa"/>
            <w:vAlign w:val="bottom"/>
          </w:tcPr>
          <w:p>
            <w:pPr>
              <w:spacing w:after="0"/>
              <w:rPr>
                <w:sz w:val="24"/>
                <w:szCs w:val="2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8"/>
                <w:szCs w:val="18"/>
                <w:b w:val="1"/>
                <w:bCs w:val="1"/>
                <w:color w:val="auto"/>
                <w:w w:val="96"/>
              </w:rPr>
              <w:t>Minnesota</w:t>
            </w:r>
          </w:p>
        </w:tc>
        <w:tc>
          <w:tcPr>
            <w:tcW w:w="3520" w:type="dxa"/>
            <w:vAlign w:val="bottom"/>
            <w:gridSpan w:val="2"/>
          </w:tcPr>
          <w:p>
            <w:pPr>
              <w:jc w:val="center"/>
              <w:ind w:right="1800"/>
              <w:spacing w:after="0"/>
              <w:rPr>
                <w:sz w:val="20"/>
                <w:szCs w:val="20"/>
                <w:color w:val="auto"/>
              </w:rPr>
            </w:pPr>
            <w:r>
              <w:rPr>
                <w:rFonts w:ascii="Calibri" w:cs="Calibri" w:eastAsia="Calibri" w:hAnsi="Calibri"/>
                <w:sz w:val="18"/>
                <w:szCs w:val="18"/>
                <w:b w:val="1"/>
                <w:bCs w:val="1"/>
                <w:color w:val="auto"/>
                <w:w w:val="95"/>
              </w:rPr>
              <w:t>41-0771293</w:t>
            </w:r>
          </w:p>
        </w:tc>
      </w:tr>
      <w:tr>
        <w:trPr>
          <w:trHeight w:val="23"/>
        </w:trPr>
        <w:tc>
          <w:tcPr>
            <w:tcW w:w="12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r>
      <w:tr>
        <w:trPr>
          <w:trHeight w:val="115"/>
        </w:trPr>
        <w:tc>
          <w:tcPr>
            <w:tcW w:w="1200" w:type="dxa"/>
            <w:vAlign w:val="bottom"/>
          </w:tcPr>
          <w:p>
            <w:pPr>
              <w:spacing w:after="0"/>
              <w:rPr>
                <w:sz w:val="10"/>
                <w:szCs w:val="10"/>
                <w:color w:val="auto"/>
              </w:rPr>
            </w:pPr>
          </w:p>
        </w:tc>
        <w:tc>
          <w:tcPr>
            <w:tcW w:w="6480" w:type="dxa"/>
            <w:vAlign w:val="bottom"/>
            <w:gridSpan w:val="2"/>
          </w:tcPr>
          <w:p>
            <w:pPr>
              <w:jc w:val="center"/>
              <w:ind w:right="3232"/>
              <w:spacing w:after="0" w:line="115" w:lineRule="exact"/>
              <w:rPr>
                <w:sz w:val="20"/>
                <w:szCs w:val="20"/>
                <w:color w:val="auto"/>
              </w:rPr>
            </w:pPr>
            <w:r>
              <w:rPr>
                <w:rFonts w:ascii="Calibri" w:cs="Calibri" w:eastAsia="Calibri" w:hAnsi="Calibri"/>
                <w:sz w:val="12"/>
                <w:szCs w:val="12"/>
                <w:b w:val="1"/>
                <w:bCs w:val="1"/>
                <w:color w:val="auto"/>
              </w:rPr>
              <w:t>(State or other jurisdicton of</w:t>
            </w:r>
          </w:p>
        </w:tc>
        <w:tc>
          <w:tcPr>
            <w:tcW w:w="3520" w:type="dxa"/>
            <w:vAlign w:val="bottom"/>
            <w:gridSpan w:val="2"/>
          </w:tcPr>
          <w:p>
            <w:pPr>
              <w:jc w:val="center"/>
              <w:ind w:right="1800"/>
              <w:spacing w:after="0" w:line="115" w:lineRule="exact"/>
              <w:rPr>
                <w:sz w:val="20"/>
                <w:szCs w:val="20"/>
                <w:color w:val="auto"/>
              </w:rPr>
            </w:pPr>
            <w:r>
              <w:rPr>
                <w:rFonts w:ascii="Calibri" w:cs="Calibri" w:eastAsia="Calibri" w:hAnsi="Calibri"/>
                <w:sz w:val="12"/>
                <w:szCs w:val="12"/>
                <w:b w:val="1"/>
                <w:bCs w:val="1"/>
                <w:color w:val="auto"/>
              </w:rPr>
              <w:t>(I.R.S. Employer</w:t>
            </w:r>
          </w:p>
        </w:tc>
      </w:tr>
      <w:tr>
        <w:trPr>
          <w:trHeight w:val="170"/>
        </w:trPr>
        <w:tc>
          <w:tcPr>
            <w:tcW w:w="1200" w:type="dxa"/>
            <w:vAlign w:val="bottom"/>
          </w:tcPr>
          <w:p>
            <w:pPr>
              <w:spacing w:after="0"/>
              <w:rPr>
                <w:sz w:val="14"/>
                <w:szCs w:val="1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4"/>
                <w:szCs w:val="14"/>
                <w:b w:val="1"/>
                <w:bCs w:val="1"/>
                <w:color w:val="auto"/>
              </w:rPr>
              <w:t>incorporaton or organizaton)</w:t>
            </w:r>
          </w:p>
        </w:tc>
        <w:tc>
          <w:tcPr>
            <w:tcW w:w="3520" w:type="dxa"/>
            <w:vAlign w:val="bottom"/>
            <w:gridSpan w:val="2"/>
          </w:tcPr>
          <w:p>
            <w:pPr>
              <w:jc w:val="center"/>
              <w:ind w:right="1800"/>
              <w:spacing w:after="0"/>
              <w:rPr>
                <w:sz w:val="20"/>
                <w:szCs w:val="20"/>
                <w:color w:val="auto"/>
              </w:rPr>
            </w:pPr>
            <w:r>
              <w:rPr>
                <w:rFonts w:ascii="Calibri" w:cs="Calibri" w:eastAsia="Calibri" w:hAnsi="Calibri"/>
                <w:sz w:val="14"/>
                <w:szCs w:val="14"/>
                <w:b w:val="1"/>
                <w:bCs w:val="1"/>
                <w:color w:val="auto"/>
              </w:rPr>
              <w:t>Identfcaton No.)</w:t>
            </w:r>
          </w:p>
        </w:tc>
      </w:tr>
      <w:tr>
        <w:trPr>
          <w:trHeight w:val="414"/>
        </w:trPr>
        <w:tc>
          <w:tcPr>
            <w:tcW w:w="1200" w:type="dxa"/>
            <w:vAlign w:val="bottom"/>
          </w:tcPr>
          <w:p>
            <w:pPr>
              <w:spacing w:after="0"/>
              <w:rPr>
                <w:sz w:val="24"/>
                <w:szCs w:val="24"/>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8"/>
                <w:szCs w:val="18"/>
                <w:b w:val="1"/>
                <w:bCs w:val="1"/>
                <w:color w:val="auto"/>
                <w:w w:val="96"/>
              </w:rPr>
              <w:t>2381 Rosegate, Roseville, Minnesota</w:t>
            </w:r>
          </w:p>
        </w:tc>
        <w:tc>
          <w:tcPr>
            <w:tcW w:w="660" w:type="dxa"/>
            <w:vAlign w:val="bottom"/>
          </w:tcPr>
          <w:p>
            <w:pPr>
              <w:jc w:val="right"/>
              <w:spacing w:after="0"/>
              <w:rPr>
                <w:sz w:val="20"/>
                <w:szCs w:val="20"/>
                <w:color w:val="auto"/>
              </w:rPr>
            </w:pPr>
            <w:r>
              <w:rPr>
                <w:rFonts w:ascii="Calibri" w:cs="Calibri" w:eastAsia="Calibri" w:hAnsi="Calibri"/>
                <w:sz w:val="18"/>
                <w:szCs w:val="18"/>
                <w:b w:val="1"/>
                <w:bCs w:val="1"/>
                <w:color w:val="auto"/>
              </w:rPr>
              <w:t>55113</w:t>
            </w:r>
          </w:p>
        </w:tc>
        <w:tc>
          <w:tcPr>
            <w:tcW w:w="2860" w:type="dxa"/>
            <w:vAlign w:val="bottom"/>
          </w:tcPr>
          <w:p>
            <w:pPr>
              <w:spacing w:after="0"/>
              <w:rPr>
                <w:sz w:val="24"/>
                <w:szCs w:val="24"/>
                <w:color w:val="auto"/>
              </w:rPr>
            </w:pPr>
          </w:p>
        </w:tc>
      </w:tr>
      <w:tr>
        <w:trPr>
          <w:trHeight w:val="233"/>
        </w:trPr>
        <w:tc>
          <w:tcPr>
            <w:tcW w:w="1200" w:type="dxa"/>
            <w:vAlign w:val="bottom"/>
          </w:tcPr>
          <w:p>
            <w:pPr>
              <w:spacing w:after="0"/>
              <w:rPr>
                <w:sz w:val="20"/>
                <w:szCs w:val="20"/>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4"/>
                <w:szCs w:val="14"/>
                <w:b w:val="1"/>
                <w:bCs w:val="1"/>
                <w:color w:val="auto"/>
              </w:rPr>
              <w:t>(Address of principal executve ofces)</w:t>
            </w:r>
          </w:p>
        </w:tc>
        <w:tc>
          <w:tcPr>
            <w:tcW w:w="3520" w:type="dxa"/>
            <w:vAlign w:val="bottom"/>
            <w:gridSpan w:val="2"/>
          </w:tcPr>
          <w:p>
            <w:pPr>
              <w:jc w:val="center"/>
              <w:ind w:right="2740"/>
              <w:spacing w:after="0"/>
              <w:rPr>
                <w:sz w:val="20"/>
                <w:szCs w:val="20"/>
                <w:color w:val="auto"/>
              </w:rPr>
            </w:pPr>
            <w:r>
              <w:rPr>
                <w:rFonts w:ascii="Calibri" w:cs="Calibri" w:eastAsia="Calibri" w:hAnsi="Calibri"/>
                <w:sz w:val="14"/>
                <w:szCs w:val="14"/>
                <w:b w:val="1"/>
                <w:bCs w:val="1"/>
                <w:color w:val="auto"/>
              </w:rPr>
              <w:t>(Zip code)</w:t>
            </w:r>
          </w:p>
        </w:tc>
      </w:tr>
      <w:tr>
        <w:trPr>
          <w:trHeight w:val="442"/>
        </w:trPr>
        <w:tc>
          <w:tcPr>
            <w:tcW w:w="1200" w:type="dxa"/>
            <w:vAlign w:val="bottom"/>
          </w:tcPr>
          <w:p>
            <w:pPr>
              <w:spacing w:after="0"/>
              <w:rPr>
                <w:sz w:val="24"/>
                <w:szCs w:val="24"/>
                <w:color w:val="auto"/>
              </w:rPr>
            </w:pPr>
          </w:p>
        </w:tc>
        <w:tc>
          <w:tcPr>
            <w:tcW w:w="6480" w:type="dxa"/>
            <w:vAlign w:val="bottom"/>
            <w:gridSpan w:val="2"/>
          </w:tcPr>
          <w:p>
            <w:pPr>
              <w:jc w:val="center"/>
              <w:ind w:left="2261"/>
              <w:spacing w:after="0"/>
              <w:rPr>
                <w:sz w:val="20"/>
                <w:szCs w:val="20"/>
                <w:color w:val="auto"/>
              </w:rPr>
            </w:pPr>
            <w:r>
              <w:rPr>
                <w:rFonts w:ascii="Calibri" w:cs="Calibri" w:eastAsia="Calibri" w:hAnsi="Calibri"/>
                <w:sz w:val="18"/>
                <w:szCs w:val="18"/>
                <w:b w:val="1"/>
                <w:bCs w:val="1"/>
                <w:color w:val="auto"/>
                <w:w w:val="98"/>
              </w:rPr>
              <w:t>(612) 331-6910</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6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47"/>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bl>
    <w:p>
      <w:pPr>
        <w:spacing w:after="0" w:line="2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ind w:left="1180"/>
              <w:spacing w:after="0"/>
              <w:rPr>
                <w:sz w:val="20"/>
                <w:szCs w:val="20"/>
                <w:color w:val="auto"/>
              </w:rPr>
            </w:pPr>
            <w:r>
              <w:rPr>
                <w:rFonts w:ascii="Calibri" w:cs="Calibri" w:eastAsia="Calibri" w:hAnsi="Calibri"/>
                <w:sz w:val="16"/>
                <w:szCs w:val="16"/>
                <w:b w:val="1"/>
                <w:bCs w:val="1"/>
                <w:color w:val="auto"/>
              </w:rPr>
              <w:t>Title of each class</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448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33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2440" w:type="dxa"/>
            <w:vAlign w:val="bottom"/>
          </w:tcPr>
          <w:p>
            <w:pPr>
              <w:jc w:val="center"/>
              <w:spacing w:after="0" w:line="187" w:lineRule="exact"/>
              <w:rPr>
                <w:sz w:val="20"/>
                <w:szCs w:val="20"/>
                <w:color w:val="auto"/>
              </w:rPr>
            </w:pPr>
            <w:r>
              <w:rPr>
                <w:rFonts w:ascii="Calibri" w:cs="Calibri" w:eastAsia="Calibri" w:hAnsi="Calibri"/>
                <w:sz w:val="16"/>
                <w:szCs w:val="16"/>
                <w:color w:val="auto"/>
              </w:rPr>
              <w:t>HWKN</w:t>
            </w:r>
          </w:p>
        </w:tc>
        <w:tc>
          <w:tcPr>
            <w:tcW w:w="4480" w:type="dxa"/>
            <w:vAlign w:val="bottom"/>
          </w:tcPr>
          <w:p>
            <w:pPr>
              <w:jc w:val="center"/>
              <w:ind w:right="159"/>
              <w:spacing w:after="0" w:line="187" w:lineRule="exact"/>
              <w:rPr>
                <w:sz w:val="20"/>
                <w:szCs w:val="20"/>
                <w:color w:val="auto"/>
              </w:rPr>
            </w:pPr>
            <w:r>
              <w:rPr>
                <w:rFonts w:ascii="Calibri" w:cs="Calibri" w:eastAsia="Calibri" w:hAnsi="Calibri"/>
                <w:sz w:val="16"/>
                <w:szCs w:val="16"/>
                <w:color w:val="auto"/>
                <w:w w:val="99"/>
              </w:rPr>
              <w:t>The Nasdaq Stock Market LLC</w:t>
            </w:r>
          </w:p>
        </w:tc>
      </w:tr>
    </w:tbl>
    <w:p>
      <w:pPr>
        <w:spacing w:after="0" w:line="243" w:lineRule="exact"/>
        <w:rPr>
          <w:sz w:val="24"/>
          <w:szCs w:val="24"/>
          <w:color w:val="auto"/>
        </w:rPr>
      </w:pPr>
    </w:p>
    <w:p>
      <w:pPr>
        <w:jc w:val="both"/>
        <w:ind w:right="4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50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194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Accelerated fler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94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Smaller reportng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Calibri" w:cs="Calibri" w:eastAsia="Calibri" w:hAnsi="Calibri"/>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9" w:lineRule="exact"/>
        <w:rPr>
          <w:sz w:val="24"/>
          <w:szCs w:val="24"/>
          <w:color w:val="auto"/>
        </w:rPr>
      </w:pPr>
    </w:p>
    <w:p>
      <w:pPr>
        <w:ind w:right="100"/>
        <w:spacing w:after="0" w:line="240"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97" w:lineRule="auto"/>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ind w:left="660"/>
        <w:spacing w:after="0" w:line="220" w:lineRule="exact"/>
        <w:tabs>
          <w:tab w:leader="none" w:pos="128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6" w:lineRule="exact"/>
        <w:rPr>
          <w:sz w:val="24"/>
          <w:szCs w:val="24"/>
          <w:color w:val="auto"/>
        </w:rPr>
      </w:pPr>
    </w:p>
    <w:p>
      <w:pPr>
        <w:spacing w:after="0"/>
        <w:rPr>
          <w:sz w:val="20"/>
          <w:szCs w:val="20"/>
          <w:color w:val="auto"/>
        </w:rPr>
      </w:pPr>
      <w:r>
        <w:rPr>
          <w:rFonts w:ascii="Calibri" w:cs="Calibri" w:eastAsia="Calibri" w:hAnsi="Calibri"/>
          <w:sz w:val="18"/>
          <w:szCs w:val="18"/>
          <w:color w:val="auto"/>
        </w:rPr>
        <w:t>Indicate the number of shares outstanding of each of the issuer’s classes of common stock, as of the latest practcable date.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120" w:type="dxa"/>
            <w:vAlign w:val="bottom"/>
            <w:gridSpan w:val="2"/>
          </w:tcPr>
          <w:p>
            <w:pPr>
              <w:jc w:val="center"/>
              <w:ind w:right="300"/>
              <w:spacing w:after="0"/>
              <w:rPr>
                <w:sz w:val="20"/>
                <w:szCs w:val="20"/>
                <w:color w:val="auto"/>
              </w:rPr>
            </w:pPr>
            <w:r>
              <w:rPr>
                <w:rFonts w:ascii="Calibri" w:cs="Calibri" w:eastAsia="Calibri" w:hAnsi="Calibri"/>
                <w:sz w:val="14"/>
                <w:szCs w:val="14"/>
                <w:color w:val="auto"/>
                <w:w w:val="98"/>
              </w:rPr>
              <w:t>CLASS</w:t>
            </w:r>
          </w:p>
        </w:tc>
        <w:tc>
          <w:tcPr>
            <w:tcW w:w="6080" w:type="dxa"/>
            <w:vAlign w:val="bottom"/>
            <w:gridSpan w:val="2"/>
          </w:tcPr>
          <w:p>
            <w:pPr>
              <w:jc w:val="center"/>
              <w:ind w:right="1280"/>
              <w:spacing w:after="0"/>
              <w:rPr>
                <w:sz w:val="20"/>
                <w:szCs w:val="20"/>
                <w:color w:val="auto"/>
              </w:rPr>
            </w:pPr>
            <w:r>
              <w:rPr>
                <w:rFonts w:ascii="Calibri" w:cs="Calibri" w:eastAsia="Calibri" w:hAnsi="Calibri"/>
                <w:sz w:val="14"/>
                <w:szCs w:val="14"/>
                <w:color w:val="auto"/>
              </w:rPr>
              <w:t>Shares Outstanding at July 26, 2024</w:t>
            </w:r>
          </w:p>
        </w:tc>
      </w:tr>
      <w:tr>
        <w:trPr>
          <w:trHeight w:val="47"/>
        </w:trPr>
        <w:tc>
          <w:tcPr>
            <w:tcW w:w="4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208"/>
        </w:trPr>
        <w:tc>
          <w:tcPr>
            <w:tcW w:w="40" w:type="dxa"/>
            <w:vAlign w:val="bottom"/>
          </w:tcPr>
          <w:p>
            <w:pPr>
              <w:spacing w:after="0"/>
              <w:rPr>
                <w:sz w:val="18"/>
                <w:szCs w:val="18"/>
                <w:color w:val="auto"/>
              </w:rPr>
            </w:pPr>
          </w:p>
        </w:tc>
        <w:tc>
          <w:tcPr>
            <w:tcW w:w="482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$.01 per share</w:t>
            </w:r>
          </w:p>
        </w:tc>
        <w:tc>
          <w:tcPr>
            <w:tcW w:w="300" w:type="dxa"/>
            <w:vAlign w:val="bottom"/>
          </w:tcPr>
          <w:p>
            <w:pPr>
              <w:spacing w:after="0"/>
              <w:rPr>
                <w:sz w:val="18"/>
                <w:szCs w:val="18"/>
                <w:color w:val="auto"/>
              </w:rPr>
            </w:pPr>
          </w:p>
        </w:tc>
        <w:tc>
          <w:tcPr>
            <w:tcW w:w="4820" w:type="dxa"/>
            <w:vAlign w:val="bottom"/>
          </w:tcPr>
          <w:p>
            <w:pPr>
              <w:jc w:val="right"/>
              <w:ind w:right="1939"/>
              <w:spacing w:after="0" w:line="208" w:lineRule="exact"/>
              <w:rPr>
                <w:sz w:val="20"/>
                <w:szCs w:val="20"/>
                <w:color w:val="auto"/>
              </w:rPr>
            </w:pPr>
            <w:r>
              <w:rPr>
                <w:rFonts w:ascii="Calibri" w:cs="Calibri" w:eastAsia="Calibri" w:hAnsi="Calibri"/>
                <w:sz w:val="18"/>
                <w:szCs w:val="18"/>
                <w:color w:val="auto"/>
              </w:rPr>
              <w:t>20,904,011</w:t>
            </w:r>
          </w:p>
        </w:tc>
        <w:tc>
          <w:tcPr>
            <w:tcW w:w="1260" w:type="dxa"/>
            <w:vAlign w:val="bottom"/>
          </w:tcPr>
          <w:p>
            <w:pPr>
              <w:spacing w:after="0"/>
              <w:rPr>
                <w:sz w:val="18"/>
                <w:szCs w:val="18"/>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0"/>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879"/>
        <w:spacing w:after="0"/>
        <w:rPr>
          <w:sz w:val="20"/>
          <w:szCs w:val="20"/>
          <w:color w:val="auto"/>
        </w:rPr>
      </w:pPr>
      <w:r>
        <w:rPr>
          <w:rFonts w:ascii="Calibri" w:cs="Calibri" w:eastAsia="Calibri" w:hAnsi="Calibri"/>
          <w:sz w:val="18"/>
          <w:szCs w:val="18"/>
          <w:b w:val="1"/>
          <w:bCs w:val="1"/>
          <w:color w:val="auto"/>
        </w:rPr>
        <w:t>HAWKINS, INC.</w:t>
      </w:r>
    </w:p>
    <w:p>
      <w:pPr>
        <w:jc w:val="center"/>
        <w:ind w:right="-899"/>
        <w:spacing w:after="0" w:line="235" w:lineRule="auto"/>
        <w:rPr>
          <w:sz w:val="20"/>
          <w:szCs w:val="20"/>
          <w:color w:val="auto"/>
        </w:rPr>
      </w:pPr>
      <w:r>
        <w:rPr>
          <w:rFonts w:ascii="Calibri" w:cs="Calibri" w:eastAsia="Calibri" w:hAnsi="Calibri"/>
          <w:sz w:val="18"/>
          <w:szCs w:val="18"/>
          <w:b w:val="1"/>
          <w:bCs w:val="1"/>
          <w:color w:val="auto"/>
        </w:rPr>
        <w:t>INDEX TO FORM 10-Q</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Page</w:t>
            </w:r>
          </w:p>
        </w:tc>
      </w:tr>
      <w:tr>
        <w:trPr>
          <w:trHeight w:val="277"/>
        </w:trPr>
        <w:tc>
          <w:tcPr>
            <w:tcW w:w="1180" w:type="dxa"/>
            <w:vAlign w:val="bottom"/>
          </w:tcPr>
          <w:p>
            <w:pPr>
              <w:spacing w:after="0"/>
              <w:rPr>
                <w:sz w:val="20"/>
                <w:szCs w:val="20"/>
                <w:color w:val="auto"/>
              </w:rPr>
            </w:pPr>
            <w:r>
              <w:rPr>
                <w:rFonts w:ascii="Calibri" w:cs="Calibri" w:eastAsia="Calibri" w:hAnsi="Calibri"/>
                <w:sz w:val="18"/>
                <w:szCs w:val="18"/>
                <w:b w:val="1"/>
                <w:bCs w:val="1"/>
                <w:color w:val="auto"/>
              </w:rPr>
              <w:t>PART I.</w:t>
            </w:r>
          </w:p>
        </w:tc>
        <w:tc>
          <w:tcPr>
            <w:tcW w:w="8140" w:type="dxa"/>
            <w:vAlign w:val="bottom"/>
            <w:gridSpan w:val="20"/>
          </w:tcPr>
          <w:p>
            <w:pPr>
              <w:spacing w:after="0"/>
              <w:rPr>
                <w:sz w:val="20"/>
                <w:szCs w:val="20"/>
                <w:color w:val="auto"/>
              </w:rPr>
            </w:pPr>
            <w:r>
              <w:rPr>
                <w:rFonts w:ascii="Calibri" w:cs="Calibri" w:eastAsia="Calibri" w:hAnsi="Calibri"/>
                <w:sz w:val="18"/>
                <w:szCs w:val="18"/>
                <w:b w:val="1"/>
                <w:bCs w:val="1"/>
                <w:color w:val="0000FF"/>
              </w:rPr>
              <w:t>FINANCIAL INFORMATION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1.</w:t>
            </w: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Financial Statements (unaudited):</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spacing w:after="0"/>
              <w:rPr>
                <w:sz w:val="22"/>
                <w:szCs w:val="22"/>
                <w:color w:val="auto"/>
              </w:rPr>
            </w:pP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Condensed Consolidated Balance Sheets – June 30, 2024 and March 31, 2024</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Condensed Consolidated Statements of Income – Three Months Ended June 30, 2024 and July 2, 2023</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2</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Condensed Consolidated Statements of Comprehensive Income – Three Months Ended June 30, 2024 and</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3</w:t>
            </w:r>
          </w:p>
        </w:tc>
      </w:tr>
      <w:tr>
        <w:trPr>
          <w:trHeight w:val="155"/>
        </w:trPr>
        <w:tc>
          <w:tcPr>
            <w:tcW w:w="1180" w:type="dxa"/>
            <w:vAlign w:val="bottom"/>
          </w:tcPr>
          <w:p>
            <w:pPr>
              <w:spacing w:after="0"/>
              <w:rPr>
                <w:sz w:val="13"/>
                <w:szCs w:val="13"/>
                <w:color w:val="auto"/>
              </w:rPr>
            </w:pPr>
          </w:p>
        </w:tc>
        <w:tc>
          <w:tcPr>
            <w:tcW w:w="7460" w:type="dxa"/>
            <w:vAlign w:val="bottom"/>
            <w:tcBorders>
              <w:top w:val="single" w:sz="8" w:color="0000FF"/>
            </w:tcBorders>
            <w:gridSpan w:val="19"/>
          </w:tcPr>
          <w:p>
            <w:pPr>
              <w:spacing w:after="0" w:line="156" w:lineRule="exact"/>
              <w:rPr>
                <w:sz w:val="20"/>
                <w:szCs w:val="20"/>
                <w:color w:val="auto"/>
              </w:rPr>
            </w:pPr>
            <w:r>
              <w:rPr>
                <w:rFonts w:ascii="Calibri" w:cs="Calibri" w:eastAsia="Calibri" w:hAnsi="Calibri"/>
                <w:sz w:val="16"/>
                <w:szCs w:val="16"/>
                <w:u w:val="single" w:color="auto"/>
                <w:color w:val="0000FF"/>
              </w:rPr>
              <w:t>July</w:t>
            </w:r>
            <w:r>
              <w:rPr>
                <w:rFonts w:ascii="Calibri" w:cs="Calibri" w:eastAsia="Calibri" w:hAnsi="Calibri"/>
                <w:sz w:val="16"/>
                <w:szCs w:val="16"/>
                <w:color w:val="0000FF"/>
              </w:rPr>
              <w:t xml:space="preserve"> 2, 2023</w:t>
            </w: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Condensed Consolidated Statements of Shareholder’s Equity – Three Months Ended June 30, 2024 and</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4</w:t>
            </w:r>
          </w:p>
        </w:tc>
      </w:tr>
      <w:tr>
        <w:trPr>
          <w:trHeight w:val="155"/>
        </w:trPr>
        <w:tc>
          <w:tcPr>
            <w:tcW w:w="1180" w:type="dxa"/>
            <w:vAlign w:val="bottom"/>
          </w:tcPr>
          <w:p>
            <w:pPr>
              <w:spacing w:after="0"/>
              <w:rPr>
                <w:sz w:val="13"/>
                <w:szCs w:val="13"/>
                <w:color w:val="auto"/>
              </w:rPr>
            </w:pPr>
          </w:p>
        </w:tc>
        <w:tc>
          <w:tcPr>
            <w:tcW w:w="7240" w:type="dxa"/>
            <w:vAlign w:val="bottom"/>
            <w:tcBorders>
              <w:top w:val="single" w:sz="8" w:color="0000FF"/>
            </w:tcBorders>
            <w:gridSpan w:val="17"/>
          </w:tcPr>
          <w:p>
            <w:pPr>
              <w:spacing w:after="0" w:line="156" w:lineRule="exact"/>
              <w:rPr>
                <w:sz w:val="20"/>
                <w:szCs w:val="20"/>
                <w:color w:val="auto"/>
              </w:rPr>
            </w:pPr>
            <w:r>
              <w:rPr>
                <w:rFonts w:ascii="Calibri" w:cs="Calibri" w:eastAsia="Calibri" w:hAnsi="Calibri"/>
                <w:sz w:val="16"/>
                <w:szCs w:val="16"/>
                <w:u w:val="single" w:color="auto"/>
                <w:color w:val="0000FF"/>
              </w:rPr>
              <w:t>July</w:t>
            </w:r>
            <w:r>
              <w:rPr>
                <w:rFonts w:ascii="Calibri" w:cs="Calibri" w:eastAsia="Calibri" w:hAnsi="Calibri"/>
                <w:sz w:val="16"/>
                <w:szCs w:val="16"/>
                <w:color w:val="0000FF"/>
              </w:rPr>
              <w:t xml:space="preserve"> 2, 2023</w:t>
            </w:r>
          </w:p>
        </w:tc>
        <w:tc>
          <w:tcPr>
            <w:tcW w:w="20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Condensed Consolidated Statements of Cash Flows – Three Months Ended June 30, 2024 and July 2, 2023</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5</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7440" w:type="dxa"/>
            <w:vAlign w:val="bottom"/>
            <w:gridSpan w:val="18"/>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700" w:type="dxa"/>
            <w:vAlign w:val="bottom"/>
            <w:gridSpan w:val="2"/>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6</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2.</w:t>
            </w:r>
          </w:p>
        </w:tc>
        <w:tc>
          <w:tcPr>
            <w:tcW w:w="6180" w:type="dxa"/>
            <w:vAlign w:val="bottom"/>
            <w:tcBorders>
              <w:bottom w:val="single" w:sz="8" w:color="0000FF"/>
            </w:tcBorders>
            <w:gridSpan w:val="15"/>
          </w:tcPr>
          <w:p>
            <w:pPr>
              <w:spacing w:after="0"/>
              <w:rPr>
                <w:sz w:val="20"/>
                <w:szCs w:val="20"/>
                <w:color w:val="auto"/>
              </w:rPr>
            </w:pPr>
            <w:r>
              <w:rPr>
                <w:rFonts w:ascii="Calibri" w:cs="Calibri" w:eastAsia="Calibri" w:hAnsi="Calibri"/>
                <w:sz w:val="18"/>
                <w:szCs w:val="18"/>
                <w:color w:val="0000FF"/>
                <w:w w:val="97"/>
              </w:rPr>
              <w:t>Management’s Discussion and Analysis of Financial Conditon and Results of Operatons</w:t>
            </w:r>
          </w:p>
        </w:tc>
        <w:tc>
          <w:tcPr>
            <w:tcW w:w="196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13</w:t>
            </w: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3.</w:t>
            </w:r>
          </w:p>
        </w:tc>
        <w:tc>
          <w:tcPr>
            <w:tcW w:w="4140" w:type="dxa"/>
            <w:vAlign w:val="bottom"/>
            <w:tcBorders>
              <w:bottom w:val="single" w:sz="8" w:color="0000FF"/>
            </w:tcBorders>
            <w:gridSpan w:val="12"/>
          </w:tcPr>
          <w:p>
            <w:pPr>
              <w:spacing w:after="0"/>
              <w:rPr>
                <w:sz w:val="20"/>
                <w:szCs w:val="20"/>
                <w:color w:val="auto"/>
              </w:rPr>
            </w:pPr>
            <w:r>
              <w:rPr>
                <w:rFonts w:ascii="Calibri" w:cs="Calibri" w:eastAsia="Calibri" w:hAnsi="Calibri"/>
                <w:sz w:val="18"/>
                <w:szCs w:val="18"/>
                <w:color w:val="0000FF"/>
                <w:w w:val="98"/>
              </w:rPr>
              <w:t>Quanttatve and Qualitatve Disclosures about Market Risk</w:t>
            </w:r>
          </w:p>
        </w:tc>
        <w:tc>
          <w:tcPr>
            <w:tcW w:w="4000" w:type="dxa"/>
            <w:vAlign w:val="bottom"/>
            <w:gridSpan w:val="8"/>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15</w:t>
            </w: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4.</w:t>
            </w:r>
          </w:p>
        </w:tc>
        <w:tc>
          <w:tcPr>
            <w:tcW w:w="170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w w:val="93"/>
              </w:rPr>
              <w:t>Controls and Procedures</w:t>
            </w:r>
          </w:p>
        </w:tc>
        <w:tc>
          <w:tcPr>
            <w:tcW w:w="644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15</w:t>
            </w: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b w:val="1"/>
                <w:bCs w:val="1"/>
                <w:color w:val="auto"/>
              </w:rPr>
              <w:t>PART II.</w:t>
            </w:r>
          </w:p>
        </w:tc>
        <w:tc>
          <w:tcPr>
            <w:tcW w:w="1560" w:type="dxa"/>
            <w:vAlign w:val="bottom"/>
            <w:tcBorders>
              <w:bottom w:val="single" w:sz="8" w:color="0000FF"/>
            </w:tcBorders>
            <w:gridSpan w:val="5"/>
          </w:tcPr>
          <w:p>
            <w:pPr>
              <w:spacing w:after="0"/>
              <w:rPr>
                <w:sz w:val="20"/>
                <w:szCs w:val="20"/>
                <w:color w:val="auto"/>
              </w:rPr>
            </w:pPr>
            <w:r>
              <w:rPr>
                <w:rFonts w:ascii="Calibri" w:cs="Calibri" w:eastAsia="Calibri" w:hAnsi="Calibri"/>
                <w:sz w:val="18"/>
                <w:szCs w:val="18"/>
                <w:b w:val="1"/>
                <w:bCs w:val="1"/>
                <w:color w:val="0000FF"/>
                <w:w w:val="92"/>
              </w:rPr>
              <w:t>OTHER INFORMATION</w:t>
            </w:r>
          </w:p>
        </w:tc>
        <w:tc>
          <w:tcPr>
            <w:tcW w:w="6580" w:type="dxa"/>
            <w:vAlign w:val="bottom"/>
            <w:gridSpan w:val="15"/>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1.</w:t>
            </w:r>
          </w:p>
        </w:tc>
        <w:tc>
          <w:tcPr>
            <w:tcW w:w="122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color w:val="0000FF"/>
                <w:w w:val="91"/>
              </w:rPr>
              <w:t>Legal Proceedings</w:t>
            </w:r>
          </w:p>
        </w:tc>
        <w:tc>
          <w:tcPr>
            <w:tcW w:w="692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16</w:t>
            </w:r>
          </w:p>
        </w:tc>
      </w:tr>
      <w:tr>
        <w:trPr>
          <w:trHeight w:val="264"/>
        </w:trPr>
        <w:tc>
          <w:tcPr>
            <w:tcW w:w="1180" w:type="dxa"/>
            <w:vAlign w:val="bottom"/>
          </w:tcPr>
          <w:p>
            <w:pPr>
              <w:spacing w:after="0"/>
              <w:rPr>
                <w:sz w:val="20"/>
                <w:szCs w:val="20"/>
                <w:color w:val="auto"/>
              </w:rPr>
            </w:pPr>
            <w:r>
              <w:rPr>
                <w:rFonts w:ascii="Calibri" w:cs="Calibri" w:eastAsia="Calibri" w:hAnsi="Calibri"/>
                <w:sz w:val="18"/>
                <w:szCs w:val="18"/>
                <w:color w:val="auto"/>
              </w:rPr>
              <w:t>Item 1A.</w:t>
            </w: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Risk Factors</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16</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2.</w:t>
            </w: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16</w:t>
            </w:r>
          </w:p>
        </w:tc>
      </w:tr>
      <w:tr>
        <w:trPr>
          <w:trHeight w:val="264"/>
        </w:trPr>
        <w:tc>
          <w:tcPr>
            <w:tcW w:w="1180" w:type="dxa"/>
            <w:vAlign w:val="bottom"/>
          </w:tcPr>
          <w:p>
            <w:pPr>
              <w:spacing w:after="0"/>
              <w:rPr>
                <w:sz w:val="20"/>
                <w:szCs w:val="20"/>
                <w:color w:val="auto"/>
              </w:rPr>
            </w:pPr>
            <w:r>
              <w:rPr>
                <w:rFonts w:ascii="Calibri" w:cs="Calibri" w:eastAsia="Calibri" w:hAnsi="Calibri"/>
                <w:sz w:val="18"/>
                <w:szCs w:val="18"/>
                <w:color w:val="auto"/>
              </w:rPr>
              <w:t>Item 3.</w:t>
            </w:r>
          </w:p>
        </w:tc>
        <w:tc>
          <w:tcPr>
            <w:tcW w:w="4160" w:type="dxa"/>
            <w:vAlign w:val="bottom"/>
            <w:tcBorders>
              <w:top w:val="single" w:sz="8" w:color="0000FF"/>
            </w:tcBorders>
            <w:gridSpan w:val="13"/>
          </w:tcPr>
          <w:p>
            <w:pPr>
              <w:spacing w:after="0"/>
              <w:rPr>
                <w:sz w:val="20"/>
                <w:szCs w:val="20"/>
                <w:color w:val="auto"/>
              </w:rPr>
            </w:pPr>
            <w:r>
              <w:rPr>
                <w:rFonts w:ascii="Calibri" w:cs="Calibri" w:eastAsia="Calibri" w:hAnsi="Calibri"/>
                <w:sz w:val="18"/>
                <w:szCs w:val="18"/>
                <w:color w:val="0000FF"/>
              </w:rPr>
              <w:t>Defaults Upon Senior Securites</w:t>
            </w:r>
          </w:p>
        </w:tc>
        <w:tc>
          <w:tcPr>
            <w:tcW w:w="398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16</w:t>
            </w: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4.</w:t>
            </w:r>
          </w:p>
        </w:tc>
        <w:tc>
          <w:tcPr>
            <w:tcW w:w="1640" w:type="dxa"/>
            <w:vAlign w:val="bottom"/>
            <w:tcBorders>
              <w:top w:val="single" w:sz="8" w:color="0000FF"/>
              <w:bottom w:val="single" w:sz="8" w:color="0000FF"/>
            </w:tcBorders>
            <w:gridSpan w:val="6"/>
          </w:tcPr>
          <w:p>
            <w:pPr>
              <w:spacing w:after="0"/>
              <w:rPr>
                <w:sz w:val="20"/>
                <w:szCs w:val="20"/>
                <w:color w:val="auto"/>
              </w:rPr>
            </w:pPr>
            <w:r>
              <w:rPr>
                <w:rFonts w:ascii="Calibri" w:cs="Calibri" w:eastAsia="Calibri" w:hAnsi="Calibri"/>
                <w:sz w:val="18"/>
                <w:szCs w:val="18"/>
                <w:color w:val="0000FF"/>
                <w:w w:val="93"/>
              </w:rPr>
              <w:t>Mine Safety Disclosures</w:t>
            </w:r>
          </w:p>
        </w:tc>
        <w:tc>
          <w:tcPr>
            <w:tcW w:w="540" w:type="dxa"/>
            <w:vAlign w:val="bottom"/>
            <w:tcBorders>
              <w:top w:val="single" w:sz="8" w:color="0000FF"/>
            </w:tcBorders>
            <w:gridSpan w:val="3"/>
          </w:tcPr>
          <w:p>
            <w:pPr>
              <w:spacing w:after="0"/>
              <w:rPr>
                <w:sz w:val="22"/>
                <w:szCs w:val="22"/>
                <w:color w:val="auto"/>
              </w:rPr>
            </w:pPr>
          </w:p>
        </w:tc>
        <w:tc>
          <w:tcPr>
            <w:tcW w:w="5960" w:type="dxa"/>
            <w:vAlign w:val="bottom"/>
            <w:gridSpan w:val="11"/>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16</w:t>
            </w:r>
          </w:p>
        </w:tc>
      </w:tr>
      <w:tr>
        <w:trPr>
          <w:trHeight w:val="264"/>
        </w:trPr>
        <w:tc>
          <w:tcPr>
            <w:tcW w:w="1180" w:type="dxa"/>
            <w:vAlign w:val="bottom"/>
          </w:tcPr>
          <w:p>
            <w:pPr>
              <w:spacing w:after="0"/>
              <w:rPr>
                <w:sz w:val="20"/>
                <w:szCs w:val="20"/>
                <w:color w:val="auto"/>
              </w:rPr>
            </w:pPr>
            <w:r>
              <w:rPr>
                <w:rFonts w:ascii="Calibri" w:cs="Calibri" w:eastAsia="Calibri" w:hAnsi="Calibri"/>
                <w:sz w:val="18"/>
                <w:szCs w:val="18"/>
                <w:color w:val="auto"/>
              </w:rPr>
              <w:t>Item 5.</w:t>
            </w:r>
          </w:p>
        </w:tc>
        <w:tc>
          <w:tcPr>
            <w:tcW w:w="8140" w:type="dxa"/>
            <w:vAlign w:val="bottom"/>
            <w:gridSpan w:val="20"/>
          </w:tcPr>
          <w:p>
            <w:pPr>
              <w:spacing w:after="0"/>
              <w:rPr>
                <w:sz w:val="20"/>
                <w:szCs w:val="20"/>
                <w:color w:val="auto"/>
              </w:rPr>
            </w:pPr>
            <w:r>
              <w:rPr>
                <w:rFonts w:ascii="Calibri" w:cs="Calibri" w:eastAsia="Calibri" w:hAnsi="Calibri"/>
                <w:sz w:val="18"/>
                <w:szCs w:val="18"/>
                <w:color w:val="0000FF"/>
              </w:rPr>
              <w:t>Other Informaton</w:t>
            </w: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0000FF"/>
              </w:rPr>
              <w:t>16</w:t>
            </w:r>
          </w:p>
        </w:tc>
      </w:tr>
      <w:tr>
        <w:trPr>
          <w:trHeight w:val="263"/>
        </w:trPr>
        <w:tc>
          <w:tcPr>
            <w:tcW w:w="1180" w:type="dxa"/>
            <w:vAlign w:val="bottom"/>
          </w:tcPr>
          <w:p>
            <w:pPr>
              <w:spacing w:after="0"/>
              <w:rPr>
                <w:sz w:val="20"/>
                <w:szCs w:val="20"/>
                <w:color w:val="auto"/>
              </w:rPr>
            </w:pPr>
            <w:r>
              <w:rPr>
                <w:rFonts w:ascii="Calibri" w:cs="Calibri" w:eastAsia="Calibri" w:hAnsi="Calibri"/>
                <w:sz w:val="18"/>
                <w:szCs w:val="18"/>
                <w:color w:val="auto"/>
              </w:rPr>
              <w:t>Item 6.</w:t>
            </w:r>
          </w:p>
        </w:tc>
        <w:tc>
          <w:tcPr>
            <w:tcW w:w="1240" w:type="dxa"/>
            <w:vAlign w:val="bottom"/>
            <w:tcBorders>
              <w:top w:val="single" w:sz="8" w:color="0000FF"/>
            </w:tcBorders>
            <w:gridSpan w:val="4"/>
          </w:tcPr>
          <w:p>
            <w:pPr>
              <w:spacing w:after="0"/>
              <w:rPr>
                <w:sz w:val="20"/>
                <w:szCs w:val="20"/>
                <w:color w:val="auto"/>
              </w:rPr>
            </w:pPr>
            <w:r>
              <w:rPr>
                <w:rFonts w:ascii="Calibri" w:cs="Calibri" w:eastAsia="Calibri" w:hAnsi="Calibri"/>
                <w:sz w:val="18"/>
                <w:szCs w:val="18"/>
                <w:color w:val="0000FF"/>
              </w:rPr>
              <w:t>Exhibits</w:t>
            </w:r>
          </w:p>
        </w:tc>
        <w:tc>
          <w:tcPr>
            <w:tcW w:w="6900" w:type="dxa"/>
            <w:vAlign w:val="bottom"/>
            <w:gridSpan w:val="16"/>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2" w:right="125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color w:val="auto"/>
        </w:rPr>
        <w:t>ITEM 1. FINANCIAL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Calibri" w:cs="Calibri" w:eastAsia="Calibri" w:hAnsi="Calibri"/>
                <w:sz w:val="16"/>
                <w:szCs w:val="16"/>
                <w:b w:val="1"/>
                <w:bCs w:val="1"/>
                <w:color w:val="auto"/>
              </w:rPr>
              <w:t>June 30,</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126,398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81,199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5,503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assets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221,987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396,244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Less accumulated depreciaton</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182,604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Net property, plant, and equipment</w:t>
            </w: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213,640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114,046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124,563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11,365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4,980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267,111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800"/>
              <w:spacing w:after="0" w:line="182" w:lineRule="exact"/>
              <w:rPr>
                <w:sz w:val="20"/>
                <w:szCs w:val="20"/>
                <w:color w:val="auto"/>
              </w:rPr>
            </w:pPr>
            <w:r>
              <w:rPr>
                <w:rFonts w:ascii="Calibri" w:cs="Calibri" w:eastAsia="Calibri" w:hAnsi="Calibri"/>
                <w:sz w:val="16"/>
                <w:szCs w:val="16"/>
                <w:color w:val="auto"/>
              </w:rPr>
              <w:t>Total assets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702,738</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47,795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12,501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11,751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Environmental remediaton</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8,332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liabilites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97,992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123,840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22"/>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22,367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12,244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liabilites</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281,520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stock; authorized: 60,000,000 shares of $0.01 par value; 20,734,331 and 20,790,261 shares issued and</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outstanding as of June 30, 2024 and March 31, 2024, respectvely</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27,932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2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390,070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3"/>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shareholders’ equity</w:t>
            </w: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421,218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80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702,738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INCOME (UNAUDITED)</w:t>
      </w:r>
    </w:p>
    <w:p>
      <w:pPr>
        <w:spacing w:after="0" w:line="4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 thousands, except share and per-share data)</w:t>
      </w:r>
    </w:p>
    <w:p>
      <w:pPr>
        <w:spacing w:after="0" w:line="243" w:lineRule="exact"/>
        <w:rPr>
          <w:sz w:val="20"/>
          <w:szCs w:val="20"/>
          <w:color w:val="auto"/>
        </w:rPr>
      </w:pPr>
    </w:p>
    <w:p>
      <w:pPr>
        <w:ind w:left="9180"/>
        <w:spacing w:after="0"/>
        <w:rPr>
          <w:sz w:val="20"/>
          <w:szCs w:val="20"/>
          <w:color w:val="auto"/>
        </w:rPr>
      </w:pPr>
      <w:r>
        <w:rPr>
          <w:rFonts w:ascii="Calibri" w:cs="Calibri" w:eastAsia="Calibri" w:hAnsi="Calibri"/>
          <w:sz w:val="16"/>
          <w:szCs w:val="16"/>
          <w:b w:val="1"/>
          <w:bCs w:val="1"/>
          <w:color w:val="auto"/>
        </w:rPr>
        <w:t>Three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40"/>
              <w:spacing w:after="0" w:line="148" w:lineRule="exact"/>
              <w:rPr>
                <w:sz w:val="20"/>
                <w:szCs w:val="20"/>
                <w:color w:val="auto"/>
              </w:rPr>
            </w:pPr>
            <w:r>
              <w:rPr>
                <w:rFonts w:ascii="Calibri" w:cs="Calibri" w:eastAsia="Calibri" w:hAnsi="Calibri"/>
                <w:sz w:val="14"/>
                <w:szCs w:val="14"/>
                <w:b w:val="1"/>
                <w:bCs w:val="1"/>
                <w:color w:val="auto"/>
              </w:rPr>
              <w:t>June 30,</w:t>
            </w: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72"/>
              <w:spacing w:after="0" w:line="148" w:lineRule="exact"/>
              <w:rPr>
                <w:sz w:val="20"/>
                <w:szCs w:val="20"/>
                <w:color w:val="auto"/>
              </w:rPr>
            </w:pPr>
            <w:r>
              <w:rPr>
                <w:rFonts w:ascii="Calibri" w:cs="Calibri" w:eastAsia="Calibri" w:hAnsi="Calibri"/>
                <w:sz w:val="14"/>
                <w:szCs w:val="14"/>
                <w:b w:val="1"/>
                <w:bCs w:val="1"/>
                <w:color w:val="auto"/>
              </w:rPr>
              <w:t>July 2,</w:t>
            </w:r>
          </w:p>
        </w:tc>
      </w:tr>
      <w:tr>
        <w:trPr>
          <w:trHeight w:val="170"/>
        </w:trPr>
        <w:tc>
          <w:tcPr>
            <w:tcW w:w="8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5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255,879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251,120</w:t>
            </w:r>
          </w:p>
        </w:tc>
      </w:tr>
      <w:tr>
        <w:trPr>
          <w:trHeight w:val="223"/>
        </w:trPr>
        <w:tc>
          <w:tcPr>
            <w:tcW w:w="85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(191,224)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(199,129)</w:t>
            </w:r>
          </w:p>
        </w:tc>
      </w:tr>
      <w:tr>
        <w:trPr>
          <w:trHeight w:val="230"/>
        </w:trPr>
        <w:tc>
          <w:tcPr>
            <w:tcW w:w="85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51,991</w:t>
            </w:r>
          </w:p>
        </w:tc>
      </w:tr>
      <w:tr>
        <w:trPr>
          <w:trHeight w:val="223"/>
        </w:trPr>
        <w:tc>
          <w:tcPr>
            <w:tcW w:w="85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(24,864)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(19,504)</w:t>
            </w:r>
          </w:p>
        </w:tc>
      </w:tr>
      <w:tr>
        <w:trPr>
          <w:trHeight w:val="229"/>
        </w:trPr>
        <w:tc>
          <w:tcPr>
            <w:tcW w:w="85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32,487</w:t>
            </w: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(1,148)</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159</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337</w:t>
            </w:r>
          </w:p>
        </w:tc>
      </w:tr>
      <w:tr>
        <w:trPr>
          <w:trHeight w:val="216"/>
        </w:trPr>
        <w:tc>
          <w:tcPr>
            <w:tcW w:w="854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2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38,687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31,676</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(9,808)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(8,246)</w:t>
            </w:r>
          </w:p>
        </w:tc>
      </w:tr>
      <w:tr>
        <w:trPr>
          <w:trHeight w:val="217"/>
        </w:trPr>
        <w:tc>
          <w:tcPr>
            <w:tcW w:w="854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23,430</w:t>
            </w:r>
          </w:p>
        </w:tc>
      </w:tr>
      <w:tr>
        <w:trPr>
          <w:trHeight w:val="21"/>
        </w:trPr>
        <w:tc>
          <w:tcPr>
            <w:tcW w:w="8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3"/>
        </w:trPr>
        <w:tc>
          <w:tcPr>
            <w:tcW w:w="8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20,816,479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20,907,724</w:t>
            </w:r>
          </w:p>
        </w:tc>
      </w:tr>
      <w:tr>
        <w:trPr>
          <w:trHeight w:val="237"/>
        </w:trPr>
        <w:tc>
          <w:tcPr>
            <w:tcW w:w="85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20,914,085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21,012,788</w:t>
            </w:r>
          </w:p>
        </w:tc>
      </w:tr>
      <w:tr>
        <w:trPr>
          <w:trHeight w:val="270"/>
        </w:trPr>
        <w:tc>
          <w:tcPr>
            <w:tcW w:w="8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5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w:t>
            </w:r>
          </w:p>
        </w:tc>
      </w:tr>
      <w:tr>
        <w:trPr>
          <w:trHeight w:val="222"/>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1.38</w:t>
            </w:r>
          </w:p>
        </w:tc>
        <w:tc>
          <w:tcPr>
            <w:tcW w:w="100" w:type="dxa"/>
            <w:vAlign w:val="bottom"/>
          </w:tcPr>
          <w:p>
            <w:pPr>
              <w:spacing w:after="0"/>
              <w:rPr>
                <w:sz w:val="19"/>
                <w:szCs w:val="19"/>
                <w:color w:val="auto"/>
              </w:rPr>
            </w:pP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1.12</w:t>
            </w:r>
          </w:p>
        </w:tc>
      </w:tr>
      <w:tr>
        <w:trPr>
          <w:trHeight w:val="277"/>
        </w:trPr>
        <w:tc>
          <w:tcPr>
            <w:tcW w:w="8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15"/>
        </w:trPr>
        <w:tc>
          <w:tcPr>
            <w:tcW w:w="854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00" w:type="dxa"/>
            <w:vAlign w:val="bottom"/>
          </w:tcPr>
          <w:p>
            <w:pPr>
              <w:spacing w:after="0"/>
              <w:rPr>
                <w:sz w:val="18"/>
                <w:szCs w:val="18"/>
                <w:color w:val="auto"/>
              </w:rPr>
            </w:pP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0.15</w:t>
            </w:r>
          </w:p>
        </w:tc>
      </w:tr>
      <w:tr>
        <w:trPr>
          <w:trHeight w:val="464"/>
        </w:trPr>
        <w:tc>
          <w:tcPr>
            <w:tcW w:w="8540" w:type="dxa"/>
            <w:vAlign w:val="bottom"/>
          </w:tcPr>
          <w:p>
            <w:pPr>
              <w:ind w:left="3000"/>
              <w:spacing w:after="0"/>
              <w:rPr>
                <w:sz w:val="20"/>
                <w:szCs w:val="20"/>
                <w:color w:val="auto"/>
              </w:rPr>
            </w:pPr>
            <w:r>
              <w:rPr>
                <w:rFonts w:ascii="Calibri" w:cs="Calibri" w:eastAsia="Calibri" w:hAnsi="Calibri"/>
                <w:sz w:val="18"/>
                <w:szCs w:val="18"/>
                <w:color w:val="auto"/>
              </w:rPr>
              <w:t>See accompanying notes to condensed consolidated fnancial statements.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4"/>
          </w:tcPr>
          <w:p>
            <w:pPr>
              <w:ind w:left="500"/>
              <w:spacing w:after="0"/>
              <w:rPr>
                <w:sz w:val="20"/>
                <w:szCs w:val="20"/>
                <w:color w:val="auto"/>
              </w:rPr>
            </w:pPr>
            <w:r>
              <w:rPr>
                <w:rFonts w:ascii="Calibri" w:cs="Calibri" w:eastAsia="Calibri" w:hAnsi="Calibri"/>
                <w:sz w:val="14"/>
                <w:szCs w:val="14"/>
                <w:b w:val="1"/>
                <w:bCs w:val="1"/>
                <w:color w:val="auto"/>
              </w:rPr>
              <w:t>Three Months Ended</w:t>
            </w:r>
          </w:p>
        </w:tc>
      </w:tr>
      <w:tr>
        <w:trPr>
          <w:trHeight w:val="47"/>
        </w:trPr>
        <w:tc>
          <w:tcPr>
            <w:tcW w:w="84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28"/>
        </w:trPr>
        <w:tc>
          <w:tcPr>
            <w:tcW w:w="8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60"/>
              <w:spacing w:after="0" w:line="127" w:lineRule="exact"/>
              <w:rPr>
                <w:sz w:val="20"/>
                <w:szCs w:val="20"/>
                <w:color w:val="auto"/>
              </w:rPr>
            </w:pPr>
            <w:r>
              <w:rPr>
                <w:rFonts w:ascii="Calibri" w:cs="Calibri" w:eastAsia="Calibri" w:hAnsi="Calibri"/>
                <w:sz w:val="13"/>
                <w:szCs w:val="13"/>
                <w:b w:val="1"/>
                <w:bCs w:val="1"/>
                <w:color w:val="auto"/>
              </w:rPr>
              <w:t>June 30,</w:t>
            </w:r>
          </w:p>
        </w:tc>
        <w:tc>
          <w:tcPr>
            <w:tcW w:w="280" w:type="dxa"/>
            <w:vAlign w:val="bottom"/>
          </w:tcPr>
          <w:p>
            <w:pPr>
              <w:spacing w:after="0"/>
              <w:rPr>
                <w:sz w:val="11"/>
                <w:szCs w:val="11"/>
                <w:color w:val="auto"/>
              </w:rPr>
            </w:pPr>
          </w:p>
        </w:tc>
        <w:tc>
          <w:tcPr>
            <w:tcW w:w="1040" w:type="dxa"/>
            <w:vAlign w:val="bottom"/>
          </w:tcPr>
          <w:p>
            <w:pPr>
              <w:jc w:val="right"/>
              <w:ind w:right="398"/>
              <w:spacing w:after="0" w:line="127" w:lineRule="exact"/>
              <w:rPr>
                <w:sz w:val="20"/>
                <w:szCs w:val="20"/>
                <w:color w:val="auto"/>
              </w:rPr>
            </w:pPr>
            <w:r>
              <w:rPr>
                <w:rFonts w:ascii="Calibri" w:cs="Calibri" w:eastAsia="Calibri" w:hAnsi="Calibri"/>
                <w:sz w:val="13"/>
                <w:szCs w:val="13"/>
                <w:b w:val="1"/>
                <w:bCs w:val="1"/>
                <w:color w:val="auto"/>
              </w:rPr>
              <w:t>July 2,</w:t>
            </w:r>
          </w:p>
        </w:tc>
      </w:tr>
      <w:tr>
        <w:trPr>
          <w:trHeight w:val="170"/>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20"/>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8"/>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ind w:left="520"/>
              <w:spacing w:after="0" w:line="215" w:lineRule="exact"/>
              <w:rPr>
                <w:sz w:val="20"/>
                <w:szCs w:val="20"/>
                <w:color w:val="auto"/>
              </w:rPr>
            </w:pPr>
            <w:r>
              <w:rPr>
                <w:rFonts w:ascii="Calibri" w:cs="Calibri" w:eastAsia="Calibri" w:hAnsi="Calibri"/>
                <w:sz w:val="18"/>
                <w:szCs w:val="18"/>
                <w:color w:val="auto"/>
              </w:rPr>
              <w:t>28,879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23,430</w:t>
            </w:r>
          </w:p>
        </w:tc>
      </w:tr>
      <w:tr>
        <w:trPr>
          <w:trHeight w:val="222"/>
        </w:trPr>
        <w:tc>
          <w:tcPr>
            <w:tcW w:w="84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net of tax:</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848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Unrealized (loss) gain on interest rate swap</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(106)</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749</w:t>
            </w:r>
          </w:p>
        </w:tc>
      </w:tr>
      <w:tr>
        <w:trPr>
          <w:trHeight w:val="217"/>
        </w:trPr>
        <w:tc>
          <w:tcPr>
            <w:tcW w:w="8480" w:type="dxa"/>
            <w:vAlign w:val="bottom"/>
          </w:tcPr>
          <w:p>
            <w:pPr>
              <w:ind w:left="20"/>
              <w:spacing w:after="0" w:line="195" w:lineRule="exact"/>
              <w:rPr>
                <w:sz w:val="20"/>
                <w:szCs w:val="20"/>
                <w:color w:val="auto"/>
              </w:rPr>
            </w:pPr>
            <w:r>
              <w:rPr>
                <w:rFonts w:ascii="Calibri" w:cs="Calibri" w:eastAsia="Calibri" w:hAnsi="Calibri"/>
                <w:sz w:val="18"/>
                <w:szCs w:val="18"/>
                <w:color w:val="auto"/>
              </w:rPr>
              <w:t>Total comprehensive income</w:t>
            </w:r>
          </w:p>
        </w:tc>
        <w:tc>
          <w:tcPr>
            <w:tcW w:w="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ind w:left="520"/>
              <w:spacing w:after="0" w:line="215" w:lineRule="exact"/>
              <w:rPr>
                <w:sz w:val="20"/>
                <w:szCs w:val="20"/>
                <w:color w:val="auto"/>
              </w:rPr>
            </w:pPr>
            <w:r>
              <w:rPr>
                <w:rFonts w:ascii="Calibri" w:cs="Calibri" w:eastAsia="Calibri" w:hAnsi="Calibri"/>
                <w:sz w:val="18"/>
                <w:szCs w:val="18"/>
                <w:color w:val="auto"/>
              </w:rPr>
              <w:t>28,773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24,179</w:t>
            </w:r>
          </w:p>
        </w:tc>
      </w:tr>
      <w:tr>
        <w:trPr>
          <w:trHeight w:val="27"/>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SHAREHOLDERS’ EQUITY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Additonal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0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line="162" w:lineRule="exact"/>
              <w:rPr>
                <w:sz w:val="20"/>
                <w:szCs w:val="20"/>
                <w:color w:val="auto"/>
              </w:rPr>
            </w:pPr>
            <w:r>
              <w:rPr>
                <w:rFonts w:ascii="Calibri" w:cs="Calibri" w:eastAsia="Calibri" w:hAnsi="Calibri"/>
                <w:sz w:val="16"/>
                <w:szCs w:val="16"/>
                <w:b w:val="1"/>
                <w:bCs w:val="1"/>
                <w:color w:val="auto"/>
              </w:rPr>
              <w:t>Paid-in</w:t>
            </w:r>
          </w:p>
        </w:tc>
        <w:tc>
          <w:tcPr>
            <w:tcW w:w="180" w:type="dxa"/>
            <w:vAlign w:val="bottom"/>
          </w:tcPr>
          <w:p>
            <w:pPr>
              <w:spacing w:after="0"/>
              <w:rPr>
                <w:sz w:val="7"/>
                <w:szCs w:val="7"/>
                <w:color w:val="auto"/>
              </w:rPr>
            </w:pPr>
          </w:p>
        </w:tc>
        <w:tc>
          <w:tcPr>
            <w:tcW w:w="1040" w:type="dxa"/>
            <w:vAlign w:val="bottom"/>
            <w:gridSpan w:val="2"/>
            <w:vMerge w:val="restart"/>
          </w:tcPr>
          <w:p>
            <w:pPr>
              <w:ind w:left="80"/>
              <w:spacing w:after="0" w:line="162" w:lineRule="exact"/>
              <w:rPr>
                <w:sz w:val="20"/>
                <w:szCs w:val="20"/>
                <w:color w:val="auto"/>
              </w:rPr>
            </w:pPr>
            <w:r>
              <w:rPr>
                <w:rFonts w:ascii="Calibri" w:cs="Calibri" w:eastAsia="Calibri" w:hAnsi="Calibri"/>
                <w:sz w:val="16"/>
                <w:szCs w:val="16"/>
                <w:b w:val="1"/>
                <w:bCs w:val="1"/>
                <w:color w:val="auto"/>
              </w:rPr>
              <w:t>Retained</w:t>
            </w:r>
          </w:p>
        </w:tc>
        <w:tc>
          <w:tcPr>
            <w:tcW w:w="140" w:type="dxa"/>
            <w:vAlign w:val="bottom"/>
          </w:tcPr>
          <w:p>
            <w:pPr>
              <w:spacing w:after="0"/>
              <w:rPr>
                <w:sz w:val="7"/>
                <w:szCs w:val="7"/>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Calibri" w:cs="Calibri" w:eastAsia="Calibri" w:hAnsi="Calibri"/>
                <w:sz w:val="16"/>
                <w:szCs w:val="16"/>
                <w:b w:val="1"/>
                <w:bCs w:val="1"/>
                <w:color w:val="auto"/>
              </w:rPr>
              <w:t>Comprehensive</w:t>
            </w:r>
          </w:p>
        </w:tc>
        <w:tc>
          <w:tcPr>
            <w:tcW w:w="100" w:type="dxa"/>
            <w:vAlign w:val="bottom"/>
          </w:tcPr>
          <w:p>
            <w:pPr>
              <w:spacing w:after="0"/>
              <w:rPr>
                <w:sz w:val="7"/>
                <w:szCs w:val="7"/>
                <w:color w:val="auto"/>
              </w:rPr>
            </w:pPr>
          </w:p>
        </w:tc>
        <w:tc>
          <w:tcPr>
            <w:tcW w:w="1060" w:type="dxa"/>
            <w:vAlign w:val="bottom"/>
            <w:vMerge w:val="restart"/>
          </w:tcPr>
          <w:p>
            <w:pPr>
              <w:jc w:val="center"/>
              <w:ind w:right="19"/>
              <w:spacing w:after="0" w:line="162" w:lineRule="exact"/>
              <w:rPr>
                <w:sz w:val="20"/>
                <w:szCs w:val="20"/>
                <w:color w:val="auto"/>
              </w:rPr>
            </w:pPr>
            <w:r>
              <w:rPr>
                <w:rFonts w:ascii="Calibri" w:cs="Calibri" w:eastAsia="Calibri" w:hAnsi="Calibri"/>
                <w:sz w:val="16"/>
                <w:szCs w:val="16"/>
                <w:b w:val="1"/>
                <w:bCs w:val="1"/>
                <w:color w:val="auto"/>
              </w:rPr>
              <w:t>Shareholders’</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00" w:type="dxa"/>
            <w:vAlign w:val="bottom"/>
          </w:tcPr>
          <w:p>
            <w:pPr>
              <w:spacing w:after="0"/>
              <w:rPr>
                <w:sz w:val="16"/>
                <w:szCs w:val="16"/>
                <w:color w:val="auto"/>
              </w:rPr>
            </w:pPr>
          </w:p>
        </w:tc>
        <w:tc>
          <w:tcPr>
            <w:tcW w:w="12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10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Capital</w:t>
            </w:r>
          </w:p>
        </w:tc>
        <w:tc>
          <w:tcPr>
            <w:tcW w:w="180" w:type="dxa"/>
            <w:vAlign w:val="bottom"/>
          </w:tcPr>
          <w:p>
            <w:pPr>
              <w:spacing w:after="0"/>
              <w:rPr>
                <w:sz w:val="16"/>
                <w:szCs w:val="16"/>
                <w:color w:val="auto"/>
              </w:rPr>
            </w:pPr>
          </w:p>
        </w:tc>
        <w:tc>
          <w:tcPr>
            <w:tcW w:w="1040" w:type="dxa"/>
            <w:vAlign w:val="bottom"/>
            <w:gridSpan w:val="2"/>
          </w:tcPr>
          <w:p>
            <w:pPr>
              <w:ind w:left="80"/>
              <w:spacing w:after="0" w:line="193" w:lineRule="exact"/>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93" w:lineRule="exact"/>
              <w:rPr>
                <w:sz w:val="20"/>
                <w:szCs w:val="20"/>
                <w:color w:val="auto"/>
              </w:rPr>
            </w:pPr>
            <w:r>
              <w:rPr>
                <w:rFonts w:ascii="Calibri" w:cs="Calibri" w:eastAsia="Calibri" w:hAnsi="Calibri"/>
                <w:sz w:val="16"/>
                <w:szCs w:val="16"/>
                <w:b w:val="1"/>
                <w:bCs w:val="1"/>
                <w:color w:val="auto"/>
              </w:rPr>
              <w:t>Income (Loss)</w:t>
            </w:r>
          </w:p>
        </w:tc>
        <w:tc>
          <w:tcPr>
            <w:tcW w:w="100" w:type="dxa"/>
            <w:vAlign w:val="bottom"/>
          </w:tcPr>
          <w:p>
            <w:pPr>
              <w:spacing w:after="0"/>
              <w:rPr>
                <w:sz w:val="16"/>
                <w:szCs w:val="16"/>
                <w:color w:val="auto"/>
              </w:rPr>
            </w:pPr>
          </w:p>
        </w:tc>
        <w:tc>
          <w:tcPr>
            <w:tcW w:w="1060" w:type="dxa"/>
            <w:vAlign w:val="bottom"/>
          </w:tcPr>
          <w:p>
            <w:pPr>
              <w:jc w:val="center"/>
              <w:ind w:right="19"/>
              <w:spacing w:after="0" w:line="193" w:lineRule="exact"/>
              <w:rPr>
                <w:sz w:val="20"/>
                <w:szCs w:val="20"/>
                <w:color w:val="auto"/>
              </w:rPr>
            </w:pPr>
            <w:r>
              <w:rPr>
                <w:rFonts w:ascii="Calibri" w:cs="Calibri" w:eastAsia="Calibri" w:hAnsi="Calibri"/>
                <w:sz w:val="16"/>
                <w:szCs w:val="16"/>
                <w:b w:val="1"/>
                <w:bCs w:val="1"/>
                <w:color w:val="auto"/>
              </w:rPr>
              <w:t>Equity</w:t>
            </w:r>
          </w:p>
        </w:tc>
        <w:tc>
          <w:tcPr>
            <w:tcW w:w="0" w:type="dxa"/>
            <w:vAlign w:val="bottom"/>
          </w:tcPr>
          <w:p>
            <w:pPr>
              <w:spacing w:after="0"/>
              <w:rPr>
                <w:sz w:val="1"/>
                <w:szCs w:val="1"/>
                <w:color w:val="auto"/>
              </w:rPr>
            </w:pPr>
          </w:p>
        </w:tc>
      </w:tr>
      <w:tr>
        <w:trPr>
          <w:trHeight w:val="28"/>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March 31, 2024</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20,790,261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38,154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364,549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406,026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($0.16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83,658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(34,047)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(9,148)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June 30, 2024</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20,734,331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207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27,932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390,070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3,009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421,218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600" w:type="dxa"/>
            <w:vAlign w:val="bottom"/>
          </w:tcPr>
          <w:p>
            <w:pPr>
              <w:spacing w:after="0"/>
              <w:rPr>
                <w:sz w:val="24"/>
                <w:szCs w:val="24"/>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Additonal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0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line="162" w:lineRule="exact"/>
              <w:rPr>
                <w:sz w:val="20"/>
                <w:szCs w:val="20"/>
                <w:color w:val="auto"/>
              </w:rPr>
            </w:pPr>
            <w:r>
              <w:rPr>
                <w:rFonts w:ascii="Calibri" w:cs="Calibri" w:eastAsia="Calibri" w:hAnsi="Calibri"/>
                <w:sz w:val="16"/>
                <w:szCs w:val="16"/>
                <w:b w:val="1"/>
                <w:bCs w:val="1"/>
                <w:color w:val="auto"/>
              </w:rPr>
              <w:t>Paid-in</w:t>
            </w:r>
          </w:p>
        </w:tc>
        <w:tc>
          <w:tcPr>
            <w:tcW w:w="180" w:type="dxa"/>
            <w:vAlign w:val="bottom"/>
          </w:tcPr>
          <w:p>
            <w:pPr>
              <w:spacing w:after="0"/>
              <w:rPr>
                <w:sz w:val="7"/>
                <w:szCs w:val="7"/>
                <w:color w:val="auto"/>
              </w:rPr>
            </w:pPr>
          </w:p>
        </w:tc>
        <w:tc>
          <w:tcPr>
            <w:tcW w:w="1040" w:type="dxa"/>
            <w:vAlign w:val="bottom"/>
            <w:gridSpan w:val="2"/>
            <w:vMerge w:val="restart"/>
          </w:tcPr>
          <w:p>
            <w:pPr>
              <w:ind w:left="80"/>
              <w:spacing w:after="0" w:line="162" w:lineRule="exact"/>
              <w:rPr>
                <w:sz w:val="20"/>
                <w:szCs w:val="20"/>
                <w:color w:val="auto"/>
              </w:rPr>
            </w:pPr>
            <w:r>
              <w:rPr>
                <w:rFonts w:ascii="Calibri" w:cs="Calibri" w:eastAsia="Calibri" w:hAnsi="Calibri"/>
                <w:sz w:val="16"/>
                <w:szCs w:val="16"/>
                <w:b w:val="1"/>
                <w:bCs w:val="1"/>
                <w:color w:val="auto"/>
              </w:rPr>
              <w:t>Retained</w:t>
            </w:r>
          </w:p>
        </w:tc>
        <w:tc>
          <w:tcPr>
            <w:tcW w:w="140" w:type="dxa"/>
            <w:vAlign w:val="bottom"/>
          </w:tcPr>
          <w:p>
            <w:pPr>
              <w:spacing w:after="0"/>
              <w:rPr>
                <w:sz w:val="7"/>
                <w:szCs w:val="7"/>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Calibri" w:cs="Calibri" w:eastAsia="Calibri" w:hAnsi="Calibri"/>
                <w:sz w:val="16"/>
                <w:szCs w:val="16"/>
                <w:b w:val="1"/>
                <w:bCs w:val="1"/>
                <w:color w:val="auto"/>
              </w:rPr>
              <w:t>Comprehensive</w:t>
            </w:r>
          </w:p>
        </w:tc>
        <w:tc>
          <w:tcPr>
            <w:tcW w:w="100" w:type="dxa"/>
            <w:vAlign w:val="bottom"/>
          </w:tcPr>
          <w:p>
            <w:pPr>
              <w:spacing w:after="0"/>
              <w:rPr>
                <w:sz w:val="7"/>
                <w:szCs w:val="7"/>
                <w:color w:val="auto"/>
              </w:rPr>
            </w:pPr>
          </w:p>
        </w:tc>
        <w:tc>
          <w:tcPr>
            <w:tcW w:w="1060" w:type="dxa"/>
            <w:vAlign w:val="bottom"/>
            <w:vMerge w:val="restart"/>
          </w:tcPr>
          <w:p>
            <w:pPr>
              <w:jc w:val="center"/>
              <w:ind w:right="19"/>
              <w:spacing w:after="0" w:line="162" w:lineRule="exact"/>
              <w:rPr>
                <w:sz w:val="20"/>
                <w:szCs w:val="20"/>
                <w:color w:val="auto"/>
              </w:rPr>
            </w:pPr>
            <w:r>
              <w:rPr>
                <w:rFonts w:ascii="Calibri" w:cs="Calibri" w:eastAsia="Calibri" w:hAnsi="Calibri"/>
                <w:sz w:val="16"/>
                <w:szCs w:val="16"/>
                <w:b w:val="1"/>
                <w:bCs w:val="1"/>
                <w:color w:val="auto"/>
              </w:rPr>
              <w:t>Shareholders’</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00" w:type="dxa"/>
            <w:vAlign w:val="bottom"/>
          </w:tcPr>
          <w:p>
            <w:pPr>
              <w:spacing w:after="0"/>
              <w:rPr>
                <w:sz w:val="16"/>
                <w:szCs w:val="16"/>
                <w:color w:val="auto"/>
              </w:rPr>
            </w:pPr>
          </w:p>
        </w:tc>
        <w:tc>
          <w:tcPr>
            <w:tcW w:w="12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10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Capital</w:t>
            </w:r>
          </w:p>
        </w:tc>
        <w:tc>
          <w:tcPr>
            <w:tcW w:w="180" w:type="dxa"/>
            <w:vAlign w:val="bottom"/>
          </w:tcPr>
          <w:p>
            <w:pPr>
              <w:spacing w:after="0"/>
              <w:rPr>
                <w:sz w:val="16"/>
                <w:szCs w:val="16"/>
                <w:color w:val="auto"/>
              </w:rPr>
            </w:pPr>
          </w:p>
        </w:tc>
        <w:tc>
          <w:tcPr>
            <w:tcW w:w="1040" w:type="dxa"/>
            <w:vAlign w:val="bottom"/>
            <w:gridSpan w:val="2"/>
          </w:tcPr>
          <w:p>
            <w:pPr>
              <w:ind w:left="80"/>
              <w:spacing w:after="0" w:line="193" w:lineRule="exact"/>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93" w:lineRule="exact"/>
              <w:rPr>
                <w:sz w:val="20"/>
                <w:szCs w:val="20"/>
                <w:color w:val="auto"/>
              </w:rPr>
            </w:pPr>
            <w:r>
              <w:rPr>
                <w:rFonts w:ascii="Calibri" w:cs="Calibri" w:eastAsia="Calibri" w:hAnsi="Calibri"/>
                <w:sz w:val="16"/>
                <w:szCs w:val="16"/>
                <w:b w:val="1"/>
                <w:bCs w:val="1"/>
                <w:color w:val="auto"/>
              </w:rPr>
              <w:t>Income (Loss)</w:t>
            </w:r>
          </w:p>
        </w:tc>
        <w:tc>
          <w:tcPr>
            <w:tcW w:w="100" w:type="dxa"/>
            <w:vAlign w:val="bottom"/>
          </w:tcPr>
          <w:p>
            <w:pPr>
              <w:spacing w:after="0"/>
              <w:rPr>
                <w:sz w:val="16"/>
                <w:szCs w:val="16"/>
                <w:color w:val="auto"/>
              </w:rPr>
            </w:pPr>
          </w:p>
        </w:tc>
        <w:tc>
          <w:tcPr>
            <w:tcW w:w="1060" w:type="dxa"/>
            <w:vAlign w:val="bottom"/>
          </w:tcPr>
          <w:p>
            <w:pPr>
              <w:jc w:val="center"/>
              <w:ind w:right="19"/>
              <w:spacing w:after="0" w:line="193" w:lineRule="exact"/>
              <w:rPr>
                <w:sz w:val="20"/>
                <w:szCs w:val="20"/>
                <w:color w:val="auto"/>
              </w:rPr>
            </w:pPr>
            <w:r>
              <w:rPr>
                <w:rFonts w:ascii="Calibri" w:cs="Calibri" w:eastAsia="Calibri" w:hAnsi="Calibri"/>
                <w:sz w:val="16"/>
                <w:szCs w:val="16"/>
                <w:b w:val="1"/>
                <w:bCs w:val="1"/>
                <w:color w:val="auto"/>
              </w:rPr>
              <w:t>Equity</w:t>
            </w:r>
          </w:p>
        </w:tc>
        <w:tc>
          <w:tcPr>
            <w:tcW w:w="0" w:type="dxa"/>
            <w:vAlign w:val="bottom"/>
          </w:tcPr>
          <w:p>
            <w:pPr>
              <w:spacing w:after="0"/>
              <w:rPr>
                <w:sz w:val="1"/>
                <w:szCs w:val="1"/>
                <w:color w:val="auto"/>
              </w:rPr>
            </w:pPr>
          </w:p>
        </w:tc>
      </w:tr>
      <w:tr>
        <w:trPr>
          <w:trHeight w:val="28"/>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April 2,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20,850,454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44,443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302,424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2,940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350,016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($0.15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(48,478)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c>
          <w:tcPr>
            <w:tcW w:w="0" w:type="dxa"/>
            <w:vAlign w:val="bottom"/>
          </w:tcPr>
          <w:p>
            <w:pPr>
              <w:spacing w:after="0"/>
              <w:rPr>
                <w:sz w:val="1"/>
                <w:szCs w:val="1"/>
                <w:color w:val="auto"/>
              </w:rPr>
            </w:pPr>
          </w:p>
        </w:tc>
      </w:tr>
      <w:tr>
        <w:trPr>
          <w:trHeight w:val="194"/>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35,281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July 2,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20,942,857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44,409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322,694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371,001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799"/>
              <w:spacing w:after="0"/>
              <w:rPr>
                <w:sz w:val="20"/>
                <w:szCs w:val="20"/>
                <w:color w:val="auto"/>
              </w:rPr>
            </w:pPr>
            <w:r>
              <w:rPr>
                <w:rFonts w:ascii="Calibri" w:cs="Calibri" w:eastAsia="Calibri" w:hAnsi="Calibri"/>
                <w:sz w:val="16"/>
                <w:szCs w:val="16"/>
                <w:b w:val="1"/>
                <w:bCs w:val="1"/>
                <w:color w:val="auto"/>
              </w:rPr>
              <w:t>Three Months Ended</w:t>
            </w:r>
          </w:p>
        </w:tc>
      </w:tr>
      <w:tr>
        <w:trPr>
          <w:trHeight w:val="28"/>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20"/>
              <w:spacing w:after="0" w:line="150" w:lineRule="exact"/>
              <w:rPr>
                <w:sz w:val="20"/>
                <w:szCs w:val="20"/>
                <w:color w:val="auto"/>
              </w:rPr>
            </w:pPr>
            <w:r>
              <w:rPr>
                <w:rFonts w:ascii="Calibri" w:cs="Calibri" w:eastAsia="Calibri" w:hAnsi="Calibri"/>
                <w:sz w:val="16"/>
                <w:szCs w:val="16"/>
                <w:b w:val="1"/>
                <w:bCs w:val="1"/>
                <w:color w:val="auto"/>
              </w:rPr>
              <w:t>June 30,</w:t>
            </w:r>
          </w:p>
        </w:tc>
        <w:tc>
          <w:tcPr>
            <w:tcW w:w="320" w:type="dxa"/>
            <w:vAlign w:val="bottom"/>
          </w:tcPr>
          <w:p>
            <w:pPr>
              <w:spacing w:after="0"/>
              <w:rPr>
                <w:sz w:val="13"/>
                <w:szCs w:val="13"/>
                <w:color w:val="auto"/>
              </w:rPr>
            </w:pPr>
          </w:p>
        </w:tc>
        <w:tc>
          <w:tcPr>
            <w:tcW w:w="1160" w:type="dxa"/>
            <w:vAlign w:val="bottom"/>
          </w:tcPr>
          <w:p>
            <w:pPr>
              <w:jc w:val="right"/>
              <w:ind w:right="439"/>
              <w:spacing w:after="0" w:line="150" w:lineRule="exact"/>
              <w:rPr>
                <w:sz w:val="20"/>
                <w:szCs w:val="20"/>
                <w:color w:val="auto"/>
              </w:rPr>
            </w:pPr>
            <w:r>
              <w:rPr>
                <w:rFonts w:ascii="Calibri" w:cs="Calibri" w:eastAsia="Calibri" w:hAnsi="Calibri"/>
                <w:sz w:val="16"/>
                <w:szCs w:val="16"/>
                <w:b w:val="1"/>
                <w:bCs w:val="1"/>
                <w:color w:val="auto"/>
              </w:rPr>
              <w:t>July 2,</w:t>
            </w:r>
          </w:p>
        </w:tc>
      </w:tr>
      <w:tr>
        <w:trPr>
          <w:trHeight w:val="193"/>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100" w:type="dxa"/>
            <w:vAlign w:val="bottom"/>
          </w:tcPr>
          <w:p>
            <w:pPr>
              <w:spacing w:after="0"/>
              <w:rPr>
                <w:sz w:val="16"/>
                <w:szCs w:val="16"/>
                <w:color w:val="auto"/>
              </w:rPr>
            </w:pP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9,329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7,107</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534</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(337)</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1,467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959</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(10,576)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(9,055)</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(6,037)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11,839</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(537)</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(8,949)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(9,075)</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(580)</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9,808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8,255</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2,300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17,586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34,866</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(10,649)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(7,873)</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44</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(35,804)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(7,829)</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(3,160)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300" w:type="dxa"/>
            <w:vAlign w:val="bottom"/>
          </w:tcPr>
          <w:p>
            <w:pPr>
              <w:spacing w:after="0"/>
              <w:rPr>
                <w:sz w:val="16"/>
                <w:szCs w:val="16"/>
                <w:color w:val="auto"/>
              </w:rPr>
            </w:pPr>
          </w:p>
        </w:tc>
        <w:tc>
          <w:tcPr>
            <w:tcW w:w="138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r>
      <w:tr>
        <w:trPr>
          <w:trHeight w:val="22"/>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(23,400)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provided by (used in) fnancing actvites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19,952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(27,553)</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(DECREASE) IN CASH AND CASH EQUIVALENTS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1,734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(516)</w:t>
            </w:r>
          </w:p>
        </w:tc>
      </w:tr>
      <w:tr>
        <w:trPr>
          <w:trHeight w:val="22"/>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8,887</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7,050</w:t>
            </w:r>
          </w:p>
        </w:tc>
      </w:tr>
      <w:tr>
        <w:trPr>
          <w:trHeight w:val="22"/>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1,221</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1,015</w:t>
            </w:r>
          </w:p>
        </w:tc>
        <w:tc>
          <w:tcPr>
            <w:tcW w:w="100" w:type="dxa"/>
            <w:vAlign w:val="bottom"/>
          </w:tcPr>
          <w:p>
            <w:pPr>
              <w:spacing w:after="0"/>
              <w:rPr>
                <w:sz w:val="16"/>
                <w:szCs w:val="16"/>
                <w:color w:val="auto"/>
              </w:rPr>
            </w:pP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4,771</w:t>
            </w:r>
          </w:p>
        </w:tc>
      </w:tr>
    </w:tbl>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Summary of Signifcant Accountng Policies</w:t>
      </w:r>
    </w:p>
    <w:p>
      <w:pPr>
        <w:spacing w:after="0" w:line="244" w:lineRule="exact"/>
        <w:rPr>
          <w:sz w:val="20"/>
          <w:szCs w:val="20"/>
          <w:color w:val="auto"/>
        </w:rPr>
      </w:pPr>
    </w:p>
    <w:p>
      <w:pPr>
        <w:ind w:right="40"/>
        <w:spacing w:after="0" w:line="235" w:lineRule="auto"/>
        <w:rPr>
          <w:rFonts w:ascii="Calibri" w:cs="Calibri" w:eastAsia="Calibri" w:hAnsi="Calibri"/>
          <w:sz w:val="18"/>
          <w:szCs w:val="18"/>
          <w:color w:val="0000FF"/>
        </w:rPr>
      </w:pPr>
      <w:r>
        <w:rPr>
          <w:rFonts w:ascii="Calibri" w:cs="Calibri" w:eastAsia="Calibri" w:hAnsi="Calibri"/>
          <w:sz w:val="18"/>
          <w:szCs w:val="18"/>
          <w:b w:val="1"/>
          <w:bCs w:val="1"/>
          <w:i w:val="1"/>
          <w:iCs w:val="1"/>
          <w:color w:val="auto"/>
        </w:rPr>
        <w:t xml:space="preserve">Basis of Presentaton. </w:t>
      </w:r>
      <w:r>
        <w:rPr>
          <w:rFonts w:ascii="Calibri" w:cs="Calibri" w:eastAsia="Calibri" w:hAnsi="Calibri"/>
          <w:sz w:val="18"/>
          <w:szCs w:val="18"/>
          <w:color w:val="auto"/>
        </w:rPr>
        <w:t>The accompanying unaudited condensed consolidated fnancial statements have been prepared in accordance with the instructons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Form 10-Q and, accordingly, do not include all informaton and footnotes required by generally accepted accountng principles for complete fnancial </w:t>
      </w:r>
      <w:hyperlink r:id="rId18">
        <w:r>
          <w:rPr>
            <w:rFonts w:ascii="Calibri" w:cs="Calibri" w:eastAsia="Calibri" w:hAnsi="Calibri"/>
            <w:sz w:val="18"/>
            <w:szCs w:val="18"/>
            <w:color w:val="auto"/>
          </w:rPr>
          <w:t xml:space="preserve">statements. These fnancial statements should be read in conjuncton with the consolidated fnancial statements and footnotes included in our </w:t>
        </w:r>
        <w:r>
          <w:rPr>
            <w:rFonts w:ascii="Calibri" w:cs="Calibri" w:eastAsia="Calibri" w:hAnsi="Calibri"/>
            <w:sz w:val="18"/>
            <w:szCs w:val="18"/>
            <w:u w:val="single" w:color="auto"/>
            <w:color w:val="0000FF"/>
          </w:rPr>
          <w:t>Annual Report</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on Form 10-K for the fscal year ended March 31, 2024</w:t>
        </w:r>
        <w:r>
          <w:rPr>
            <w:rFonts w:ascii="Calibri" w:cs="Calibri" w:eastAsia="Calibri" w:hAnsi="Calibri"/>
            <w:sz w:val="18"/>
            <w:szCs w:val="18"/>
            <w:color w:val="000000"/>
          </w:rPr>
          <w:t>, previously fled with the Securites and Exchange Commission (“SEC”). In the opinion of management,</w:t>
        </w:r>
      </w:hyperlink>
      <w:r>
        <w:rPr>
          <w:rFonts w:ascii="Calibri" w:cs="Calibri" w:eastAsia="Calibri" w:hAnsi="Calibri"/>
          <w:sz w:val="18"/>
          <w:szCs w:val="18"/>
          <w:color w:val="0000FF"/>
        </w:rPr>
        <w:t xml:space="preserve"> </w:t>
      </w:r>
      <w:r>
        <w:rPr>
          <w:rFonts w:ascii="Calibri" w:cs="Calibri" w:eastAsia="Calibri" w:hAnsi="Calibri"/>
          <w:sz w:val="18"/>
          <w:szCs w:val="18"/>
          <w:color w:val="000000"/>
        </w:rPr>
        <w:t>the accompanying unaudited condensed consolidated fnancial statements contain all adjustments necessary to present fairly our fnancial positon and the results of our operatons and cash fows for the periods presented. All adjustments made to the interim condensed consolidated fnancial statements were of a normal recurring nature. All signifcant intercompany accounts and transactons have been eliminated in consolidaton. The results of operatons for the three months ended June 30, 2024 are not necessarily indicatve of the results that may be expected for the full year.</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References to fscal 2024 refer to the fscal year ended March 31, 2024 and references to fscal 2025 refer to the fscal year ending March 30, 2025.</w:t>
      </w:r>
    </w:p>
    <w:p>
      <w:pPr>
        <w:spacing w:after="0" w:line="109"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b w:val="1"/>
          <w:bCs w:val="1"/>
          <w:i w:val="1"/>
          <w:iCs w:val="1"/>
          <w:color w:val="auto"/>
        </w:rPr>
        <w:t xml:space="preserve">Use of Estmates. </w:t>
      </w:r>
      <w:r>
        <w:rPr>
          <w:rFonts w:ascii="Calibri" w:cs="Calibri" w:eastAsia="Calibri" w:hAnsi="Calibri"/>
          <w:sz w:val="17"/>
          <w:szCs w:val="17"/>
          <w:color w:val="auto"/>
        </w:rPr>
        <w:t>The preparaton of condensed consolidated fnancial statements in conformity with accountng principles generally accepted in the United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States requires management to make estmates and assumptons that afect the reported amounts of assets and liabilites, partcularly receivables, inventories, property, plant and equipment, right-of-use assets, goodwill, intangibles, accrued expenses, short-term and long-term lease liability, income taxes and related accounts and the reported amounts of revenues and expenses during the reportng period. Actual results could difer from those estmates.</w:t>
      </w:r>
    </w:p>
    <w:p>
      <w:pPr>
        <w:spacing w:after="0" w:line="100" w:lineRule="exact"/>
        <w:rPr>
          <w:sz w:val="20"/>
          <w:szCs w:val="20"/>
          <w:color w:val="auto"/>
        </w:rPr>
      </w:pPr>
    </w:p>
    <w:p>
      <w:pPr>
        <w:ind w:right="100"/>
        <w:spacing w:after="0" w:line="235" w:lineRule="auto"/>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Accountng Policies. </w:t>
      </w:r>
      <w:r>
        <w:rPr>
          <w:rFonts w:ascii="Calibri" w:cs="Calibri" w:eastAsia="Calibri" w:hAnsi="Calibri"/>
          <w:sz w:val="18"/>
          <w:szCs w:val="18"/>
          <w:color w:val="auto"/>
        </w:rPr>
        <w:t>The accountng policies we follow are set forth in Note 1 – Nature of Business and Signifcant Accountng Policies to our consolidated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fnancial statements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 previously fled with the SEC. There has been no signifcant change in our accountng policies since the end of fscal 2024.</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Issued Accountng Pronouncements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 (Topic 740): Improvements to Income Tax Disclosures (ASU No.2023-09)</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 the Financial Accountng Standards Board ("FASB") issued accountng standards update No. 2023-09 to enhance the transparency and decision-usefulness of income tax disclosures and to provide informaton to beter assess how an entty's operatons and related tax risks and tax planning and operatonal opportunites afect its tax rate and prospects for future cash fows. For public business enttes, the amendments in this update are efectve for annual periods beginning afer December 15, 2024. We are in the process of evaluatng the impact of this standard on the disclosures in our fnancial statements.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Reportng (Topic 280): Improvements to Reportable Segment Disclosures (ASU 2023-07)</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2023, the FASB issued accountng standards update No. 2023-07 to improve reportable segment disclosure requirements, primarily through enhanced disclosures about signifcant segment expenses. The update requires public enttes to disclose, on an annual and interim basis, signifcant segment expenses that are regularly provided to the chief operatng decision maker ("CODM"), the ttle and positon of the CODM and an explanaton of how the CODM uses the reported measure(s) of segment proft or loss in assessing segment performance and deciding how to allocate resources. The amendments in this update are efectve for public enttes in fscal years beginning afer December 15, 2023, and interim periods within fscal years beginning afer December 15, 2024 and are to be applied retrospectvely to all prior periods presented in the fnancial statements. Early adopton is permited. We are in the process of evaluatng the impact of this standard on the disclosures in our fnancial statements.</w:t>
      </w: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Note 2 — Acquisitons</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Acquisiton of Woford Water Service, Inc.: </w:t>
      </w:r>
      <w:r>
        <w:rPr>
          <w:rFonts w:ascii="Calibri" w:cs="Calibri" w:eastAsia="Calibri" w:hAnsi="Calibri"/>
          <w:sz w:val="18"/>
          <w:szCs w:val="18"/>
          <w:color w:val="auto"/>
        </w:rPr>
        <w:t>On June 28, 2024, we acquired substantally all the assets of Woford Water Service, Inc. ("Woford") for</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$3.4 million under the terms of a purchase agreement with Woford and its shareholders. Woford distributed water treatment chemicals and equipment to</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customers mainly in Mississippi. Of the $3.4 million purchase price, $2.2 million was allocated to customer relatonships, to be amortzed over 10 years,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$1.0 million was allocated to goodwill, and the remaining amount was allocated to net working capital. The goodwill recognized as a result of this acquisiton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is primarily atributable to strategic and synergistc benefts, as well as the assembled workforce. Such goodwill is expected to be deductble for tax purposes.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results of operatons since the acquisiton date and the assets are included in our Water Treatment segment. Costs associated with this transacton were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not material and were expensed as incurred.</w:t>
      </w:r>
    </w:p>
    <w:p>
      <w:pPr>
        <w:spacing w:after="0" w:line="244" w:lineRule="exact"/>
        <w:rPr>
          <w:sz w:val="20"/>
          <w:szCs w:val="20"/>
          <w:color w:val="auto"/>
        </w:rPr>
      </w:pPr>
    </w:p>
    <w:p>
      <w:pPr>
        <w:ind w:right="300"/>
        <w:spacing w:after="0" w:line="249" w:lineRule="auto"/>
        <w:rPr>
          <w:sz w:val="20"/>
          <w:szCs w:val="20"/>
          <w:color w:val="auto"/>
        </w:rPr>
      </w:pPr>
      <w:r>
        <w:rPr>
          <w:rFonts w:ascii="Calibri" w:cs="Calibri" w:eastAsia="Calibri" w:hAnsi="Calibri"/>
          <w:sz w:val="17"/>
          <w:szCs w:val="17"/>
          <w:b w:val="1"/>
          <w:bCs w:val="1"/>
          <w:i w:val="1"/>
          <w:iCs w:val="1"/>
          <w:color w:val="auto"/>
        </w:rPr>
        <w:t xml:space="preserve">Acquisiton of Intercoastal Trading, Inc.: </w:t>
      </w:r>
      <w:r>
        <w:rPr>
          <w:rFonts w:ascii="Calibri" w:cs="Calibri" w:eastAsia="Calibri" w:hAnsi="Calibri"/>
          <w:sz w:val="17"/>
          <w:szCs w:val="17"/>
          <w:color w:val="auto"/>
        </w:rPr>
        <w:t>On June 3, 2024, we acquired substantally all the assets of Intercoastal Trading, Inc. and certain related enttes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("Intercoastal") for $22.0 million under the terms of a purchase agreement with Intercoastal and its shareholders. Intercoastal distributes water treatment chemicals and equipment to its customers in Maryland, Delaware and Virginia. The $22.0 million purchase price was preliminarily allocated as follows:</w:t>
      </w:r>
    </w:p>
    <w:p>
      <w:pPr>
        <w:spacing w:after="0" w:line="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$8.5 million to customer relatonships, to be amortzed over 10 years, $9.6 million to goodwill, and the remaining amount to net working capital and property, plant and equipment. The goodwill recognized as a result of this acquisiton is primarily atributable to strategic and synergistc benefts, as well as the assembled workforce. Such goodwill is expected to be deductble for tax purposes. The purchase price allocaton is not yet complete due to the tming of the acquisiton. The results of operatons since the acquisiton date and the assets are included in our Water Treatment segment. Costs associated with this transacton were not material and were expensed as incurred.</w:t>
      </w:r>
    </w:p>
    <w:p>
      <w:pPr>
        <w:spacing w:after="0" w:line="247"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Industrial Research Corporaton: </w:t>
      </w:r>
      <w:r>
        <w:rPr>
          <w:rFonts w:ascii="Calibri" w:cs="Calibri" w:eastAsia="Calibri" w:hAnsi="Calibri"/>
          <w:sz w:val="18"/>
          <w:szCs w:val="18"/>
          <w:color w:val="auto"/>
        </w:rPr>
        <w:t>In the fourth quarter of fscal 2024, we acquired substantally all the assets of Industrial Research Corporaton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("Industrial 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operatons since the acquisiton date and the assets are included in our Water Treatment segment. Costs associated with this transacton were not material and were expensed as incurred.</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The Miami Products &amp; Chemical Company: </w:t>
      </w:r>
      <w:r>
        <w:rPr>
          <w:rFonts w:ascii="Calibri" w:cs="Calibri" w:eastAsia="Calibri" w:hAnsi="Calibri"/>
          <w:sz w:val="18"/>
          <w:szCs w:val="18"/>
          <w:color w:val="auto"/>
        </w:rPr>
        <w:t>In the third quarter of fscal 2024, we acquired substantally all the assets of The Miami Products &amp;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Chemical Company ("Miami Products") for $15.5 million under the terms of a purchase agreement with Miami Products and its shareholders. Miami Products is a bleach manufacturer and distributor serving customers primarily throughout Ohio and the surrounding region. The results of operatons since the acquisiton date and the assets are included in our Water Treatment segment.</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Solutons Unlimited, Inc.: </w:t>
      </w:r>
      <w:r>
        <w:rPr>
          <w:rFonts w:ascii="Calibri" w:cs="Calibri" w:eastAsia="Calibri" w:hAnsi="Calibri"/>
          <w:sz w:val="18"/>
          <w:szCs w:val="18"/>
          <w:color w:val="auto"/>
        </w:rPr>
        <w:t>In the third quarter of fscal 2024, we acquired substantally all the assets of Water Solutons Unlimited, Inc.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("Water Solutons") under the terms of a purchase agreement with Water Solutons and its shareholders. We paid $60 million at closing and may be obligated to pay an additonal amount based on achieving a certain earnings target three years afer the acquisiton. Water Solutons is a manufacturer and distributor of water treatment chemicals serving customers primarily throughout Indiana, Illinois and Michigan. The results of operatons since the acquisiton date and the assets are included in our Water Treatment segment.</w:t>
      </w:r>
    </w:p>
    <w:p>
      <w:pPr>
        <w:spacing w:after="0" w:line="247"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b w:val="1"/>
          <w:bCs w:val="1"/>
          <w:i w:val="1"/>
          <w:iCs w:val="1"/>
          <w:color w:val="auto"/>
        </w:rPr>
        <w:t xml:space="preserve">Acquisiton of EcoTech Enterprises, Inc.: </w:t>
      </w:r>
      <w:r>
        <w:rPr>
          <w:rFonts w:ascii="Calibri" w:cs="Calibri" w:eastAsia="Calibri" w:hAnsi="Calibri"/>
          <w:sz w:val="17"/>
          <w:szCs w:val="17"/>
          <w:color w:val="auto"/>
        </w:rPr>
        <w:t>In the second quarter of fscal 2024, we acquired substantally all the assets of EcoTech Enterprises, Inc. ("EcoTech")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for $3.4 million, under the terms of a purchase agreement with EcoTech and its shareholders. EcoTech was a water treatment chemical distributon company operatng primarily in Arkansas. The results of operatons since the acquisiton date and the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Note 3 - Revenue</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operatng segments as well as types of products sold. Reportng by operatng segment is pertnent to understanding our revenues, as it aligns to how we review the fnancial performance of our operatons. Types of products sold within each operatng segment help us to further evaluate the fnancial performance of our segments. The following tables disaggregate external customer net sales by major revenue stream for the three months ended June 30, 2024 and July 2, 2023:</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540"/>
        <w:spacing w:after="0"/>
        <w:rPr>
          <w:sz w:val="20"/>
          <w:szCs w:val="20"/>
          <w:color w:val="auto"/>
        </w:rPr>
      </w:pPr>
      <w:r>
        <w:rPr>
          <w:rFonts w:ascii="Calibri" w:cs="Calibri" w:eastAsia="Calibri" w:hAnsi="Calibri"/>
          <w:sz w:val="18"/>
          <w:szCs w:val="18"/>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105,007</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87,783</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5,683</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198,473</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29,646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29,646</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10,918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24,348</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3,412</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117,176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103,202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35,501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255,879</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Calibri" w:cs="Calibri" w:eastAsia="Calibri" w:hAnsi="Calibri"/>
          <w:sz w:val="18"/>
          <w:szCs w:val="18"/>
          <w:b w:val="1"/>
          <w:bCs w:val="1"/>
          <w:color w:val="auto"/>
        </w:rPr>
        <w:t>Three months ended July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84,785</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102,675</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10,241</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197,701</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26,154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26,154</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7,521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15,210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22,731</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4,534</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93,651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120,873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36,596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251,120</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598" w:right="339" w:bottom="1440" w:gutter="0" w:footer="0" w:header="0"/>
          <w:type w:val="continuous"/>
        </w:sectPr>
      </w:pPr>
    </w:p>
    <w:p>
      <w:pPr>
        <w:spacing w:after="0" w:line="92" w:lineRule="exact"/>
        <w:rPr>
          <w:sz w:val="20"/>
          <w:szCs w:val="20"/>
          <w:color w:val="auto"/>
        </w:rPr>
      </w:pPr>
    </w:p>
    <w:p>
      <w:pPr>
        <w:ind w:left="660" w:right="60" w:hanging="328"/>
        <w:spacing w:after="0" w:line="234"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For our Water Treatment and Industrial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9" w:lineRule="exact"/>
        <w:rPr>
          <w:rFonts w:ascii="Calibri" w:cs="Calibri" w:eastAsia="Calibri" w:hAnsi="Calibri"/>
          <w:sz w:val="16"/>
          <w:szCs w:val="16"/>
          <w:color w:val="auto"/>
        </w:rPr>
      </w:pPr>
    </w:p>
    <w:p>
      <w:pPr>
        <w:ind w:left="66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spacing w:after="0" w:line="9" w:lineRule="exact"/>
        <w:rPr>
          <w:rFonts w:ascii="Calibri" w:cs="Calibri" w:eastAsia="Calibri" w:hAnsi="Calibri"/>
          <w:sz w:val="16"/>
          <w:szCs w:val="16"/>
          <w:color w:val="auto"/>
        </w:rPr>
      </w:pPr>
    </w:p>
    <w:p>
      <w:pPr>
        <w:ind w:left="660" w:right="2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Water Treatment and Industrial segments that we do not modify in any way, but receive, store, and ship from our facilites, or direct ship to our customers in large quanttes.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 Earnings per Share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Basic earnings per share (“EPS”) is computed by dividing net earnings by the weighted-average number of common shares outstanding. Diluted EPS includes the dilutve impact of incremental shares assumed to be issued as performance units and restricted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60" w:type="dxa"/>
            <w:vAlign w:val="bottom"/>
          </w:tcPr>
          <w:p>
            <w:pPr>
              <w:spacing w:after="0"/>
              <w:rPr>
                <w:sz w:val="20"/>
                <w:szCs w:val="20"/>
                <w:color w:val="auto"/>
              </w:rPr>
            </w:pPr>
            <w:r>
              <w:rPr>
                <w:rFonts w:ascii="Calibri" w:cs="Calibri" w:eastAsia="Calibri" w:hAnsi="Calibri"/>
                <w:sz w:val="18"/>
                <w:szCs w:val="18"/>
                <w:color w:val="auto"/>
              </w:rPr>
              <w:t>Basic and diluted EPS were calculated using the following:</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6"/>
        </w:trPr>
        <w:tc>
          <w:tcPr>
            <w:tcW w:w="8260" w:type="dxa"/>
            <w:vAlign w:val="bottom"/>
          </w:tcPr>
          <w:p>
            <w:pPr>
              <w:spacing w:after="0"/>
              <w:rPr>
                <w:sz w:val="22"/>
                <w:szCs w:val="22"/>
                <w:color w:val="auto"/>
              </w:rPr>
            </w:pPr>
          </w:p>
        </w:tc>
        <w:tc>
          <w:tcPr>
            <w:tcW w:w="2980" w:type="dxa"/>
            <w:vAlign w:val="bottom"/>
            <w:gridSpan w:val="3"/>
          </w:tcPr>
          <w:p>
            <w:pPr>
              <w:jc w:val="right"/>
              <w:ind w:right="630"/>
              <w:spacing w:after="0"/>
              <w:rPr>
                <w:sz w:val="20"/>
                <w:szCs w:val="20"/>
                <w:color w:val="auto"/>
              </w:rPr>
            </w:pPr>
            <w:r>
              <w:rPr>
                <w:rFonts w:ascii="Calibri" w:cs="Calibri" w:eastAsia="Calibri" w:hAnsi="Calibri"/>
                <w:sz w:val="18"/>
                <w:szCs w:val="18"/>
                <w:b w:val="1"/>
                <w:bCs w:val="1"/>
                <w:color w:val="auto"/>
              </w:rPr>
              <w:t>Three Months Ended</w:t>
            </w:r>
          </w:p>
        </w:tc>
      </w:tr>
      <w:tr>
        <w:trPr>
          <w:trHeight w:val="30"/>
        </w:trPr>
        <w:tc>
          <w:tcPr>
            <w:tcW w:w="82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60" w:type="dxa"/>
            <w:vAlign w:val="bottom"/>
          </w:tcPr>
          <w:p>
            <w:pPr>
              <w:spacing w:after="0"/>
              <w:rPr>
                <w:sz w:val="19"/>
                <w:szCs w:val="19"/>
                <w:color w:val="auto"/>
              </w:rPr>
            </w:pPr>
          </w:p>
        </w:tc>
        <w:tc>
          <w:tcPr>
            <w:tcW w:w="1540" w:type="dxa"/>
            <w:vAlign w:val="bottom"/>
            <w:gridSpan w:val="2"/>
          </w:tcPr>
          <w:p>
            <w:pPr>
              <w:ind w:left="220"/>
              <w:spacing w:after="0" w:line="215" w:lineRule="exact"/>
              <w:rPr>
                <w:sz w:val="20"/>
                <w:szCs w:val="20"/>
                <w:color w:val="auto"/>
              </w:rPr>
            </w:pPr>
            <w:r>
              <w:rPr>
                <w:rFonts w:ascii="Calibri" w:cs="Calibri" w:eastAsia="Calibri" w:hAnsi="Calibri"/>
                <w:sz w:val="18"/>
                <w:szCs w:val="18"/>
                <w:b w:val="1"/>
                <w:bCs w:val="1"/>
                <w:color w:val="auto"/>
              </w:rPr>
              <w:t>June 30, 2024</w:t>
            </w:r>
          </w:p>
        </w:tc>
        <w:tc>
          <w:tcPr>
            <w:tcW w:w="144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July 02, 2023</w:t>
            </w:r>
          </w:p>
        </w:tc>
      </w:tr>
      <w:tr>
        <w:trPr>
          <w:trHeight w:val="230"/>
        </w:trPr>
        <w:tc>
          <w:tcPr>
            <w:tcW w:w="826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Weighted-average common shares outstanding—basic</w:t>
            </w: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20,816,479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20,907,724</w:t>
            </w:r>
          </w:p>
        </w:tc>
      </w:tr>
      <w:tr>
        <w:trPr>
          <w:trHeight w:val="223"/>
        </w:trPr>
        <w:tc>
          <w:tcPr>
            <w:tcW w:w="82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Dilutve impact of performance units and restricted stock</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97,606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105,064</w:t>
            </w: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20,914,085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21,012,788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For each of the periods presented, there were no shares excluded from the calculaton of weighted-average common shares for diluted EPS.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and liabilites are measured at fair value at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5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13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that are measured at fair value on a recurring basis are an interest rate swap and assets held in a deferred compensaton retrement plan. Both of these assets are classifed as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100" w:lineRule="exact"/>
        <w:rPr>
          <w:sz w:val="20"/>
          <w:szCs w:val="20"/>
          <w:color w:val="auto"/>
        </w:rPr>
      </w:pPr>
    </w:p>
    <w:p>
      <w:pPr>
        <w:ind w:right="2300"/>
        <w:spacing w:after="0" w:line="249" w:lineRule="auto"/>
        <w:rPr>
          <w:sz w:val="20"/>
          <w:szCs w:val="20"/>
          <w:color w:val="auto"/>
        </w:rPr>
      </w:pPr>
      <w:r>
        <w:rPr>
          <w:rFonts w:ascii="Calibri" w:cs="Calibri" w:eastAsia="Calibri" w:hAnsi="Calibri"/>
          <w:sz w:val="17"/>
          <w:szCs w:val="17"/>
          <w:color w:val="auto"/>
        </w:rPr>
        <w:t>The earnout liability recorded in conjuncton with the Water Solutons acquisiton is based upon achieving certain targets. The earnout is based on a target of adjusted earnings before interest, taxes, depreciaton and amortzaton (EBITDA) in year three of the acquisiton. The earnout liability was valued based upon a risk-neutral pricing analysis within a Monte Carlo simulaton</w:t>
      </w:r>
    </w:p>
    <w:p>
      <w:pPr>
        <w:spacing w:after="0" w:line="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framework, which is a Level 3 input. The earnout liability is adjusted to fair value at each reportng date untl setled. Changes in fair value are included in selling, general and administratve expenses in our Consolidated Statements of Income.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balances of assets and liabilites measured at fair value on a recurring basis as of June 30, 2024 and March 31, 2024.</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26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Calibri" w:cs="Calibri" w:eastAsia="Calibri" w:hAnsi="Calibri"/>
                <w:sz w:val="18"/>
                <w:szCs w:val="18"/>
                <w:b w:val="1"/>
                <w:bCs w:val="1"/>
                <w:color w:val="auto"/>
              </w:rPr>
              <w:t>June 30, 2024</w:t>
            </w:r>
          </w:p>
        </w:tc>
        <w:tc>
          <w:tcPr>
            <w:tcW w:w="260" w:type="dxa"/>
            <w:vAlign w:val="bottom"/>
          </w:tcPr>
          <w:p>
            <w:pPr>
              <w:spacing w:after="0"/>
              <w:rPr>
                <w:sz w:val="19"/>
                <w:szCs w:val="19"/>
                <w:color w:val="auto"/>
              </w:rPr>
            </w:pPr>
          </w:p>
        </w:tc>
        <w:tc>
          <w:tcPr>
            <w:tcW w:w="170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March 31, 2024</w:t>
            </w:r>
          </w:p>
        </w:tc>
      </w:tr>
      <w:tr>
        <w:trPr>
          <w:trHeight w:val="23"/>
        </w:trPr>
        <w:tc>
          <w:tcPr>
            <w:tcW w:w="4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0"/>
        </w:trPr>
        <w:tc>
          <w:tcPr>
            <w:tcW w:w="42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2"/>
        </w:trPr>
        <w:tc>
          <w:tcPr>
            <w:tcW w:w="426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compensaton plan assets</w:t>
            </w:r>
          </w:p>
        </w:tc>
        <w:tc>
          <w:tcPr>
            <w:tcW w:w="2740" w:type="dxa"/>
            <w:vAlign w:val="bottom"/>
          </w:tcPr>
          <w:p>
            <w:pPr>
              <w:ind w:left="1640"/>
              <w:spacing w:after="0" w:line="215" w:lineRule="exact"/>
              <w:rPr>
                <w:sz w:val="20"/>
                <w:szCs w:val="20"/>
                <w:color w:val="auto"/>
              </w:rPr>
            </w:pPr>
            <w:r>
              <w:rPr>
                <w:rFonts w:ascii="Calibri" w:cs="Calibri" w:eastAsia="Calibri" w:hAnsi="Calibri"/>
                <w:sz w:val="18"/>
                <w:szCs w:val="18"/>
                <w:color w:val="auto"/>
              </w:rPr>
              <w:t>Level 1</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11,765</w:t>
            </w:r>
          </w:p>
        </w:tc>
        <w:tc>
          <w:tcPr>
            <w:tcW w:w="10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700" w:type="dxa"/>
            <w:vAlign w:val="bottom"/>
          </w:tcPr>
          <w:p>
            <w:pPr>
              <w:jc w:val="right"/>
              <w:spacing w:after="0" w:line="215" w:lineRule="exact"/>
              <w:rPr>
                <w:sz w:val="20"/>
                <w:szCs w:val="20"/>
                <w:color w:val="auto"/>
              </w:rPr>
            </w:pPr>
            <w:r>
              <w:rPr>
                <w:rFonts w:ascii="Calibri" w:cs="Calibri" w:eastAsia="Calibri" w:hAnsi="Calibri"/>
                <w:sz w:val="18"/>
                <w:szCs w:val="18"/>
                <w:color w:val="auto"/>
              </w:rPr>
              <w:t>10,042</w:t>
            </w:r>
          </w:p>
        </w:tc>
      </w:tr>
      <w:tr>
        <w:trPr>
          <w:trHeight w:val="237"/>
        </w:trPr>
        <w:tc>
          <w:tcPr>
            <w:tcW w:w="42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Interest rate swap</w:t>
            </w:r>
          </w:p>
        </w:tc>
        <w:tc>
          <w:tcPr>
            <w:tcW w:w="2740" w:type="dxa"/>
            <w:vAlign w:val="bottom"/>
            <w:shd w:val="clear" w:color="auto" w:fill="CCEEFF"/>
          </w:tcPr>
          <w:p>
            <w:pPr>
              <w:ind w:left="1640"/>
              <w:spacing w:after="0"/>
              <w:rPr>
                <w:sz w:val="20"/>
                <w:szCs w:val="20"/>
                <w:color w:val="auto"/>
              </w:rPr>
            </w:pPr>
            <w:r>
              <w:rPr>
                <w:rFonts w:ascii="Calibri" w:cs="Calibri" w:eastAsia="Calibri" w:hAnsi="Calibri"/>
                <w:sz w:val="18"/>
                <w:szCs w:val="18"/>
                <w:color w:val="auto"/>
              </w:rPr>
              <w:t>Level 2</w:t>
            </w: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17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4,268</w:t>
            </w:r>
          </w:p>
        </w:tc>
      </w:tr>
      <w:tr>
        <w:trPr>
          <w:trHeight w:val="222"/>
        </w:trPr>
        <w:tc>
          <w:tcPr>
            <w:tcW w:w="42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7"/>
        </w:trPr>
        <w:tc>
          <w:tcPr>
            <w:tcW w:w="42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Earnout liability</w:t>
            </w:r>
          </w:p>
        </w:tc>
        <w:tc>
          <w:tcPr>
            <w:tcW w:w="2740" w:type="dxa"/>
            <w:vAlign w:val="bottom"/>
            <w:shd w:val="clear" w:color="auto" w:fill="CCEEFF"/>
          </w:tcPr>
          <w:p>
            <w:pPr>
              <w:ind w:left="1640"/>
              <w:spacing w:after="0"/>
              <w:rPr>
                <w:sz w:val="20"/>
                <w:szCs w:val="20"/>
                <w:color w:val="auto"/>
              </w:rPr>
            </w:pPr>
            <w:r>
              <w:rPr>
                <w:rFonts w:ascii="Calibri" w:cs="Calibri" w:eastAsia="Calibri" w:hAnsi="Calibri"/>
                <w:sz w:val="18"/>
                <w:szCs w:val="18"/>
                <w:color w:val="auto"/>
              </w:rPr>
              <w:t>Level 3</w:t>
            </w: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11,577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17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11,235</w:t>
            </w:r>
          </w:p>
        </w:tc>
      </w:tr>
    </w:tbl>
    <w:p>
      <w:pPr>
        <w:spacing w:after="0" w:line="256"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Changes in the earnout liability measured at fair value using Level 3 inputs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69951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Calibri" w:cs="Calibri" w:eastAsia="Calibri" w:hAnsi="Calibri"/>
                <w:sz w:val="18"/>
                <w:szCs w:val="18"/>
                <w:b w:val="1"/>
                <w:bCs w:val="1"/>
                <w:color w:val="auto"/>
              </w:rPr>
              <w:t>(In thousands)</w:t>
            </w:r>
          </w:p>
        </w:tc>
        <w:tc>
          <w:tcPr>
            <w:tcW w:w="4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CEEFF"/>
          </w:tcPr>
          <w:p>
            <w:pPr>
              <w:ind w:left="120"/>
              <w:spacing w:after="0" w:line="215" w:lineRule="exact"/>
              <w:rPr>
                <w:sz w:val="20"/>
                <w:szCs w:val="20"/>
                <w:color w:val="auto"/>
              </w:rPr>
            </w:pPr>
            <w:r>
              <w:rPr>
                <w:rFonts w:ascii="Calibri" w:cs="Calibri" w:eastAsia="Calibri" w:hAnsi="Calibri"/>
                <w:sz w:val="18"/>
                <w:szCs w:val="18"/>
                <w:color w:val="auto"/>
              </w:rPr>
              <w:t>Earnout liability at March 31, 2024</w:t>
            </w:r>
          </w:p>
        </w:tc>
        <w:tc>
          <w:tcPr>
            <w:tcW w:w="5740" w:type="dxa"/>
            <w:vAlign w:val="bottom"/>
            <w:gridSpan w:val="2"/>
            <w:shd w:val="clear" w:color="auto" w:fill="CCEEFF"/>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 for acquisiton</w:t>
            </w:r>
          </w:p>
        </w:tc>
        <w:tc>
          <w:tcPr>
            <w:tcW w:w="5740" w:type="dxa"/>
            <w:vAlign w:val="bottom"/>
            <w:gridSpan w:val="2"/>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Fair value adjustments</w:t>
            </w:r>
          </w:p>
        </w:tc>
        <w:tc>
          <w:tcPr>
            <w:tcW w:w="5740" w:type="dxa"/>
            <w:vAlign w:val="bottom"/>
            <w:gridSpan w:val="2"/>
            <w:shd w:val="clear" w:color="auto" w:fill="CCEEFF"/>
          </w:tcPr>
          <w:p>
            <w:pPr>
              <w:jc w:val="right"/>
              <w:ind w:right="570"/>
              <w:spacing w:after="0"/>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Calibri" w:cs="Calibri" w:eastAsia="Calibri" w:hAnsi="Calibri"/>
                <w:sz w:val="18"/>
                <w:szCs w:val="18"/>
                <w:color w:val="auto"/>
              </w:rPr>
              <w:t>Earnout liability at June 30, 2024</w:t>
            </w:r>
          </w:p>
        </w:tc>
        <w:tc>
          <w:tcPr>
            <w:tcW w:w="49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980" w:type="dxa"/>
            <w:vAlign w:val="bottom"/>
            <w:vMerge w:val="restart"/>
          </w:tcPr>
          <w:p>
            <w:pPr>
              <w:jc w:val="right"/>
              <w:ind w:right="3310"/>
              <w:spacing w:after="0"/>
              <w:rPr>
                <w:sz w:val="20"/>
                <w:szCs w:val="20"/>
                <w:color w:val="auto"/>
              </w:rPr>
            </w:pPr>
            <w:r>
              <w:rPr>
                <w:rFonts w:ascii="Calibri" w:cs="Calibri" w:eastAsia="Calibri" w:hAnsi="Calibri"/>
                <w:sz w:val="18"/>
                <w:szCs w:val="18"/>
                <w:color w:val="auto"/>
              </w:rPr>
              <w:t>9</w:t>
            </w: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9A9A9A"/>
            </w:tcBorders>
          </w:tcPr>
          <w:p>
            <w:pPr>
              <w:spacing w:after="0"/>
              <w:rPr>
                <w:sz w:val="12"/>
                <w:szCs w:val="12"/>
                <w:color w:val="auto"/>
              </w:rPr>
            </w:pPr>
          </w:p>
        </w:tc>
        <w:tc>
          <w:tcPr>
            <w:tcW w:w="4080" w:type="dxa"/>
            <w:vAlign w:val="bottom"/>
            <w:tcBorders>
              <w:bottom w:val="single" w:sz="8" w:color="9A9A9A"/>
            </w:tcBorders>
          </w:tcPr>
          <w:p>
            <w:pPr>
              <w:spacing w:after="0"/>
              <w:rPr>
                <w:sz w:val="12"/>
                <w:szCs w:val="12"/>
                <w:color w:val="auto"/>
              </w:rPr>
            </w:pPr>
          </w:p>
        </w:tc>
        <w:tc>
          <w:tcPr>
            <w:tcW w:w="49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7860" w:type="dxa"/>
            <w:vAlign w:val="bottom"/>
          </w:tcPr>
          <w:p>
            <w:pPr>
              <w:spacing w:after="0"/>
              <w:rPr>
                <w:sz w:val="20"/>
                <w:szCs w:val="20"/>
                <w:color w:val="auto"/>
              </w:rPr>
            </w:pPr>
            <w:r>
              <w:rPr>
                <w:rFonts w:ascii="Calibri" w:cs="Calibri" w:eastAsia="Calibri" w:hAnsi="Calibri"/>
                <w:sz w:val="18"/>
                <w:szCs w:val="18"/>
                <w:b w:val="1"/>
                <w:bCs w:val="1"/>
                <w:color w:val="auto"/>
              </w:rPr>
              <w:t>Note 6 – Inventories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24"/>
        </w:trPr>
        <w:tc>
          <w:tcPr>
            <w:tcW w:w="7860" w:type="dxa"/>
            <w:vAlign w:val="bottom"/>
          </w:tcPr>
          <w:p>
            <w:pPr>
              <w:spacing w:after="0"/>
              <w:rPr>
                <w:sz w:val="20"/>
                <w:szCs w:val="20"/>
                <w:color w:val="auto"/>
              </w:rPr>
            </w:pPr>
            <w:r>
              <w:rPr>
                <w:rFonts w:ascii="Calibri" w:cs="Calibri" w:eastAsia="Calibri" w:hAnsi="Calibri"/>
                <w:sz w:val="18"/>
                <w:szCs w:val="18"/>
                <w:color w:val="auto"/>
              </w:rPr>
              <w:t>Inventories at June 30, 2024 and March 31, 2024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9"/>
        </w:trPr>
        <w:tc>
          <w:tcPr>
            <w:tcW w:w="7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Calibri" w:cs="Calibri" w:eastAsia="Calibri" w:hAnsi="Calibri"/>
                <w:sz w:val="18"/>
                <w:szCs w:val="18"/>
                <w:b w:val="1"/>
                <w:bCs w:val="1"/>
                <w:color w:val="auto"/>
              </w:rPr>
              <w:t>June 30,</w:t>
            </w: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Calibri" w:cs="Calibri" w:eastAsia="Calibri" w:hAnsi="Calibri"/>
                <w:sz w:val="18"/>
                <w:szCs w:val="18"/>
                <w:b w:val="1"/>
                <w:bCs w:val="1"/>
                <w:color w:val="auto"/>
                <w:w w:val="95"/>
              </w:rPr>
              <w:t>March 31,</w:t>
            </w:r>
          </w:p>
        </w:tc>
      </w:tr>
      <w:tr>
        <w:trPr>
          <w:trHeight w:val="215"/>
        </w:trPr>
        <w:tc>
          <w:tcPr>
            <w:tcW w:w="786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jc w:val="right"/>
              <w:ind w:right="53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10"/>
              <w:spacing w:after="0" w:line="215" w:lineRule="exact"/>
              <w:rPr>
                <w:sz w:val="20"/>
                <w:szCs w:val="20"/>
                <w:color w:val="auto"/>
              </w:rPr>
            </w:pPr>
            <w:r>
              <w:rPr>
                <w:rFonts w:ascii="Calibri" w:cs="Calibri" w:eastAsia="Calibri" w:hAnsi="Calibri"/>
                <w:sz w:val="18"/>
                <w:szCs w:val="18"/>
                <w:b w:val="1"/>
                <w:bCs w:val="1"/>
                <w:color w:val="auto"/>
              </w:rPr>
              <w:t>2024</w:t>
            </w:r>
          </w:p>
        </w:tc>
      </w:tr>
      <w:tr>
        <w:trPr>
          <w:trHeight w:val="37"/>
        </w:trPr>
        <w:tc>
          <w:tcPr>
            <w:tcW w:w="78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3"/>
        </w:trPr>
        <w:tc>
          <w:tcPr>
            <w:tcW w:w="78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Inventory (FIFO basis)</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99,058</w:t>
            </w:r>
          </w:p>
        </w:tc>
      </w:tr>
      <w:tr>
        <w:trPr>
          <w:trHeight w:val="223"/>
        </w:trPr>
        <w:tc>
          <w:tcPr>
            <w:tcW w:w="78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LIFO reserve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70"/>
              <w:spacing w:after="0" w:line="215" w:lineRule="exact"/>
              <w:rPr>
                <w:sz w:val="20"/>
                <w:szCs w:val="20"/>
                <w:color w:val="auto"/>
              </w:rPr>
            </w:pPr>
            <w:r>
              <w:rPr>
                <w:rFonts w:ascii="Calibri" w:cs="Calibri" w:eastAsia="Calibri" w:hAnsi="Calibri"/>
                <w:sz w:val="18"/>
                <w:szCs w:val="18"/>
                <w:color w:val="auto"/>
                <w:w w:val="98"/>
              </w:rPr>
              <w:t>(24,458)</w:t>
            </w:r>
          </w:p>
        </w:tc>
      </w:tr>
      <w:tr>
        <w:trPr>
          <w:trHeight w:val="248"/>
        </w:trPr>
        <w:tc>
          <w:tcPr>
            <w:tcW w:w="786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inventory</w:t>
            </w: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74,600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780"/>
        <w:spacing w:after="0" w:line="235" w:lineRule="auto"/>
        <w:rPr>
          <w:sz w:val="20"/>
          <w:szCs w:val="20"/>
          <w:color w:val="auto"/>
        </w:rPr>
      </w:pPr>
      <w:r>
        <w:rPr>
          <w:rFonts w:ascii="Calibri" w:cs="Calibri" w:eastAsia="Calibri" w:hAnsi="Calibri"/>
          <w:sz w:val="18"/>
          <w:szCs w:val="18"/>
          <w:color w:val="auto"/>
        </w:rPr>
        <w:t>The frst in, frst out (“FIFO”) value of inventories accounted for under the last in, frst out (“LIFO”) method was $79.5 million at June 30, 2024 and $76.2 million at March 31, 2024. The remainder of the inventory was valued and accounted for under the FIFO method.</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 Goodwill and Intangible Assets</w:t>
      </w:r>
    </w:p>
    <w:p>
      <w:pPr>
        <w:spacing w:after="0" w:line="10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carrying amount of goodwill was $114.0 million as of June 30, 2024 and $103.4 million as of March 31, 2024, of which $62.6 million was related to our Water Treatment segment, $44.9 million was related to our Health and Nutriton segment, and $6.5 million was related to our Industrial segment. The increase in goodwill during the three months ended June 30, 2024 represents goodwill recorded in connecton with the acquisitons of the assets of Intercoastal and Woford as discussed in Note 2.</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summary of our identfable intangible assets as of June 30, 2024 and March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June 30, 2024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70"/>
              <w:spacing w:after="0"/>
              <w:rPr>
                <w:sz w:val="20"/>
                <w:szCs w:val="20"/>
                <w:color w:val="auto"/>
              </w:rPr>
            </w:pPr>
            <w:r>
              <w:rPr>
                <w:rFonts w:ascii="Calibri" w:cs="Calibri" w:eastAsia="Calibri" w:hAnsi="Calibri"/>
                <w:sz w:val="14"/>
                <w:szCs w:val="14"/>
                <w:b w:val="1"/>
                <w:bCs w:val="1"/>
                <w:color w:val="auto"/>
              </w:rPr>
              <w:t>March 31, 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7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7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80" w:type="dxa"/>
            <w:vAlign w:val="bottom"/>
          </w:tcPr>
          <w:p>
            <w:pPr>
              <w:spacing w:after="0"/>
              <w:rPr>
                <w:sz w:val="10"/>
                <w:szCs w:val="10"/>
                <w:color w:val="auto"/>
              </w:rPr>
            </w:pPr>
          </w:p>
        </w:tc>
        <w:tc>
          <w:tcPr>
            <w:tcW w:w="920" w:type="dxa"/>
            <w:vAlign w:val="bottom"/>
            <w:gridSpan w:val="2"/>
          </w:tcPr>
          <w:p>
            <w:pPr>
              <w:jc w:val="center"/>
              <w:ind w:right="300"/>
              <w:spacing w:after="0" w:line="115" w:lineRule="exact"/>
              <w:rPr>
                <w:sz w:val="20"/>
                <w:szCs w:val="20"/>
                <w:color w:val="auto"/>
              </w:rPr>
            </w:pPr>
            <w:r>
              <w:rPr>
                <w:rFonts w:ascii="Calibri" w:cs="Calibri" w:eastAsia="Calibri" w:hAnsi="Calibri"/>
                <w:sz w:val="12"/>
                <w:szCs w:val="12"/>
                <w:b w:val="1"/>
                <w:bCs w:val="1"/>
                <w:color w:val="auto"/>
              </w:rPr>
              <w:t>Gross</w:t>
            </w:r>
          </w:p>
        </w:tc>
        <w:tc>
          <w:tcPr>
            <w:tcW w:w="180" w:type="dxa"/>
            <w:vAlign w:val="bottom"/>
          </w:tcPr>
          <w:p>
            <w:pPr>
              <w:spacing w:after="0"/>
              <w:rPr>
                <w:sz w:val="10"/>
                <w:szCs w:val="10"/>
                <w:color w:val="auto"/>
              </w:rPr>
            </w:pPr>
          </w:p>
        </w:tc>
        <w:tc>
          <w:tcPr>
            <w:tcW w:w="1180" w:type="dxa"/>
            <w:vAlign w:val="bottom"/>
            <w:gridSpan w:val="2"/>
          </w:tcPr>
          <w:p>
            <w:pPr>
              <w:ind w:left="60"/>
              <w:spacing w:after="0" w:line="115" w:lineRule="exact"/>
              <w:rPr>
                <w:sz w:val="20"/>
                <w:szCs w:val="20"/>
                <w:color w:val="auto"/>
              </w:rPr>
            </w:pPr>
            <w:r>
              <w:rPr>
                <w:rFonts w:ascii="Calibri" w:cs="Calibri" w:eastAsia="Calibri" w:hAnsi="Calibri"/>
                <w:sz w:val="12"/>
                <w:szCs w:val="12"/>
                <w:b w:val="1"/>
                <w:bCs w:val="1"/>
                <w:color w:val="auto"/>
              </w:rPr>
              <w:t>Accumulated</w:t>
            </w:r>
          </w:p>
        </w:tc>
        <w:tc>
          <w:tcPr>
            <w:tcW w:w="24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Net</w:t>
            </w:r>
          </w:p>
        </w:tc>
        <w:tc>
          <w:tcPr>
            <w:tcW w:w="180" w:type="dxa"/>
            <w:vAlign w:val="bottom"/>
          </w:tcPr>
          <w:p>
            <w:pPr>
              <w:spacing w:after="0"/>
              <w:rPr>
                <w:sz w:val="10"/>
                <w:szCs w:val="10"/>
                <w:color w:val="auto"/>
              </w:rPr>
            </w:pPr>
          </w:p>
        </w:tc>
        <w:tc>
          <w:tcPr>
            <w:tcW w:w="820" w:type="dxa"/>
            <w:vAlign w:val="bottom"/>
            <w:gridSpan w:val="2"/>
          </w:tcPr>
          <w:p>
            <w:pPr>
              <w:jc w:val="right"/>
              <w:ind w:right="250"/>
              <w:spacing w:after="0" w:line="115" w:lineRule="exact"/>
              <w:rPr>
                <w:sz w:val="20"/>
                <w:szCs w:val="20"/>
                <w:color w:val="auto"/>
              </w:rPr>
            </w:pPr>
            <w:r>
              <w:rPr>
                <w:rFonts w:ascii="Calibri" w:cs="Calibri" w:eastAsia="Calibri" w:hAnsi="Calibri"/>
                <w:sz w:val="12"/>
                <w:szCs w:val="12"/>
                <w:b w:val="1"/>
                <w:bCs w:val="1"/>
                <w:color w:val="auto"/>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left="15"/>
              <w:spacing w:after="0" w:line="115" w:lineRule="exact"/>
              <w:rPr>
                <w:sz w:val="20"/>
                <w:szCs w:val="20"/>
                <w:color w:val="auto"/>
              </w:rPr>
            </w:pPr>
            <w:r>
              <w:rPr>
                <w:rFonts w:ascii="Calibri" w:cs="Calibri" w:eastAsia="Calibri" w:hAnsi="Calibri"/>
                <w:sz w:val="12"/>
                <w:szCs w:val="12"/>
                <w:b w:val="1"/>
                <w:bCs w:val="1"/>
                <w:color w:val="auto"/>
              </w:rPr>
              <w:t>Accumulated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500"/>
              <w:spacing w:after="0"/>
              <w:rPr>
                <w:sz w:val="20"/>
                <w:szCs w:val="20"/>
                <w:color w:val="auto"/>
              </w:rPr>
            </w:pPr>
            <w:r>
              <w:rPr>
                <w:rFonts w:ascii="Calibri" w:cs="Calibri" w:eastAsia="Calibri" w:hAnsi="Calibri"/>
                <w:sz w:val="14"/>
                <w:szCs w:val="14"/>
                <w:b w:val="1"/>
                <w:bCs w:val="1"/>
                <w:color w:val="auto"/>
              </w:rPr>
              <w:t>Net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Amount</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Amortzaton</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Calibri" w:cs="Calibri" w:eastAsia="Calibri" w:hAnsi="Calibri"/>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left="15"/>
              <w:spacing w:after="0"/>
              <w:rPr>
                <w:sz w:val="20"/>
                <w:szCs w:val="20"/>
                <w:color w:val="auto"/>
              </w:rPr>
            </w:pPr>
            <w:r>
              <w:rPr>
                <w:rFonts w:ascii="Calibri" w:cs="Calibri" w:eastAsia="Calibri" w:hAnsi="Calibri"/>
                <w:sz w:val="14"/>
                <w:szCs w:val="14"/>
                <w:b w:val="1"/>
                <w:bCs w:val="1"/>
                <w:color w:val="auto"/>
              </w:rPr>
              <w:t>Amortzaton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7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line="215" w:lineRule="exact"/>
              <w:rPr>
                <w:sz w:val="20"/>
                <w:szCs w:val="20"/>
                <w:color w:val="auto"/>
              </w:rPr>
            </w:pPr>
            <w:r>
              <w:rPr>
                <w:rFonts w:ascii="Calibri" w:cs="Calibri" w:eastAsia="Calibri" w:hAnsi="Calibri"/>
                <w:sz w:val="18"/>
                <w:szCs w:val="18"/>
                <w:color w:val="auto"/>
              </w:rPr>
              <w:t>Customer relatonships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164,394</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(48,625)</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115,769</w:t>
            </w:r>
          </w:p>
        </w:tc>
        <w:tc>
          <w:tcPr>
            <w:tcW w:w="2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153,694</w:t>
            </w:r>
          </w:p>
        </w:tc>
        <w:tc>
          <w:tcPr>
            <w:tcW w:w="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(46,146)</w:t>
            </w:r>
          </w:p>
        </w:tc>
        <w:tc>
          <w:tcPr>
            <w:tcW w:w="2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107,548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Trademarks and trade names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7,322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13,570</w:t>
            </w:r>
          </w:p>
        </w:tc>
        <w:tc>
          <w:tcPr>
            <w:tcW w:w="28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Calibri" w:cs="Calibri" w:eastAsia="Calibri" w:hAnsi="Calibri"/>
                <w:sz w:val="18"/>
                <w:szCs w:val="18"/>
                <w:color w:val="auto"/>
              </w:rPr>
              <w:t>(5,968)</w:t>
            </w:r>
          </w:p>
        </w:tc>
        <w:tc>
          <w:tcPr>
            <w:tcW w:w="260" w:type="dxa"/>
            <w:vAlign w:val="bottom"/>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4,221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line="215" w:lineRule="exact"/>
              <w:rPr>
                <w:sz w:val="20"/>
                <w:szCs w:val="20"/>
                <w:color w:val="auto"/>
              </w:rPr>
            </w:pPr>
            <w:r>
              <w:rPr>
                <w:rFonts w:ascii="Calibri" w:cs="Calibri" w:eastAsia="Calibri" w:hAnsi="Calibri"/>
                <w:sz w:val="18"/>
                <w:szCs w:val="18"/>
                <w:color w:val="auto"/>
              </w:rPr>
              <w:t>(3,972)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fnite-life intangible assets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123,336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124,563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116,626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color w:val="auto"/>
              </w:rPr>
              <w:t>Note 8 –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3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5"/>
          </w:tcPr>
          <w:p>
            <w:pPr>
              <w:spacing w:after="0"/>
              <w:rPr>
                <w:sz w:val="20"/>
                <w:szCs w:val="20"/>
                <w:color w:val="auto"/>
              </w:rPr>
            </w:pPr>
            <w:r>
              <w:rPr>
                <w:rFonts w:ascii="Calibri" w:cs="Calibri" w:eastAsia="Calibri" w:hAnsi="Calibri"/>
                <w:sz w:val="18"/>
                <w:szCs w:val="18"/>
                <w:color w:val="auto"/>
                <w:w w:val="97"/>
              </w:rPr>
              <w:t>Debt at June 30, 2024 and March 31, 2024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460"/>
              <w:spacing w:after="0"/>
              <w:rPr>
                <w:sz w:val="20"/>
                <w:szCs w:val="20"/>
                <w:color w:val="auto"/>
              </w:rPr>
            </w:pPr>
            <w:r>
              <w:rPr>
                <w:rFonts w:ascii="Calibri" w:cs="Calibri" w:eastAsia="Calibri" w:hAnsi="Calibri"/>
                <w:sz w:val="18"/>
                <w:szCs w:val="18"/>
                <w:b w:val="1"/>
                <w:bCs w:val="1"/>
                <w:color w:val="auto"/>
              </w:rPr>
              <w:t>June 30,</w:t>
            </w:r>
          </w:p>
        </w:tc>
        <w:tc>
          <w:tcPr>
            <w:tcW w:w="280" w:type="dxa"/>
            <w:vAlign w:val="bottom"/>
          </w:tcPr>
          <w:p>
            <w:pPr>
              <w:spacing w:after="0"/>
              <w:rPr>
                <w:sz w:val="24"/>
                <w:szCs w:val="24"/>
                <w:color w:val="auto"/>
              </w:rPr>
            </w:pPr>
          </w:p>
        </w:tc>
        <w:tc>
          <w:tcPr>
            <w:tcW w:w="1220" w:type="dxa"/>
            <w:vAlign w:val="bottom"/>
            <w:gridSpan w:val="4"/>
          </w:tcPr>
          <w:p>
            <w:pPr>
              <w:ind w:left="100"/>
              <w:spacing w:after="0"/>
              <w:rPr>
                <w:sz w:val="20"/>
                <w:szCs w:val="20"/>
                <w:color w:val="auto"/>
              </w:rPr>
            </w:pPr>
            <w:r>
              <w:rPr>
                <w:rFonts w:ascii="Calibri" w:cs="Calibri" w:eastAsia="Calibri" w:hAnsi="Calibri"/>
                <w:sz w:val="18"/>
                <w:szCs w:val="18"/>
                <w:b w:val="1"/>
                <w:bCs w:val="1"/>
                <w:color w:val="auto"/>
              </w:rPr>
              <w:t>March 31,</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3"/>
          </w:tcPr>
          <w:p>
            <w:pPr>
              <w:jc w:val="right"/>
              <w:ind w:right="495"/>
              <w:spacing w:after="0" w:line="215" w:lineRule="exact"/>
              <w:rPr>
                <w:sz w:val="20"/>
                <w:szCs w:val="20"/>
                <w:color w:val="auto"/>
              </w:rPr>
            </w:pPr>
            <w:r>
              <w:rPr>
                <w:rFonts w:ascii="Calibri" w:cs="Calibri" w:eastAsia="Calibri" w:hAnsi="Calibri"/>
                <w:sz w:val="18"/>
                <w:szCs w:val="18"/>
                <w:b w:val="1"/>
                <w:bCs w:val="1"/>
                <w:color w:val="auto"/>
              </w:rPr>
              <w:t>2024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1"/>
              <w:spacing w:after="0" w:line="215" w:lineRule="exact"/>
              <w:rPr>
                <w:sz w:val="20"/>
                <w:szCs w:val="20"/>
                <w:color w:val="auto"/>
              </w:rPr>
            </w:pPr>
            <w:r>
              <w:rPr>
                <w:rFonts w:ascii="Calibri" w:cs="Calibri" w:eastAsia="Calibri" w:hAnsi="Calibri"/>
                <w:sz w:val="18"/>
                <w:szCs w:val="18"/>
                <w:b w:val="1"/>
                <w:bCs w:val="1"/>
                <w:color w:val="auto"/>
                <w:w w:val="98"/>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0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Senior secured revolving loan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134,000</w:t>
            </w:r>
          </w:p>
        </w:tc>
        <w:tc>
          <w:tcPr>
            <w:tcW w:w="18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99,000</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unamortzed debt issuance costs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(247)</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(269)</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133,753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98,731</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current porton of long-term debt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Calibri" w:cs="Calibri" w:eastAsia="Calibri" w:hAnsi="Calibri"/>
                <w:sz w:val="18"/>
                <w:szCs w:val="18"/>
                <w:color w:val="auto"/>
              </w:rPr>
              <w:t>(9,913)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Calibri" w:cs="Calibri" w:eastAsia="Calibri" w:hAnsi="Calibri"/>
                <w:sz w:val="18"/>
                <w:szCs w:val="18"/>
                <w:color w:val="auto"/>
              </w:rPr>
              <w:t>Total long-term debt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123,840</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88,818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We were in compliance with all covenants of our credit agreement as of June 30, 2024.</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Income Taxes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28, 2021 are closed to examinaton by the Internal Revenue Service, and with few exceptons, state and local income tax jurisdictons. Our efectve income tax rate was 25% for the three months ended June 30, 2024, compared to 26% for the three months ended July 2, 2023. The efectve tax rate is impacted by projected levels of annual taxable income, permanent items, and state taxes.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Note 10 – Share-Based Compensaton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Performance-Based Restricted Stock Units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Our Board of Directors (the “Board”) approved a performance-based equity compensaton arrangement for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executve ofcers during the frst quarters of each of fscal 2025 and fscal 2024. These performance-based arrangements provide for the grant of performance-based restricted stock units that represent a possible future issuance of restricted shares of our common stock based on a pre-tax income target for the applicable fscal year. The actual number of restricted shares to be issued to each executve ofcer is determined when our fnal fnancial informaton becomes available afer the applicable fscal year and will be between zero shares and 76,137 shares in the aggregate for fscal 2025. The restricted shares issued, if any, will fully vest approximately two years afer the last day of the fscal year on which the performance is based. We are recording the compensaton expense for the outstanding performance share units and the converted restricted stock over the life of the awards.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the three months ended June 30,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34"/>
              <w:spacing w:after="0"/>
              <w:rPr>
                <w:sz w:val="20"/>
                <w:szCs w:val="20"/>
                <w:color w:val="auto"/>
              </w:rPr>
            </w:pPr>
            <w:r>
              <w:rPr>
                <w:rFonts w:ascii="Calibri" w:cs="Calibri" w:eastAsia="Calibri" w:hAnsi="Calibri"/>
                <w:sz w:val="16"/>
                <w:szCs w:val="16"/>
                <w:b w:val="1"/>
                <w:bCs w:val="1"/>
                <w:color w:val="auto"/>
              </w:rPr>
              <w:t>Weighted-</w:t>
            </w:r>
          </w:p>
        </w:tc>
      </w:tr>
      <w:tr>
        <w:trPr>
          <w:trHeight w:val="162"/>
        </w:trPr>
        <w:tc>
          <w:tcPr>
            <w:tcW w:w="7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14"/>
              <w:spacing w:after="0" w:line="162" w:lineRule="exact"/>
              <w:rPr>
                <w:sz w:val="20"/>
                <w:szCs w:val="20"/>
                <w:color w:val="auto"/>
              </w:rPr>
            </w:pPr>
            <w:r>
              <w:rPr>
                <w:rFonts w:ascii="Calibri" w:cs="Calibri" w:eastAsia="Calibri" w:hAnsi="Calibri"/>
                <w:sz w:val="16"/>
                <w:szCs w:val="16"/>
                <w:b w:val="1"/>
                <w:bCs w:val="1"/>
                <w:color w:val="auto"/>
                <w:w w:val="99"/>
              </w:rPr>
              <w:t>Average Grant</w:t>
            </w:r>
          </w:p>
        </w:tc>
      </w:tr>
      <w:tr>
        <w:trPr>
          <w:trHeight w:val="193"/>
        </w:trPr>
        <w:tc>
          <w:tcPr>
            <w:tcW w:w="7880" w:type="dxa"/>
            <w:vAlign w:val="bottom"/>
          </w:tcPr>
          <w:p>
            <w:pPr>
              <w:spacing w:after="0"/>
              <w:rPr>
                <w:sz w:val="16"/>
                <w:szCs w:val="16"/>
                <w:color w:val="auto"/>
              </w:rPr>
            </w:pPr>
          </w:p>
        </w:tc>
        <w:tc>
          <w:tcPr>
            <w:tcW w:w="1420" w:type="dxa"/>
            <w:vAlign w:val="bottom"/>
            <w:gridSpan w:val="2"/>
          </w:tcPr>
          <w:p>
            <w:pPr>
              <w:ind w:left="440"/>
              <w:spacing w:after="0" w:line="193" w:lineRule="exact"/>
              <w:rPr>
                <w:sz w:val="20"/>
                <w:szCs w:val="20"/>
                <w:color w:val="auto"/>
              </w:rPr>
            </w:pPr>
            <w:r>
              <w:rPr>
                <w:rFonts w:ascii="Calibri" w:cs="Calibri" w:eastAsia="Calibri" w:hAnsi="Calibri"/>
                <w:sz w:val="16"/>
                <w:szCs w:val="16"/>
                <w:b w:val="1"/>
                <w:bCs w:val="1"/>
                <w:color w:val="auto"/>
              </w:rPr>
              <w:t>Shares</w:t>
            </w:r>
          </w:p>
        </w:tc>
        <w:tc>
          <w:tcPr>
            <w:tcW w:w="220" w:type="dxa"/>
            <w:vAlign w:val="bottom"/>
          </w:tcPr>
          <w:p>
            <w:pPr>
              <w:spacing w:after="0"/>
              <w:rPr>
                <w:sz w:val="16"/>
                <w:szCs w:val="16"/>
                <w:color w:val="auto"/>
              </w:rPr>
            </w:pPr>
          </w:p>
        </w:tc>
        <w:tc>
          <w:tcPr>
            <w:tcW w:w="1440" w:type="dxa"/>
            <w:vAlign w:val="bottom"/>
          </w:tcPr>
          <w:p>
            <w:pPr>
              <w:jc w:val="center"/>
              <w:ind w:right="134"/>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28"/>
        </w:trPr>
        <w:tc>
          <w:tcPr>
            <w:tcW w:w="78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Unvested at beginning of period</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40.33</w:t>
            </w:r>
          </w:p>
        </w:tc>
      </w:tr>
      <w:tr>
        <w:trPr>
          <w:trHeight w:val="222"/>
        </w:trPr>
        <w:tc>
          <w:tcPr>
            <w:tcW w:w="78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75,428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76.60</w:t>
            </w:r>
          </w:p>
        </w:tc>
      </w:tr>
      <w:tr>
        <w:trPr>
          <w:trHeight w:val="237"/>
        </w:trPr>
        <w:tc>
          <w:tcPr>
            <w:tcW w:w="78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(83,658)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38.31</w:t>
            </w:r>
          </w:p>
        </w:tc>
      </w:tr>
      <w:tr>
        <w:trPr>
          <w:trHeight w:val="217"/>
        </w:trPr>
        <w:tc>
          <w:tcPr>
            <w:tcW w:w="7880" w:type="dxa"/>
            <w:vAlign w:val="bottom"/>
          </w:tcPr>
          <w:p>
            <w:pPr>
              <w:ind w:left="20"/>
              <w:spacing w:after="0" w:line="195" w:lineRule="exact"/>
              <w:rPr>
                <w:sz w:val="20"/>
                <w:szCs w:val="20"/>
                <w:color w:val="auto"/>
              </w:rPr>
            </w:pPr>
            <w:r>
              <w:rPr>
                <w:rFonts w:ascii="Calibri" w:cs="Calibri" w:eastAsia="Calibri" w:hAnsi="Calibri"/>
                <w:sz w:val="18"/>
                <w:szCs w:val="18"/>
                <w:color w:val="auto"/>
              </w:rPr>
              <w:t>Unvested at end of period</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137,247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61.49</w:t>
            </w:r>
          </w:p>
        </w:tc>
      </w:tr>
      <w:tr>
        <w:trPr>
          <w:trHeight w:val="27"/>
        </w:trPr>
        <w:tc>
          <w:tcPr>
            <w:tcW w:w="7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right="240"/>
        <w:spacing w:after="0" w:line="225" w:lineRule="auto"/>
        <w:rPr>
          <w:sz w:val="20"/>
          <w:szCs w:val="20"/>
          <w:color w:val="auto"/>
        </w:rPr>
      </w:pPr>
      <w:r>
        <w:rPr>
          <w:rFonts w:ascii="Calibri" w:cs="Calibri" w:eastAsia="Calibri" w:hAnsi="Calibri"/>
          <w:sz w:val="18"/>
          <w:szCs w:val="18"/>
          <w:color w:val="auto"/>
        </w:rPr>
        <w:t>We recorded compensaton expense related to performance share units and restricted stock of $1.1 million for the three months ended June 30, 2024 and $0.7 million for the three months ended July 2, 2023. Substantally all of the compensaton expense was recorded in selling, general and administratve expenses in the condensed consolidated statements of income.</w:t>
      </w:r>
    </w:p>
    <w:p>
      <w:pPr>
        <w:spacing w:after="0" w:line="111"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b w:val="1"/>
          <w:bCs w:val="1"/>
          <w:i w:val="1"/>
          <w:iCs w:val="1"/>
          <w:color w:val="auto"/>
        </w:rPr>
        <w:t>Restricted Stock Awards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 part of their retainer, our directors, other than the Chief Executve Ofcer, receive restricted stock for their Board services.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restricted stock awards are generally expensed over a one-year vestng period, based on the market value on the date of grant. As of June 30, 2024, there were 10,647 shares of restricted stock with an average grant date fair value of $46.00 outstanding under this program. Compensaton expense for both the three months ended June 30, 2024 and July 2, 2023 related to restricted stock awards to the Board was $0.1 million.</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 Share Repurchase Program</w:t>
      </w:r>
    </w:p>
    <w:p>
      <w:pPr>
        <w:spacing w:after="0" w:line="96" w:lineRule="exact"/>
        <w:rPr>
          <w:sz w:val="20"/>
          <w:szCs w:val="20"/>
          <w:color w:val="auto"/>
        </w:rPr>
      </w:pPr>
    </w:p>
    <w:p>
      <w:pPr>
        <w:ind w:right="60"/>
        <w:spacing w:after="0" w:line="223"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shares. The shares may be repurchased on the open market or in privately negotated transactons subject to applicable securites laws and regulatons. Upon purchase of the shares, we reduce our common stock for the par value of the shares with the excess applied against additonal paid-in capital. During the three months ended June 30, 2024, we repurchased 105,541 shares at an aggregate purchase price of $9.1 million, and during the three months ended July 2, 2023, no shares were repurchased. As of June 30, 2024, 831,946 shares remained available to be repurchased under the share repurchase program.</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Commitments and Contngencies</w:t>
      </w:r>
    </w:p>
    <w:p>
      <w:pPr>
        <w:spacing w:after="0" w:line="9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Environmental Remediaton. </w:t>
      </w:r>
      <w:r>
        <w:rPr>
          <w:rFonts w:ascii="Calibri" w:cs="Calibri" w:eastAsia="Calibri" w:hAnsi="Calibri"/>
          <w:sz w:val="18"/>
          <w:szCs w:val="18"/>
          <w:color w:val="auto"/>
        </w:rPr>
        <w:t>In the fourth quarter of fscal 2024, we recorded a liability of $7.7 million related to estmated remediaton expenses associated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with perchlorinated biphenyls ("PCBs") discovered in the soil at our Rosemount, MN facility during our expansion project. We acquired the property, which had prior heavy industrial use, in fscal 2012. While the source of the PCBs is unknown, we have never brought PCBs onto the property or used PCBs on the site. The liability is not discounted as management expects to incur these expenses within the next twelve months. Given the many uncertaintes involved in assessing environmental claims, our reserves may prove to be insufcient. While it is possible that additonal expense related to the remediaton will be incurred in future periods if currently unknown issues arise, we are unable to estmate the extent of any further fnancial impact. No expenses were charged against this liability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color w:val="auto"/>
        </w:rPr>
        <w:t>Note 13 – Segment Informaton</w:t>
      </w:r>
    </w:p>
    <w:p>
      <w:pPr>
        <w:spacing w:after="0" w:line="109" w:lineRule="exact"/>
        <w:rPr>
          <w:sz w:val="20"/>
          <w:szCs w:val="20"/>
          <w:color w:val="auto"/>
        </w:rPr>
      </w:pPr>
    </w:p>
    <w:p>
      <w:pPr>
        <w:ind w:right="22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three reportable segments: Water Treatment, Industrial, and Health and Nutriton. The accountng policies of the segments are the same as those described in the summary of signifcant accountng policies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evaluate performance based on proft or loss from operatons before income taxes not including nonrecurring gains and losses. Reportable segments are defned primarily by product and type of customer. Segments are responsible for the sales, marketng and development of their products and services. We allocate certain corporate expenses to our operatng segments. There are no intersegment sales and no operatng segments have been aggregated. No single customer’s revenues amounted to 10% or more of our total revenue. Sales are primarily within the United States and all assets are located within the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Calibri" w:cs="Calibri" w:eastAsia="Calibri" w:hAnsi="Calibri"/>
                <w:sz w:val="18"/>
                <w:szCs w:val="18"/>
                <w:b w:val="1"/>
                <w:bCs w:val="1"/>
                <w:color w:val="auto"/>
                <w:w w:val="93"/>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5"/>
        </w:trPr>
        <w:tc>
          <w:tcPr>
            <w:tcW w:w="5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8"/>
                <w:szCs w:val="18"/>
                <w:color w:val="auto"/>
              </w:rPr>
            </w:pPr>
          </w:p>
        </w:tc>
        <w:tc>
          <w:tcPr>
            <w:tcW w:w="1220" w:type="dxa"/>
            <w:vAlign w:val="bottom"/>
            <w:gridSpan w:val="2"/>
          </w:tcPr>
          <w:p>
            <w:pPr>
              <w:ind w:left="100"/>
              <w:spacing w:after="0" w:line="215" w:lineRule="exact"/>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8"/>
                <w:szCs w:val="18"/>
                <w:color w:val="auto"/>
              </w:rPr>
            </w:pPr>
          </w:p>
        </w:tc>
        <w:tc>
          <w:tcPr>
            <w:tcW w:w="1280" w:type="dxa"/>
            <w:vAlign w:val="bottom"/>
            <w:gridSpan w:val="2"/>
          </w:tcPr>
          <w:p>
            <w:pPr>
              <w:jc w:val="center"/>
              <w:ind w:right="34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8"/>
                <w:szCs w:val="18"/>
                <w:color w:val="auto"/>
              </w:rPr>
            </w:pPr>
          </w:p>
        </w:tc>
        <w:tc>
          <w:tcPr>
            <w:tcW w:w="1020" w:type="dxa"/>
            <w:vAlign w:val="bottom"/>
          </w:tcPr>
          <w:p>
            <w:pPr>
              <w:jc w:val="right"/>
              <w:ind w:right="390"/>
              <w:spacing w:after="0" w:line="215"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Three months ended June 30, 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117,176</w:t>
            </w:r>
          </w:p>
        </w:tc>
        <w:tc>
          <w:tcPr>
            <w:tcW w:w="10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103,202</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35,501</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255,879</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34,955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21,876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7,824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64,655</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14,166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24,864</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20,789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15,237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3,765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39,791</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Three months ended July 2, 2023: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93,651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120,873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36,596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251,120</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26,408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19,306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51,991</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3,803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19,504</w:t>
            </w:r>
          </w:p>
        </w:tc>
      </w:tr>
      <w:tr>
        <w:trPr>
          <w:trHeight w:val="215"/>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17,282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32,487</w:t>
            </w:r>
          </w:p>
        </w:tc>
      </w:tr>
    </w:tbl>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color w:val="auto"/>
        </w:rPr>
        <w:t>No signifcant changes to identfable assets by segment occurred during the three months ended June 30, 2024.</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spacing w:after="0"/>
        <w:tabs>
          <w:tab w:leader="none" w:pos="68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MANAGEMENT’S DISCUSSION AND ANALYSIS OF FINANCIAL CONDITION AND RESULTS OF OPERATIONS</w:t>
      </w:r>
    </w:p>
    <w:p>
      <w:pPr>
        <w:spacing w:after="0" w:line="244" w:lineRule="exact"/>
        <w:rPr>
          <w:sz w:val="20"/>
          <w:szCs w:val="20"/>
          <w:color w:val="auto"/>
        </w:rPr>
      </w:pPr>
    </w:p>
    <w:p>
      <w:pPr>
        <w:ind w:right="80"/>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following is a discussion and analysis of our fnancial conditon and results of operatons for the three months ended June 30, 2024 as compared to the similar period ended July 2, 2023. This discussion should be read in conjuncton with the condensed consolidated fnancial statements and notes to </w:t>
      </w:r>
      <w:hyperlink r:id="rId18">
        <w:r>
          <w:rPr>
            <w:rFonts w:ascii="Calibri" w:cs="Calibri" w:eastAsia="Calibri" w:hAnsi="Calibri"/>
            <w:sz w:val="18"/>
            <w:szCs w:val="18"/>
            <w:color w:val="auto"/>
          </w:rPr>
          <w:t xml:space="preserve">condensed consolidated fnancial statements included in this quarterly report on Form 10-Q and Item 8 of our </w:t>
        </w:r>
        <w:r>
          <w:rPr>
            <w:rFonts w:ascii="Calibri" w:cs="Calibri" w:eastAsia="Calibri" w:hAnsi="Calibri"/>
            <w:sz w:val="18"/>
            <w:szCs w:val="18"/>
            <w:u w:val="single" w:color="auto"/>
            <w:color w:val="0000FF"/>
          </w:rPr>
          <w:t>Annual Report on Form 10-K for the fscal year</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ended March 31, 2024</w:t>
        </w:r>
        <w:r>
          <w:rPr>
            <w:rFonts w:ascii="Calibri" w:cs="Calibri" w:eastAsia="Calibri" w:hAnsi="Calibri"/>
            <w:sz w:val="18"/>
            <w:szCs w:val="18"/>
            <w:color w:val="000000"/>
          </w:rPr>
          <w:t>.</w:t>
        </w:r>
      </w:hyperlink>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Overview</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derive substantally all of our revenues from the sale of chemicals and specialty ingredients to our customers in a wide variety of industries. We began our operatons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Acquisitons</w:t>
      </w:r>
    </w:p>
    <w:p>
      <w:pPr>
        <w:spacing w:after="0" w:line="96" w:lineRule="exact"/>
        <w:rPr>
          <w:sz w:val="20"/>
          <w:szCs w:val="20"/>
          <w:color w:val="auto"/>
        </w:rPr>
      </w:pPr>
    </w:p>
    <w:p>
      <w:pPr>
        <w:jc w:val="both"/>
        <w:ind w:right="280"/>
        <w:spacing w:after="0" w:line="230" w:lineRule="auto"/>
        <w:rPr>
          <w:sz w:val="20"/>
          <w:szCs w:val="20"/>
          <w:color w:val="auto"/>
        </w:rPr>
      </w:pPr>
      <w:r>
        <w:rPr>
          <w:rFonts w:ascii="Calibri" w:cs="Calibri" w:eastAsia="Calibri" w:hAnsi="Calibri"/>
          <w:sz w:val="18"/>
          <w:szCs w:val="18"/>
          <w:color w:val="auto"/>
        </w:rPr>
        <w:t>On June 28, 2024, we acquired substantally all the assets of Woford Water Service, Inc. ("Woford") for $3.4 million. Woford distributed water treatment chemicals and equipment to customers mainly in Mississippi. The results of operatons since the acquisiton date and the assets are included in our Water Treatment segment.</w:t>
      </w:r>
    </w:p>
    <w:p>
      <w:pPr>
        <w:spacing w:after="0" w:line="232" w:lineRule="exact"/>
        <w:rPr>
          <w:sz w:val="20"/>
          <w:szCs w:val="20"/>
          <w:color w:val="auto"/>
        </w:rPr>
      </w:pPr>
    </w:p>
    <w:p>
      <w:pPr>
        <w:jc w:val="both"/>
        <w:ind w:right="80"/>
        <w:spacing w:after="0" w:line="254" w:lineRule="auto"/>
        <w:rPr>
          <w:sz w:val="20"/>
          <w:szCs w:val="20"/>
          <w:color w:val="auto"/>
        </w:rPr>
      </w:pPr>
      <w:r>
        <w:rPr>
          <w:rFonts w:ascii="Calibri" w:cs="Calibri" w:eastAsia="Calibri" w:hAnsi="Calibri"/>
          <w:sz w:val="17"/>
          <w:szCs w:val="17"/>
          <w:color w:val="auto"/>
        </w:rPr>
        <w:t>On June 3, 2024, we acquired substantally all the assets of Intercoastal Trading, Inc. and certain related enttes ("Intercoastal") for $22.0 million. Intercoastal distributes water treatment chemicals and equipment to its customers in Maryland, Delaware and Virginia. The purchase price allocaton is not yet complete due to the tming of the acquisiton. The results of operatons since the acquisiton date and the assets are included in our Water Treatment segment.</w:t>
      </w:r>
    </w:p>
    <w:p>
      <w:pPr>
        <w:spacing w:after="0" w:line="84" w:lineRule="exact"/>
        <w:rPr>
          <w:sz w:val="20"/>
          <w:szCs w:val="20"/>
          <w:color w:val="auto"/>
        </w:rPr>
      </w:pPr>
    </w:p>
    <w:p>
      <w:pPr>
        <w:ind w:right="520"/>
        <w:spacing w:after="0" w:line="225" w:lineRule="auto"/>
        <w:rPr>
          <w:sz w:val="20"/>
          <w:szCs w:val="20"/>
          <w:color w:val="auto"/>
        </w:rPr>
      </w:pPr>
      <w:r>
        <w:rPr>
          <w:rFonts w:ascii="Calibri" w:cs="Calibri" w:eastAsia="Calibri" w:hAnsi="Calibri"/>
          <w:sz w:val="18"/>
          <w:szCs w:val="18"/>
          <w:color w:val="auto"/>
        </w:rPr>
        <w:t>In the fourth quarter of fscal 2024, we acquired substantally all the assets of Industrial Research Corporaton ("Industrial Research") for $4.6 million. Industrial Research was a distributor of water treatment chemicals and equipment for its customers in central to northern Louisiana, eastern Texas and southern Arkansas. The results of operatons since the acquisiton and the assets are included in our Water Treatment segment.</w:t>
      </w:r>
    </w:p>
    <w:p>
      <w:pPr>
        <w:spacing w:after="0" w:line="111" w:lineRule="exact"/>
        <w:rPr>
          <w:sz w:val="20"/>
          <w:szCs w:val="20"/>
          <w:color w:val="auto"/>
        </w:rPr>
      </w:pPr>
    </w:p>
    <w:p>
      <w:pPr>
        <w:ind w:right="40"/>
        <w:spacing w:after="0" w:line="239" w:lineRule="auto"/>
        <w:rPr>
          <w:sz w:val="20"/>
          <w:szCs w:val="20"/>
          <w:color w:val="auto"/>
        </w:rPr>
      </w:pPr>
      <w:r>
        <w:rPr>
          <w:rFonts w:ascii="Calibri" w:cs="Calibri" w:eastAsia="Calibri" w:hAnsi="Calibri"/>
          <w:sz w:val="17"/>
          <w:szCs w:val="17"/>
          <w:color w:val="auto"/>
        </w:rPr>
        <w:t>In the third quarter of fscal 2024, we acquired substantally all the assets of Miami Products &amp; Chemical Company ("Miami Products") for $15.5 million. Miami Products is a bleach manufacturer and distributor serving customers primarily throughout Ohio and the surrounding region. The results of operatons and the assets, including goodwill associated with this acquisiton, are included as part of our Water Treatment segment from the date of acquisiton forward.</w:t>
      </w:r>
    </w:p>
    <w:p>
      <w:pPr>
        <w:spacing w:after="0" w:line="109" w:lineRule="exact"/>
        <w:rPr>
          <w:sz w:val="20"/>
          <w:szCs w:val="20"/>
          <w:color w:val="auto"/>
        </w:rPr>
      </w:pPr>
    </w:p>
    <w:p>
      <w:pPr>
        <w:ind w:right="120"/>
        <w:spacing w:after="0" w:line="226" w:lineRule="auto"/>
        <w:rPr>
          <w:sz w:val="20"/>
          <w:szCs w:val="20"/>
          <w:color w:val="auto"/>
        </w:rPr>
      </w:pPr>
      <w:r>
        <w:rPr>
          <w:rFonts w:ascii="Calibri" w:cs="Calibri" w:eastAsia="Calibri" w:hAnsi="Calibri"/>
          <w:sz w:val="18"/>
          <w:szCs w:val="18"/>
          <w:color w:val="auto"/>
        </w:rPr>
        <w:t>In the third quarter of fscal 2024, we acquired substantally all the assets of Water Solutons Unlimited, Inc. ("Water Solutons") for $60 million and an additonal amount to be paid afer three years based on achieving certain targets. The total purchase price was estmated to be $70.7 million, including the estmated potental earnout to be paid of $10.7 million. Water Solutons is a manufacturer and distributor of water treatment chemicals serving customers primarily throughout Indiana, Illinois and Michigan. The results of operatons and the assets, including goodwill associated with this acquisiton, are included as part of our Water Treatment segment from the date of acquisiton forward.</w:t>
      </w:r>
    </w:p>
    <w:p>
      <w:pPr>
        <w:spacing w:after="0" w:line="9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the second quarter of fscal 2024, we acquired substantally all the assets of EcoTech Enterprises, Inc. ("EcoTech") for $3.4 million. EcoTech was a manufacturer and distributor of water treatment chemicals serving customers throughout Arkansas and surrounding states. The results of operatons and the assets are included as part of our Water Treatment segment from the date of acquisiton forward.</w:t>
      </w:r>
    </w:p>
    <w:p>
      <w:pPr>
        <w:spacing w:after="0" w:line="111"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 aggregate annual revenue of these six businesses acquired in fscal 2024 and fscal 2025 totaled approximately $85 million, as determined using the applicable twelve-month period preceding each respectve acquisiton date.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9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We have in place a share repurchase program for up to 2.6 million shares of our common shares. As of June 30, 2024, 831,946 shares remain available to be repurchased under this program.</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Results</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as raw material prices rise and fall, partcularly in our Water Treatment and Industrial segments. The costs for certain of our raw materials can rise or fall rapidly, causing fuctuatons in gross proft as a percentage of sales.</w:t>
      </w:r>
    </w:p>
    <w:p>
      <w:pPr>
        <w:spacing w:after="0" w:line="24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use the last in, frst out (“LIFO”) method of valuing the majority of our inventory in our Water Treatment and Industrial segments, which causes the most recent product costs to be recognized in our income statement. The LIFO inventory</w:t>
      </w:r>
    </w:p>
    <w:p>
      <w:pPr>
        <w:spacing w:after="0" w:line="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valuaton method and the resultng cost of sales are consistent with our business practces of pricing to current chemical raw material prices. Inventories in our Health and Nutriton segment are valued using the frst-in, frst-out (“FIFO”) method.</w:t>
      </w:r>
    </w:p>
    <w:p>
      <w:pPr>
        <w:spacing w:after="0" w:line="245" w:lineRule="exact"/>
        <w:rPr>
          <w:sz w:val="20"/>
          <w:szCs w:val="20"/>
          <w:color w:val="auto"/>
        </w:rPr>
      </w:pPr>
    </w:p>
    <w:p>
      <w:pPr>
        <w:ind w:right="20"/>
        <w:spacing w:after="0" w:line="229"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Water Treatment and Industrial segments. Our defniton of bulk commodity products includes products that we do not modify in any way, but receive, store, and ship from our facilites, or direct ship to our customers in large quanttes. We disclose the percentage of our overall sales that consist of sales of bulk commodity products as these products are generally distributed and we do not add signifcant value to these products in comparison to our non-bulk products. Sales of these products are generally highly compettve and price sensitve. As a result, bulk commodity products generally have our lowest margins.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Results of Operatons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percentage relatonship of certain items to sales for the period indicated:</w:t>
      </w:r>
    </w:p>
    <w:p>
      <w:pPr>
        <w:sectPr>
          <w:pgSz w:w="11900" w:h="16838" w:orient="portrait"/>
          <w:cols w:equalWidth="0" w:num="1">
            <w:col w:w="11240"/>
          </w:cols>
          <w:pgMar w:left="320" w:top="882" w:right="339" w:bottom="1440" w:gutter="0" w:footer="0" w:header="0"/>
        </w:sectPr>
      </w:pPr>
    </w:p>
    <w:bookmarkStart w:id="15" w:name="page16"/>
    <w:bookmarkEnd w:id="15"/>
    <w:p>
      <w:pPr>
        <w:ind w:left="8800"/>
        <w:spacing w:after="0"/>
        <w:rPr>
          <w:sz w:val="20"/>
          <w:szCs w:val="20"/>
          <w:color w:val="auto"/>
        </w:rPr>
      </w:pPr>
      <w:r>
        <w:rPr>
          <w:rFonts w:ascii="Calibri" w:cs="Calibri" w:eastAsia="Calibri" w:hAnsi="Calibri"/>
          <w:sz w:val="18"/>
          <w:szCs w:val="18"/>
          <w:b w:val="1"/>
          <w:bCs w:val="1"/>
          <w:color w:val="auto"/>
        </w:rPr>
        <w:t>Three Months Ended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gridSpan w:val="2"/>
            <w:shd w:val="clear" w:color="auto" w:fill="CCEEFF"/>
          </w:tcPr>
          <w:p>
            <w:pPr>
              <w:ind w:left="300"/>
              <w:spacing w:after="0"/>
              <w:rPr>
                <w:sz w:val="20"/>
                <w:szCs w:val="20"/>
                <w:color w:val="auto"/>
              </w:rPr>
            </w:pPr>
            <w:r>
              <w:rPr>
                <w:rFonts w:ascii="Calibri" w:cs="Calibri" w:eastAsia="Calibri" w:hAnsi="Calibri"/>
                <w:sz w:val="18"/>
                <w:szCs w:val="18"/>
                <w:b w:val="1"/>
                <w:bCs w:val="1"/>
                <w:color w:val="auto"/>
              </w:rPr>
              <w:t>June 30, 2024</w:t>
            </w:r>
          </w:p>
        </w:tc>
        <w:tc>
          <w:tcPr>
            <w:tcW w:w="1620" w:type="dxa"/>
            <w:vAlign w:val="bottom"/>
            <w:tcBorders>
              <w:top w:val="single" w:sz="8" w:color="auto"/>
            </w:tcBorders>
            <w:shd w:val="clear" w:color="auto" w:fill="CCEEFF"/>
          </w:tcPr>
          <w:p>
            <w:pPr>
              <w:jc w:val="right"/>
              <w:ind w:right="290"/>
              <w:spacing w:after="0"/>
              <w:rPr>
                <w:sz w:val="20"/>
                <w:szCs w:val="20"/>
                <w:color w:val="auto"/>
              </w:rPr>
            </w:pPr>
            <w:r>
              <w:rPr>
                <w:rFonts w:ascii="Calibri" w:cs="Calibri" w:eastAsia="Calibri" w:hAnsi="Calibri"/>
                <w:sz w:val="18"/>
                <w:szCs w:val="18"/>
                <w:b w:val="1"/>
                <w:bCs w:val="1"/>
                <w:color w:val="auto"/>
              </w:rPr>
              <w:t>July 2, 2023</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(74.7)%</w:t>
            </w:r>
          </w:p>
        </w:tc>
        <w:tc>
          <w:tcPr>
            <w:tcW w:w="10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(79.3)%</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Gross proft</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25.3 %</w:t>
            </w:r>
          </w:p>
        </w:tc>
        <w:tc>
          <w:tcPr>
            <w:tcW w:w="10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20.7 %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(9.7)%</w:t>
            </w:r>
          </w:p>
        </w:tc>
        <w:tc>
          <w:tcPr>
            <w:tcW w:w="10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w:t>
            </w:r>
          </w:p>
        </w:tc>
      </w:tr>
      <w:tr>
        <w:trPr>
          <w:trHeight w:val="216"/>
        </w:trPr>
        <w:tc>
          <w:tcPr>
            <w:tcW w:w="7900" w:type="dxa"/>
            <w:vAlign w:val="bottom"/>
          </w:tcPr>
          <w:p>
            <w:pPr>
              <w:ind w:left="20"/>
              <w:spacing w:after="0" w:line="195" w:lineRule="exact"/>
              <w:rPr>
                <w:sz w:val="20"/>
                <w:szCs w:val="20"/>
                <w:color w:val="auto"/>
              </w:rPr>
            </w:pPr>
            <w:r>
              <w:rPr>
                <w:rFonts w:ascii="Calibri" w:cs="Calibri" w:eastAsia="Calibri" w:hAnsi="Calibri"/>
                <w:sz w:val="18"/>
                <w:szCs w:val="18"/>
                <w:color w:val="auto"/>
              </w:rPr>
              <w:t>Operatng income</w:t>
            </w: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15.6 %</w:t>
            </w:r>
          </w:p>
        </w:tc>
        <w:tc>
          <w:tcPr>
            <w:tcW w:w="100" w:type="dxa"/>
            <w:vAlign w:val="bottom"/>
          </w:tcPr>
          <w:p>
            <w:pPr>
              <w:spacing w:after="0"/>
              <w:rPr>
                <w:sz w:val="18"/>
                <w:szCs w:val="18"/>
                <w:color w:val="auto"/>
              </w:rPr>
            </w:pPr>
          </w:p>
        </w:tc>
        <w:tc>
          <w:tcPr>
            <w:tcW w:w="1620" w:type="dxa"/>
            <w:vAlign w:val="bottom"/>
          </w:tcPr>
          <w:p>
            <w:pPr>
              <w:jc w:val="right"/>
              <w:spacing w:after="0" w:line="215" w:lineRule="exact"/>
              <w:rPr>
                <w:sz w:val="20"/>
                <w:szCs w:val="20"/>
                <w:color w:val="auto"/>
              </w:rPr>
            </w:pPr>
            <w:r>
              <w:rPr>
                <w:rFonts w:ascii="Calibri" w:cs="Calibri" w:eastAsia="Calibri" w:hAnsi="Calibri"/>
                <w:sz w:val="18"/>
                <w:szCs w:val="18"/>
                <w:color w:val="auto"/>
              </w:rPr>
              <w:t>12.9 %</w:t>
            </w:r>
          </w:p>
        </w:tc>
      </w:tr>
      <w:tr>
        <w:trPr>
          <w:trHeight w:val="237"/>
        </w:trPr>
        <w:tc>
          <w:tcPr>
            <w:tcW w:w="7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w:t>
            </w: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(expense) income</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0.1 %</w:t>
            </w:r>
          </w:p>
        </w:tc>
      </w:tr>
      <w:tr>
        <w:trPr>
          <w:trHeight w:val="229"/>
        </w:trPr>
        <w:tc>
          <w:tcPr>
            <w:tcW w:w="79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Income before income taxes</w:t>
            </w: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12.5 %</w:t>
            </w:r>
          </w:p>
        </w:tc>
      </w:tr>
      <w:tr>
        <w:trPr>
          <w:trHeight w:val="223"/>
        </w:trPr>
        <w:tc>
          <w:tcPr>
            <w:tcW w:w="7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r>
      <w:tr>
        <w:trPr>
          <w:trHeight w:val="248"/>
        </w:trPr>
        <w:tc>
          <w:tcPr>
            <w:tcW w:w="790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income</w:t>
            </w:r>
          </w:p>
        </w:tc>
        <w:tc>
          <w:tcPr>
            <w:tcW w:w="1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Three Months Ended June 30, 2024 Compared to Three Months Ended July 2,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Sales were $255.9 million for the three months ended June 30, 2024, an increase of $4.8 million, or 2%, from sales of $251.1 million in the same period a year ago. Increased sales in our Water Treatment segment more than ofset decreased sales in our Industrial and Health and Nutriton segments.</w:t>
      </w:r>
    </w:p>
    <w:p>
      <w:pPr>
        <w:spacing w:after="0" w:line="245" w:lineRule="exact"/>
        <w:rPr>
          <w:sz w:val="20"/>
          <w:szCs w:val="20"/>
          <w:color w:val="auto"/>
        </w:rPr>
      </w:pPr>
    </w:p>
    <w:p>
      <w:pPr>
        <w:ind w:right="60"/>
        <w:spacing w:after="0" w:line="246" w:lineRule="auto"/>
        <w:rPr>
          <w:sz w:val="20"/>
          <w:szCs w:val="20"/>
          <w:color w:val="auto"/>
        </w:rPr>
      </w:pPr>
      <w:r>
        <w:rPr>
          <w:rFonts w:ascii="Calibri" w:cs="Calibri" w:eastAsia="Calibri" w:hAnsi="Calibri"/>
          <w:sz w:val="17"/>
          <w:szCs w:val="17"/>
          <w:i w:val="1"/>
          <w:iCs w:val="1"/>
          <w:color w:val="auto"/>
        </w:rPr>
        <w:t xml:space="preserve">Water Treatment Segment. </w:t>
      </w:r>
      <w:r>
        <w:rPr>
          <w:rFonts w:ascii="Calibri" w:cs="Calibri" w:eastAsia="Calibri" w:hAnsi="Calibri"/>
          <w:sz w:val="17"/>
          <w:szCs w:val="17"/>
          <w:color w:val="auto"/>
        </w:rPr>
        <w:t>Water Treatment segment sales increased $23.5 million, or 25%, to $117.2 million for the three months ended June 30, 2024,</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from sales of $93.7 million in the same period a year ago. Sales of bulk commodity products in the Water Treatment segment were approximately 9% of sales dollars in the three months ended June 30, 2024 and 8% in the same period a year ago. Sales increased as a result of added sales from acquired businesses.</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$17.7 million or 15%, to $103.2 million for the three months ended June 30, 2024, from sales of</w:t>
      </w:r>
    </w:p>
    <w:p>
      <w:pPr>
        <w:ind w:right="40"/>
        <w:spacing w:after="0" w:line="226" w:lineRule="auto"/>
        <w:rPr>
          <w:sz w:val="20"/>
          <w:szCs w:val="20"/>
          <w:color w:val="auto"/>
        </w:rPr>
      </w:pPr>
      <w:r>
        <w:rPr>
          <w:rFonts w:ascii="Calibri" w:cs="Calibri" w:eastAsia="Calibri" w:hAnsi="Calibri"/>
          <w:sz w:val="18"/>
          <w:szCs w:val="18"/>
          <w:color w:val="auto"/>
        </w:rPr>
        <w:t>$120.9 million in the same period a year ago. Sales of bulk commodity products in the Industrial segment were approximately 13% of sales dollars in both the three months ended June 30, 2024 and the same period of the prior year. The decrease in sales was primarily driven by lower selling prices on certain products driven by lower raw material costs and compettve pricing pressures.</w:t>
      </w:r>
    </w:p>
    <w:p>
      <w:pPr>
        <w:spacing w:after="0" w:line="231" w:lineRule="exact"/>
        <w:rPr>
          <w:sz w:val="20"/>
          <w:szCs w:val="20"/>
          <w:color w:val="auto"/>
        </w:rPr>
      </w:pPr>
    </w:p>
    <w:p>
      <w:pPr>
        <w:ind w:right="240"/>
        <w:spacing w:after="0" w:line="230"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decreased $1.1 million, or 3%, to $35.5 million for the three months ended June 30,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sales of $36.6 million in the same period a year ago. Decreased sales of our manufactured products were largely ofset by increased sales of our specialty distributed products.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16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Gross proft increased $12.7 million, or 24%, to $64.7 million, or 25% of sales, for the three months ended June 30, 2024, from $52.0 million, or 21% of sales, in the same period a year ago. During the three months ended June 30, 2024, the LIFO reserve increased, and gross proft decreased, by $0.4 million due primarily to an increase in our forecasted year-end quanttes. In the same quarter a year ago, the LIFO reserve decreased, and gross proft increased, by $0.2 million.</w:t>
      </w:r>
    </w:p>
    <w:p>
      <w:pPr>
        <w:spacing w:after="0" w:line="246" w:lineRule="exact"/>
        <w:rPr>
          <w:sz w:val="20"/>
          <w:szCs w:val="20"/>
          <w:color w:val="auto"/>
        </w:rPr>
      </w:pPr>
    </w:p>
    <w:p>
      <w:pPr>
        <w:ind w:right="140"/>
        <w:spacing w:after="0" w:line="242" w:lineRule="auto"/>
        <w:rPr>
          <w:sz w:val="20"/>
          <w:szCs w:val="20"/>
          <w:color w:val="auto"/>
        </w:rPr>
      </w:pPr>
      <w:r>
        <w:rPr>
          <w:rFonts w:ascii="Calibri" w:cs="Calibri" w:eastAsia="Calibri" w:hAnsi="Calibri"/>
          <w:sz w:val="17"/>
          <w:szCs w:val="17"/>
          <w:i w:val="1"/>
          <w:iCs w:val="1"/>
          <w:color w:val="auto"/>
        </w:rPr>
        <w:t xml:space="preserve">Water Treatment Segment. </w:t>
      </w:r>
      <w:r>
        <w:rPr>
          <w:rFonts w:ascii="Calibri" w:cs="Calibri" w:eastAsia="Calibri" w:hAnsi="Calibri"/>
          <w:sz w:val="17"/>
          <w:szCs w:val="17"/>
          <w:color w:val="auto"/>
        </w:rPr>
        <w:t>Gross proft for the Water Treatment segment increased $8.6 million, or 33%, to $35.0 million, or 30% of sales, for the three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months ended June 30, 2024, from $26.4 million, or 28% of sales, in the same period a year ago. During the three months ended June 30, 2024, the LIFO reserve increased, and gross proft decreased, by $0.2 million due primarily to increased raw material costs. In the same quarter a year ago, the LIFO reserve increased, and gross proft decreased, by $0.1 million. Gross proft increased primarily as a result of increased sales from our acquired businesses.</w:t>
      </w:r>
    </w:p>
    <w:p>
      <w:pPr>
        <w:spacing w:after="0" w:line="243" w:lineRule="exact"/>
        <w:rPr>
          <w:sz w:val="20"/>
          <w:szCs w:val="20"/>
          <w:color w:val="auto"/>
        </w:rPr>
      </w:pPr>
    </w:p>
    <w:p>
      <w:pPr>
        <w:ind w:right="12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$2.6 million, or 13%, to $21.9 million, or 21% of sales, for the three months ended June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30, 2024, from $19.3 million, or 16% of sales, in the same period a year ago. During the three months ended June 30, 2024, the LIFO reserve increased, and gross proft decreased, by $0.2 million due primarily to an increase in our forecasted year-end quanttes. In the same quarter a year ago, the LIFO reserve decreased, and gross proft increased, by $0.3 million. Gross proft increased as a result of higher unit margins on certain products.</w:t>
      </w:r>
    </w:p>
    <w:p>
      <w:pPr>
        <w:spacing w:after="0" w:line="232" w:lineRule="exact"/>
        <w:rPr>
          <w:sz w:val="20"/>
          <w:szCs w:val="20"/>
          <w:color w:val="auto"/>
        </w:rPr>
      </w:pPr>
    </w:p>
    <w:p>
      <w:pPr>
        <w:jc w:val="both"/>
        <w:ind w:right="60"/>
        <w:spacing w:after="0" w:line="230" w:lineRule="auto"/>
        <w:rPr>
          <w:sz w:val="20"/>
          <w:szCs w:val="20"/>
          <w:color w:val="auto"/>
        </w:rPr>
      </w:pPr>
      <w:r>
        <w:rPr>
          <w:rFonts w:ascii="Calibri" w:cs="Calibri" w:eastAsia="Calibri" w:hAnsi="Calibri"/>
          <w:sz w:val="18"/>
          <w:szCs w:val="18"/>
          <w:i w:val="1"/>
          <w:iCs w:val="1"/>
          <w:color w:val="auto"/>
        </w:rPr>
        <w:t>Health and Nutriton Segment</w:t>
      </w:r>
      <w:r>
        <w:rPr>
          <w:rFonts w:ascii="Calibri" w:cs="Calibri" w:eastAsia="Calibri" w:hAnsi="Calibri"/>
          <w:sz w:val="18"/>
          <w:szCs w:val="18"/>
          <w:color w:val="auto"/>
        </w:rPr>
        <w:t>. Gross proft for our Health and Nutriton segment increased $1.5 million, or 24%, to $7.8 million, or 22%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June 30, 2024, from $6.3 million, or 17% of sales, in the same period a year ago. Gross proft increased as a result of higher margins on certain products.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163"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Selling, general and administratve (“SG&amp;A”) expenses increased $5.4 million, or 28%, to $24.9 million, or 10% of sales, for the three months ended June 30, 2024, from $19.5 million, or 8% of sales, in the same period a year ago. Expenses increased primarily due to added costs from the acquired businesses in our Water Treatment segment and increased variable pay.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163"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Operatng income increased $7.3 million, or 22%, to $39.8 million, or 16% of sales, for the three months ended June 30, 2024, from $32.5 million, or 13% of sales, in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16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Interest expense was $1.3 million for the three months ended June 30, 2024 and $1.1 million the same period a year ago. Interest expense increased slightly due to an increase in outstanding borrowings in the current year as compared to a year ago as well as a slightly higher interest rate.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150" w:lineRule="exact"/>
        <w:rPr>
          <w:sz w:val="20"/>
          <w:szCs w:val="20"/>
          <w:color w:val="auto"/>
        </w:rPr>
      </w:pPr>
    </w:p>
    <w:p>
      <w:pPr>
        <w:ind w:right="340"/>
        <w:spacing w:after="0" w:line="258" w:lineRule="auto"/>
        <w:rPr>
          <w:sz w:val="20"/>
          <w:szCs w:val="20"/>
          <w:color w:val="auto"/>
        </w:rPr>
      </w:pPr>
      <w:r>
        <w:rPr>
          <w:rFonts w:ascii="Calibri" w:cs="Calibri" w:eastAsia="Calibri" w:hAnsi="Calibri"/>
          <w:sz w:val="17"/>
          <w:szCs w:val="17"/>
          <w:color w:val="auto"/>
        </w:rPr>
        <w:t>Other income was $0.2 million for the three months ended June 30, 2024 compared to $0.3 million in the same period a year ago. The income represents gains recorded on investments held for our non-qualifed deferred compensaton plan. The amounts recorded as a gain were ofset by similar amounts</w:t>
      </w:r>
    </w:p>
    <w:p>
      <w:pPr>
        <w:sectPr>
          <w:pgSz w:w="11900" w:h="16838" w:orient="portrait"/>
          <w:cols w:equalWidth="0" w:num="1">
            <w:col w:w="11240"/>
          </w:cols>
          <w:pgMar w:left="320" w:top="342" w:right="339" w:bottom="0" w:gutter="0" w:footer="0" w:header="0"/>
        </w:sectPr>
      </w:pPr>
    </w:p>
    <w:bookmarkStart w:id="16" w:name="page17"/>
    <w:bookmarkEnd w:id="16"/>
    <w:p>
      <w:pPr>
        <w:spacing w:after="0"/>
        <w:rPr>
          <w:sz w:val="20"/>
          <w:szCs w:val="20"/>
          <w:color w:val="auto"/>
        </w:rPr>
      </w:pPr>
      <w:r>
        <w:rPr>
          <w:rFonts w:ascii="Calibri" w:cs="Calibri" w:eastAsia="Calibri" w:hAnsi="Calibri"/>
          <w:sz w:val="18"/>
          <w:szCs w:val="18"/>
          <w:color w:val="auto"/>
        </w:rPr>
        <w:t>recorded as an increase to compensaton expense within SG&amp;A expenses.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Provision</w:t>
      </w:r>
    </w:p>
    <w:p>
      <w:pPr>
        <w:spacing w:after="0" w:line="16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Our efectve income tax rate was 25% for the three months ended June 30, 2024 and 26% for the three months ended July 2, 2023. The efectve tax rate in the frst quarter of both years was impacted by favorable tax provision adjustments recorded. The efectve tax rate is impacted by projected levels of annual taxable income, permanent items, and state taxes. Our efectve tax rate for the full year is expected to be approximately 26-27%.</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Cash was $8.9 million at June 30, 2024, an increase of $1.7 million as compared with the $7.2 million available as of March 31, 2024.</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Cash provided by operatng actvites was $17.6 million for the three months ended June 30, 2024, compared to cash provided by operatng actvites of $34.9 million in the same period a year ago. The year-over-year decrease in cash provided by operatng actvites in the frst three months of the current year was primarily driven by unfavorable year-over-year changes in inventory and accounts payable, slightly ofset by increased net income compared to the same period a year ago. Due to the nature of our operatons, which includes purchases of large quanttes of bulk chemicals, the tming of purchases can result in signifcant changes in working capital investment and the resultng operatng cash fow.</w:t>
      </w:r>
    </w:p>
    <w:p>
      <w:pPr>
        <w:spacing w:after="0" w:line="24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Cash used in investng actvites was $35.8 million for the three months ended June 30, 2024, compared to $7.8 million in the same period a year ago. In the frst three months of the current year, we incurred acquisiton spending of $25.4 million, with the acquisitons of Intercoastal for $22.0 million and Woford for $3.4 million. Capital expenditures were $10.6 million for the three months ended June 30, 2024, compared to $7.9 million in the same period a year ago. In the frst quarter of fscal 2025, we purchased a building in Texas for $2.5 million and had larger investments in equipment, resultng in larger overall capital expenditures compared to the prior year. In the prior year, we invested $5.1 million to complete an expansion of one of our Minnesota manufacturing facilites.</w:t>
      </w:r>
    </w:p>
    <w:p>
      <w:pPr>
        <w:spacing w:after="0" w:line="24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Cash provided by fnancing actvites was $20.0 million for the three months ended June 30, 2024, compared to $27.6 million of cash used in fnancing actvites in the same period a year ago. Included in fnancing actvites in the frst three months of the current year were net debt proceeds of $35.0 million, compared to net debt payments of $23.4 million in the frst three months of the prior year. In additon, we repurchased $9.1 million of our common stock in the frst three months of the current year, compared to no shares being repurchased in the same period of the prior year.</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expect our cash balances and funds available under our credit facility, discussed below, along with cash fows generated from operatons, will be sufcient to fund the cash requirements of our ongoing operatons for the foreseeable future.</w:t>
      </w:r>
    </w:p>
    <w:p>
      <w:pPr>
        <w:spacing w:after="0" w:line="245"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Our Board has authorized the repurchase of up to 2.6 million shares of our outstanding common shares. The shares may be purchased on the open market or in privately negotated transactons subject to applicable securites laws and regulatons. The primary objectve of the share repurchase program is to ofset the impact of diluton from issuances relatng to employee and director equity grants and our employee stock purchase program. During the three months ended June 30, 2024, we repurchased 105,541 shares of common stock with an aggregate purchase price of $9.1 million. During the three months ended July 2, 2023, no shares were repurchased. As of June 30, 2024, 831,946 shares remained available to be repurchased under the share repurchase program.</w:t>
      </w:r>
    </w:p>
    <w:p>
      <w:pPr>
        <w:spacing w:after="0" w:line="2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 We may use the amount available under the Revolving Loan Facility for working capital, capital expenditures, share repurchases, restricted payments and acquisitons permited under the Credit Agreement, and other general corporate purposes.</w:t>
      </w:r>
    </w:p>
    <w:p>
      <w:pPr>
        <w:spacing w:after="0" w:line="25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June 30, 2024, the efectve interest rate on our borrowings was 4.8%.</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June 30, 2024, the unamortzed balance of these costs was $0.2 million, and is refected as a reducton of debt on our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w:t>
      </w:r>
    </w:p>
    <w:p>
      <w:pPr>
        <w:spacing w:after="0" w:line="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or would exist as a result thereof. We were in compliance with all covenants of the Credit Agreement as of June 30, 2024 and expect to remain in compliance with all covenants for the next 12 months.</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w:t>
      </w:r>
    </w:p>
    <w:p>
      <w:pPr>
        <w:sectPr>
          <w:pgSz w:w="11900" w:h="16838" w:orient="portrait"/>
          <w:cols w:equalWidth="0" w:num="1">
            <w:col w:w="11240"/>
          </w:cols>
          <w:pgMar w:left="320" w:top="112" w:right="339" w:bottom="0" w:gutter="0" w:footer="0" w:header="0"/>
        </w:sectPr>
      </w:pPr>
    </w:p>
    <w:bookmarkStart w:id="17" w:name="page18"/>
    <w:bookmarkEnd w:id="17"/>
    <w:p>
      <w:pPr>
        <w:ind w:right="440"/>
        <w:spacing w:after="0" w:line="235" w:lineRule="auto"/>
        <w:rPr>
          <w:sz w:val="20"/>
          <w:szCs w:val="20"/>
          <w:color w:val="auto"/>
        </w:rPr>
      </w:pPr>
      <w:r>
        <w:rPr>
          <w:rFonts w:ascii="Calibri" w:cs="Calibri" w:eastAsia="Calibri" w:hAnsi="Calibri"/>
          <w:sz w:val="18"/>
          <w:szCs w:val="18"/>
          <w:color w:val="auto"/>
        </w:rPr>
        <w:t>of the underlying notonal amount on which the interest payments are calculated. The notonal amount of the swap agreement is $60 million, and it will terminate on May 1, 2027.</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Accountng Estmates</w:t>
      </w:r>
    </w:p>
    <w:p>
      <w:pPr>
        <w:spacing w:after="0" w:line="163" w:lineRule="exact"/>
        <w:rPr>
          <w:sz w:val="20"/>
          <w:szCs w:val="20"/>
          <w:color w:val="auto"/>
        </w:rPr>
      </w:pPr>
    </w:p>
    <w:p>
      <w:pPr>
        <w:ind w:right="300"/>
        <w:spacing w:after="0" w:line="235" w:lineRule="auto"/>
        <w:rPr>
          <w:rFonts w:ascii="Calibri" w:cs="Calibri" w:eastAsia="Calibri" w:hAnsi="Calibri"/>
          <w:sz w:val="18"/>
          <w:szCs w:val="18"/>
          <w:color w:val="0000FF"/>
        </w:rPr>
      </w:pPr>
      <w:hyperlink r:id="rId18">
        <w:r>
          <w:rPr>
            <w:rFonts w:ascii="Calibri" w:cs="Calibri" w:eastAsia="Calibri" w:hAnsi="Calibri"/>
            <w:sz w:val="18"/>
            <w:szCs w:val="18"/>
            <w:color w:val="auto"/>
          </w:rPr>
          <w:t xml:space="preserve">There were no material changes in our critcal accountng estmates since the fling of our </w:t>
        </w:r>
        <w:r>
          <w:rPr>
            <w:rFonts w:ascii="Calibri" w:cs="Calibri" w:eastAsia="Calibri" w:hAnsi="Calibri"/>
            <w:sz w:val="18"/>
            <w:szCs w:val="18"/>
            <w:u w:val="single" w:color="auto"/>
            <w:color w:val="0000FF"/>
          </w:rPr>
          <w:t>Annual Report on Form 10-K for the fscal year ended March 31,</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2024</w:t>
        </w:r>
        <w:r>
          <w:rPr>
            <w:rFonts w:ascii="Calibri" w:cs="Calibri" w:eastAsia="Calibri" w:hAnsi="Calibri"/>
            <w:sz w:val="18"/>
            <w:szCs w:val="18"/>
            <w:color w:val="000000"/>
          </w:rPr>
          <w:t>.</w:t>
        </w:r>
      </w:hyperlink>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Forward-Looking Statements</w:t>
      </w:r>
    </w:p>
    <w:p>
      <w:pPr>
        <w:spacing w:after="0" w:line="109" w:lineRule="exact"/>
        <w:rPr>
          <w:sz w:val="20"/>
          <w:szCs w:val="20"/>
          <w:color w:val="auto"/>
        </w:rPr>
      </w:pPr>
    </w:p>
    <w:p>
      <w:pPr>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informaton presented in this Quarterly Report on Form 10-Q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“believe,” “estmate,” “expect,” “intend,” “plan,” “will” and similar expressions to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Additonal informaton concerning potental factors that could afect future fnancial results is included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000000"/>
        </w:rPr>
        <w:t>.</w:t>
      </w:r>
      <w:r>
        <w:rPr>
          <w:rFonts w:ascii="Calibri" w:cs="Calibri" w:eastAsia="Calibri" w:hAnsi="Calibri"/>
          <w:sz w:val="18"/>
          <w:szCs w:val="18"/>
          <w:color w:val="0000FF"/>
        </w:rPr>
        <w:t xml:space="preserve"> </w:t>
      </w:r>
      <w:r>
        <w:rPr>
          <w:rFonts w:ascii="Calibri" w:cs="Calibri" w:eastAsia="Calibri" w:hAnsi="Calibri"/>
          <w:sz w:val="18"/>
          <w:szCs w:val="18"/>
          <w:color w:val="000000"/>
        </w:rPr>
        <w:t>We cauton you not to place undue reliance on these forward-looking statements,</w:t>
      </w:r>
      <w:r>
        <w:rPr>
          <w:rFonts w:ascii="Calibri" w:cs="Calibri" w:eastAsia="Calibri" w:hAnsi="Calibri"/>
          <w:sz w:val="18"/>
          <w:szCs w:val="18"/>
          <w:color w:val="0000FF"/>
        </w:rPr>
        <w:t xml:space="preserve"> </w:t>
      </w:r>
      <w:r>
        <w:rPr>
          <w:rFonts w:ascii="Calibri" w:cs="Calibri" w:eastAsia="Calibri" w:hAnsi="Calibri"/>
          <w:sz w:val="18"/>
          <w:szCs w:val="18"/>
          <w:color w:val="000000"/>
        </w:rPr>
        <w:t>which refect our management’s view only as of the date of this Quarterly Report on Form 10-Q. We are not obligated to update these statements or publicly release the result of any revisions to them to refect events or circumstances afer the date of this Quarterly Report on Form 10-Q or to refect the occurrence of unantcipated events.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19" w:name="page20"/>
    <w:bookmarkEnd w:id="19"/>
    <w:p>
      <w:pPr>
        <w:spacing w:after="0"/>
        <w:tabs>
          <w:tab w:leader="none" w:pos="84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7"/>
          <w:szCs w:val="17"/>
          <w:color w:val="auto"/>
        </w:rPr>
        <w:t>QUANTITATIVE AND QUALITATIVE DISCLOSURES ABOUT MARKET RISK</w:t>
      </w:r>
    </w:p>
    <w:p>
      <w:pPr>
        <w:spacing w:after="0" w:line="16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to our customers. However, there are no assurances that we will be able to pass on the increases in the future.</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porton of our variable-rate long-term debt. The interest rate swap involves the exchange of fxed-rate and variable-rate payments without the exchange of the underlying notonal amount on which the interest payments are calculated. The notonal amount of the swap agreement is $60.0 million, and it will terminate on May 1, 2027. As of June 30, 2024, a 25-basis point change in interest rates on our unhedged variable-rate debt would potentally increase or decrease our annual interest expense by approximately $0.2 million.</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Other types of market risk, such as foreign currency risk, do not arise in the normal course of our business actvites.</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7"/>
          <w:szCs w:val="17"/>
          <w:color w:val="auto"/>
        </w:rPr>
        <w:t>CONTROLS AND PROCEDURES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of the end of the period covered by this Quarterly Report on Form 10-Q, we conducted an evaluaton, under supervision and with the partcipaton of management, including the chief executve ofcer and chief fnancial ofcer, of the efectveness of the design and operaton of our disclosure controls and procedures pursuant to Rules 13a-15 and 15d-15 of the Exchange Act. Based upon that evaluaton, our chief executve ofcer and chief fnancial ofcer concluded that our disclosure controls and procedures were efectve as of June 30, 2024.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frst quarter of fscal 2025 that has materially afected, or is reasonably likely to materially afect, our internal control over fnancial reportng.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jc w:val="center"/>
        <w:ind w:right="-79"/>
        <w:spacing w:after="0"/>
        <w:rPr>
          <w:sz w:val="20"/>
          <w:szCs w:val="20"/>
          <w:color w:val="auto"/>
        </w:rPr>
      </w:pPr>
      <w:r>
        <w:rPr>
          <w:rFonts w:ascii="Calibri" w:cs="Calibri" w:eastAsia="Calibri" w:hAnsi="Calibri"/>
          <w:sz w:val="18"/>
          <w:szCs w:val="18"/>
          <w:b w:val="1"/>
          <w:bCs w:val="1"/>
          <w:color w:val="auto"/>
        </w:rPr>
        <w:t>PART II. OTHER INFORMATION</w:t>
      </w:r>
    </w:p>
    <w:p>
      <w:pPr>
        <w:spacing w:after="0" w:line="185"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1.</w:t>
      </w:r>
      <w:r>
        <w:rPr>
          <w:sz w:val="20"/>
          <w:szCs w:val="20"/>
          <w:color w:val="auto"/>
        </w:rPr>
        <w:tab/>
      </w:r>
      <w:r>
        <w:rPr>
          <w:rFonts w:ascii="Calibri" w:cs="Calibri" w:eastAsia="Calibri" w:hAnsi="Calibri"/>
          <w:sz w:val="17"/>
          <w:szCs w:val="17"/>
          <w:color w:val="auto"/>
        </w:rPr>
        <w:t>LEGAL PROCEEDINGS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13"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18"/>
          <w:szCs w:val="18"/>
          <w:color w:val="auto"/>
        </w:rPr>
        <w:t>ITEM 1A.</w:t>
      </w:r>
      <w:r>
        <w:rPr>
          <w:sz w:val="20"/>
          <w:szCs w:val="20"/>
          <w:color w:val="auto"/>
        </w:rPr>
        <w:tab/>
      </w:r>
      <w:r>
        <w:rPr>
          <w:rFonts w:ascii="Calibri" w:cs="Calibri" w:eastAsia="Calibri" w:hAnsi="Calibri"/>
          <w:sz w:val="17"/>
          <w:szCs w:val="17"/>
          <w:color w:val="auto"/>
        </w:rPr>
        <w:t>RISK FACTORS</w:t>
      </w:r>
    </w:p>
    <w:p>
      <w:pPr>
        <w:spacing w:after="0" w:line="163" w:lineRule="exact"/>
        <w:rPr>
          <w:sz w:val="20"/>
          <w:szCs w:val="20"/>
          <w:color w:val="auto"/>
        </w:rPr>
      </w:pPr>
    </w:p>
    <w:p>
      <w:pPr>
        <w:spacing w:after="0"/>
        <w:rPr>
          <w:rFonts w:ascii="Calibri" w:cs="Calibri" w:eastAsia="Calibri" w:hAnsi="Calibri"/>
          <w:sz w:val="17"/>
          <w:szCs w:val="17"/>
          <w:color w:val="auto"/>
        </w:rPr>
      </w:pPr>
      <w:r>
        <w:rPr>
          <w:rFonts w:ascii="Calibri" w:cs="Calibri" w:eastAsia="Calibri" w:hAnsi="Calibri"/>
          <w:sz w:val="17"/>
          <w:szCs w:val="17"/>
          <w:color w:val="auto"/>
        </w:rPr>
        <w:t xml:space="preserve">There have been no material changes to our risk factors from those disclosed in our </w:t>
      </w:r>
      <w:hyperlink r:id="rId18">
        <w:r>
          <w:rPr>
            <w:rFonts w:ascii="Calibri" w:cs="Calibri" w:eastAsia="Calibri" w:hAnsi="Calibri"/>
            <w:sz w:val="17"/>
            <w:szCs w:val="17"/>
            <w:u w:val="single" w:color="auto"/>
            <w:color w:val="0000FF"/>
          </w:rPr>
          <w:t>Annual Report on Form 10-K for the fscal year ended March 31, 2024</w:t>
        </w:r>
      </w:hyperlink>
      <w:r>
        <w:rPr>
          <w:rFonts w:ascii="Calibri" w:cs="Calibri" w:eastAsia="Calibri" w:hAnsi="Calibri"/>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UNREGISTERED SALES OF EQUITY SECURITIES AND USE OF PROCEEDS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stock, initally approved on May 29, 2014 and subsequently amended from tme to tme. The repurchase plan has no expiraton date. The shares may be purchased on the open market or in privately negotated transactons subject to applicable securites laws and regulatons. The following table sets forth informaton concerning purchases of our common stock for the three months ended June 30, 2024:</w:t>
      </w:r>
    </w:p>
    <w:p>
      <w:pPr>
        <w:spacing w:after="0" w:line="15"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rPr>
              <w:t>Total Number of Shares</w:t>
            </w: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Maximum Number of Shares</w:t>
            </w: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134"/>
              <w:spacing w:after="0" w:line="162" w:lineRule="exact"/>
              <w:rPr>
                <w:sz w:val="20"/>
                <w:szCs w:val="20"/>
                <w:color w:val="auto"/>
              </w:rPr>
            </w:pPr>
            <w:r>
              <w:rPr>
                <w:rFonts w:ascii="Calibri" w:cs="Calibri" w:eastAsia="Calibri" w:hAnsi="Calibri"/>
                <w:sz w:val="16"/>
                <w:szCs w:val="16"/>
                <w:b w:val="1"/>
                <w:bCs w:val="1"/>
                <w:color w:val="auto"/>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Publicly Announced Plan or</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9"/>
              </w:rPr>
              <w:t>that May Yet be Purchased</w:t>
            </w:r>
          </w:p>
        </w:tc>
      </w:tr>
      <w:tr>
        <w:trPr>
          <w:trHeight w:val="193"/>
        </w:trPr>
        <w:tc>
          <w:tcPr>
            <w:tcW w:w="25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Period</w:t>
            </w:r>
          </w:p>
        </w:tc>
        <w:tc>
          <w:tcPr>
            <w:tcW w:w="1500" w:type="dxa"/>
            <w:vAlign w:val="bottom"/>
          </w:tcPr>
          <w:p>
            <w:pPr>
              <w:jc w:val="right"/>
              <w:ind w:right="74"/>
              <w:spacing w:after="0" w:line="193" w:lineRule="exact"/>
              <w:rPr>
                <w:sz w:val="20"/>
                <w:szCs w:val="20"/>
                <w:color w:val="auto"/>
              </w:rPr>
            </w:pPr>
            <w:r>
              <w:rPr>
                <w:rFonts w:ascii="Calibri" w:cs="Calibri" w:eastAsia="Calibri" w:hAnsi="Calibri"/>
                <w:sz w:val="16"/>
                <w:szCs w:val="16"/>
                <w:b w:val="1"/>
                <w:bCs w:val="1"/>
                <w:color w:val="auto"/>
              </w:rPr>
              <w:t>Shares Purchased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Per Share</w:t>
            </w:r>
          </w:p>
        </w:tc>
        <w:tc>
          <w:tcPr>
            <w:tcW w:w="19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Program</w:t>
            </w:r>
          </w:p>
        </w:tc>
        <w:tc>
          <w:tcPr>
            <w:tcW w:w="100" w:type="dxa"/>
            <w:vAlign w:val="bottom"/>
          </w:tcPr>
          <w:p>
            <w:pPr>
              <w:spacing w:after="0"/>
              <w:rPr>
                <w:sz w:val="16"/>
                <w:szCs w:val="16"/>
                <w:color w:val="auto"/>
              </w:rPr>
            </w:pPr>
          </w:p>
        </w:tc>
        <w:tc>
          <w:tcPr>
            <w:tcW w:w="21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under Plans or Programs</w:t>
            </w:r>
          </w:p>
        </w:tc>
      </w:tr>
      <w:tr>
        <w:trPr>
          <w:trHeight w:val="28"/>
        </w:trPr>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04/01/2024-04/28/2024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shd w:val="clear" w:color="auto" w:fill="CCEEFF"/>
          </w:tcPr>
          <w:p>
            <w:pPr>
              <w:ind w:left="1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937,487</w:t>
            </w:r>
          </w:p>
        </w:tc>
      </w:tr>
      <w:tr>
        <w:trPr>
          <w:trHeight w:val="222"/>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04/29/2024-05/26/2024</w:t>
            </w: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line="215"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937,487</w:t>
            </w:r>
          </w:p>
        </w:tc>
      </w:tr>
      <w:tr>
        <w:trPr>
          <w:trHeight w:val="230"/>
        </w:trPr>
        <w:tc>
          <w:tcPr>
            <w:tcW w:w="2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05/27/2024-06/30/2024</w:t>
            </w:r>
          </w:p>
        </w:tc>
        <w:tc>
          <w:tcPr>
            <w:tcW w:w="12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105,541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80"/>
              <w:spacing w:after="0"/>
              <w:rPr>
                <w:sz w:val="20"/>
                <w:szCs w:val="20"/>
                <w:color w:val="auto"/>
              </w:rPr>
            </w:pPr>
            <w:r>
              <w:rPr>
                <w:rFonts w:ascii="Calibri" w:cs="Calibri" w:eastAsia="Calibri" w:hAnsi="Calibri"/>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105,541</w:t>
            </w:r>
          </w:p>
        </w:tc>
        <w:tc>
          <w:tcPr>
            <w:tcW w:w="22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831,946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3020" w:type="dxa"/>
            <w:vAlign w:val="bottom"/>
          </w:tcPr>
          <w:p>
            <w:pPr>
              <w:ind w:left="200"/>
              <w:spacing w:after="0" w:line="215" w:lineRule="exact"/>
              <w:rPr>
                <w:sz w:val="20"/>
                <w:szCs w:val="20"/>
                <w:color w:val="auto"/>
              </w:rPr>
            </w:pPr>
            <w:r>
              <w:rPr>
                <w:rFonts w:ascii="Calibri" w:cs="Calibri" w:eastAsia="Calibri" w:hAnsi="Calibri"/>
                <w:sz w:val="18"/>
                <w:szCs w:val="18"/>
                <w:color w:val="auto"/>
              </w:rPr>
              <w:t>Total</w:t>
            </w:r>
          </w:p>
        </w:tc>
        <w:tc>
          <w:tcPr>
            <w:tcW w:w="2480" w:type="dxa"/>
            <w:vAlign w:val="bottom"/>
          </w:tcPr>
          <w:p>
            <w:pPr>
              <w:jc w:val="right"/>
              <w:ind w:right="1570"/>
              <w:spacing w:after="0" w:line="215" w:lineRule="exact"/>
              <w:rPr>
                <w:sz w:val="20"/>
                <w:szCs w:val="20"/>
                <w:color w:val="auto"/>
              </w:rPr>
            </w:pPr>
            <w:r>
              <w:rPr>
                <w:rFonts w:ascii="Calibri" w:cs="Calibri" w:eastAsia="Calibri" w:hAnsi="Calibri"/>
                <w:sz w:val="18"/>
                <w:szCs w:val="18"/>
                <w:color w:val="auto"/>
              </w:rPr>
              <w:t>105,541</w:t>
            </w: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color w:val="auto"/>
              </w:rPr>
              <w:t>105,541</w:t>
            </w:r>
          </w:p>
        </w:tc>
      </w:tr>
      <w:tr>
        <w:trPr>
          <w:trHeight w:val="545"/>
        </w:trPr>
        <w:tc>
          <w:tcPr>
            <w:tcW w:w="700" w:type="dxa"/>
            <w:vAlign w:val="bottom"/>
          </w:tcPr>
          <w:p>
            <w:pPr>
              <w:spacing w:after="0"/>
              <w:rPr>
                <w:sz w:val="20"/>
                <w:szCs w:val="20"/>
                <w:color w:val="auto"/>
              </w:rPr>
            </w:pPr>
            <w:r>
              <w:rPr>
                <w:rFonts w:ascii="Calibri" w:cs="Calibri" w:eastAsia="Calibri" w:hAnsi="Calibri"/>
                <w:sz w:val="18"/>
                <w:szCs w:val="18"/>
                <w:color w:val="auto"/>
              </w:rPr>
              <w:t>ITEM 3.</w:t>
            </w:r>
          </w:p>
        </w:tc>
        <w:tc>
          <w:tcPr>
            <w:tcW w:w="3020" w:type="dxa"/>
            <w:vAlign w:val="bottom"/>
          </w:tcPr>
          <w:p>
            <w:pPr>
              <w:ind w:left="160"/>
              <w:spacing w:after="0"/>
              <w:rPr>
                <w:sz w:val="20"/>
                <w:szCs w:val="20"/>
                <w:color w:val="auto"/>
              </w:rPr>
            </w:pPr>
            <w:r>
              <w:rPr>
                <w:rFonts w:ascii="Calibri" w:cs="Calibri" w:eastAsia="Calibri" w:hAnsi="Calibri"/>
                <w:sz w:val="18"/>
                <w:szCs w:val="18"/>
                <w:color w:val="auto"/>
              </w:rPr>
              <w:t>DEFAULTS UPON SENIOR SECURITIES</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Calibri" w:cs="Calibri" w:eastAsia="Calibri" w:hAnsi="Calibri"/>
                <w:sz w:val="18"/>
                <w:szCs w:val="18"/>
                <w:color w:val="auto"/>
              </w:rPr>
              <w:t>None.</w:t>
            </w:r>
          </w:p>
        </w:tc>
        <w:tc>
          <w:tcPr>
            <w:tcW w:w="3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Calibri" w:cs="Calibri" w:eastAsia="Calibri" w:hAnsi="Calibri"/>
                <w:sz w:val="18"/>
                <w:szCs w:val="18"/>
                <w:color w:val="auto"/>
              </w:rPr>
              <w:t>ITEM 4.</w:t>
            </w:r>
          </w:p>
        </w:tc>
        <w:tc>
          <w:tcPr>
            <w:tcW w:w="3020" w:type="dxa"/>
            <w:vAlign w:val="bottom"/>
          </w:tcPr>
          <w:p>
            <w:pPr>
              <w:ind w:left="160"/>
              <w:spacing w:after="0"/>
              <w:rPr>
                <w:sz w:val="20"/>
                <w:szCs w:val="20"/>
                <w:color w:val="auto"/>
              </w:rPr>
            </w:pPr>
            <w:r>
              <w:rPr>
                <w:rFonts w:ascii="Calibri" w:cs="Calibri" w:eastAsia="Calibri" w:hAnsi="Calibri"/>
                <w:sz w:val="18"/>
                <w:szCs w:val="18"/>
                <w:color w:val="auto"/>
              </w:rPr>
              <w:t>MINE SAFETY DISCLOSURES</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3720" w:type="dxa"/>
            <w:vAlign w:val="bottom"/>
            <w:gridSpan w:val="2"/>
          </w:tcPr>
          <w:p>
            <w:pPr>
              <w:spacing w:after="0"/>
              <w:rPr>
                <w:sz w:val="20"/>
                <w:szCs w:val="20"/>
                <w:color w:val="auto"/>
              </w:rPr>
            </w:pPr>
            <w:r>
              <w:rPr>
                <w:rFonts w:ascii="Calibri" w:cs="Calibri" w:eastAsia="Calibri" w:hAnsi="Calibri"/>
                <w:sz w:val="18"/>
                <w:szCs w:val="18"/>
                <w:color w:val="auto"/>
              </w:rPr>
              <w:t>Not Applicable.</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Calibri" w:cs="Calibri" w:eastAsia="Calibri" w:hAnsi="Calibri"/>
                <w:sz w:val="18"/>
                <w:szCs w:val="18"/>
                <w:color w:val="auto"/>
              </w:rPr>
              <w:t>ITEM 5.</w:t>
            </w:r>
          </w:p>
        </w:tc>
        <w:tc>
          <w:tcPr>
            <w:tcW w:w="3020" w:type="dxa"/>
            <w:vAlign w:val="bottom"/>
          </w:tcPr>
          <w:p>
            <w:pPr>
              <w:ind w:left="160"/>
              <w:spacing w:after="0"/>
              <w:rPr>
                <w:sz w:val="20"/>
                <w:szCs w:val="20"/>
                <w:color w:val="auto"/>
              </w:rPr>
            </w:pPr>
            <w:r>
              <w:rPr>
                <w:rFonts w:ascii="Calibri" w:cs="Calibri" w:eastAsia="Calibri" w:hAnsi="Calibri"/>
                <w:sz w:val="18"/>
                <w:szCs w:val="18"/>
                <w:color w:val="auto"/>
              </w:rPr>
              <w:t>OTHER INFORMATION</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31" w:lineRule="exact"/>
        <w:rPr>
          <w:sz w:val="20"/>
          <w:szCs w:val="20"/>
          <w:color w:val="auto"/>
        </w:rPr>
      </w:pPr>
    </w:p>
    <w:p>
      <w:pPr>
        <w:ind w:right="220"/>
        <w:spacing w:after="0" w:line="239" w:lineRule="auto"/>
        <w:rPr>
          <w:sz w:val="20"/>
          <w:szCs w:val="20"/>
          <w:color w:val="auto"/>
        </w:rPr>
      </w:pPr>
      <w:r>
        <w:rPr>
          <w:rFonts w:ascii="Calibri" w:cs="Calibri" w:eastAsia="Calibri" w:hAnsi="Calibri"/>
          <w:sz w:val="17"/>
          <w:szCs w:val="17"/>
          <w:color w:val="auto"/>
        </w:rPr>
        <w:t>None of the Company’s directors or ofcers (as defned in Rule 16a-1(f) of the Exchange Act) adopted, modifed or terminated any contract, instructon, or writen plan for the purchase or sale of the Company’s securites that was intended to satsfy the afrmatve defense conditons of Rule 10b5-1(c) of the Exchange Act or any non-Rule 10b5-1 trading arrangement (as defned in Item 408(c) of Regulaton S-K) during the three months ended June 30, 2024.</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840" w:type="dxa"/>
            <w:vAlign w:val="bottom"/>
          </w:tcPr>
          <w:p>
            <w:pPr>
              <w:jc w:val="right"/>
              <w:ind w:right="212"/>
              <w:spacing w:after="0"/>
              <w:rPr>
                <w:sz w:val="20"/>
                <w:szCs w:val="20"/>
                <w:color w:val="auto"/>
              </w:rPr>
            </w:pPr>
            <w:r>
              <w:rPr>
                <w:rFonts w:ascii="Calibri" w:cs="Calibri" w:eastAsia="Calibri" w:hAnsi="Calibri"/>
                <w:sz w:val="18"/>
                <w:szCs w:val="18"/>
                <w:color w:val="auto"/>
                <w:w w:val="94"/>
              </w:rPr>
              <w:t>ITEM 6.</w:t>
            </w:r>
          </w:p>
        </w:tc>
        <w:tc>
          <w:tcPr>
            <w:tcW w:w="7980" w:type="dxa"/>
            <w:vAlign w:val="bottom"/>
            <w:gridSpan w:val="9"/>
          </w:tcPr>
          <w:p>
            <w:pPr>
              <w:ind w:left="20"/>
              <w:spacing w:after="0"/>
              <w:rPr>
                <w:sz w:val="20"/>
                <w:szCs w:val="20"/>
                <w:color w:val="auto"/>
              </w:rPr>
            </w:pPr>
            <w:r>
              <w:rPr>
                <w:rFonts w:ascii="Calibri" w:cs="Calibri" w:eastAsia="Calibri" w:hAnsi="Calibri"/>
                <w:sz w:val="18"/>
                <w:szCs w:val="18"/>
                <w:color w:val="auto"/>
              </w:rPr>
              <w:t>EXHIBITS</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6"/>
        </w:trPr>
        <w:tc>
          <w:tcPr>
            <w:tcW w:w="840" w:type="dxa"/>
            <w:vAlign w:val="bottom"/>
          </w:tcPr>
          <w:p>
            <w:pPr>
              <w:jc w:val="right"/>
              <w:ind w:right="52"/>
              <w:spacing w:after="0"/>
              <w:rPr>
                <w:sz w:val="20"/>
                <w:szCs w:val="20"/>
                <w:color w:val="auto"/>
              </w:rPr>
            </w:pPr>
            <w:r>
              <w:rPr>
                <w:rFonts w:ascii="Calibri" w:cs="Calibri" w:eastAsia="Calibri" w:hAnsi="Calibri"/>
                <w:sz w:val="14"/>
                <w:szCs w:val="14"/>
                <w:color w:val="auto"/>
              </w:rPr>
              <w:t>Exhibit</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Borders>
              <w:bottom w:val="single" w:sz="8" w:color="auto"/>
            </w:tcBorders>
            <w:gridSpan w:val="3"/>
          </w:tcPr>
          <w:p>
            <w:pPr>
              <w:spacing w:after="0"/>
              <w:rPr>
                <w:sz w:val="20"/>
                <w:szCs w:val="20"/>
                <w:color w:val="auto"/>
              </w:rPr>
            </w:pPr>
            <w:r>
              <w:rPr>
                <w:rFonts w:ascii="Calibri" w:cs="Calibri" w:eastAsia="Calibri" w:hAnsi="Calibri"/>
                <w:sz w:val="14"/>
                <w:szCs w:val="14"/>
                <w:color w:val="auto"/>
              </w:rPr>
              <w:t>Descripton</w:t>
            </w:r>
          </w:p>
        </w:tc>
        <w:tc>
          <w:tcPr>
            <w:tcW w:w="374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Method of Filing</w:t>
            </w:r>
          </w:p>
        </w:tc>
        <w:tc>
          <w:tcPr>
            <w:tcW w:w="460" w:type="dxa"/>
            <w:vAlign w:val="bottom"/>
          </w:tcPr>
          <w:p>
            <w:pPr>
              <w:spacing w:after="0"/>
              <w:rPr>
                <w:sz w:val="16"/>
                <w:szCs w:val="16"/>
                <w:color w:val="auto"/>
              </w:rPr>
            </w:pPr>
          </w:p>
        </w:tc>
      </w:tr>
      <w:tr>
        <w:trPr>
          <w:trHeight w:val="223"/>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3.1</w:t>
            </w:r>
          </w:p>
        </w:tc>
        <w:tc>
          <w:tcPr>
            <w:tcW w:w="7980" w:type="dxa"/>
            <w:vAlign w:val="bottom"/>
            <w:gridSpan w:val="9"/>
          </w:tcPr>
          <w:p>
            <w:pPr>
              <w:spacing w:after="0"/>
              <w:rPr>
                <w:rFonts w:ascii="Calibri" w:cs="Calibri" w:eastAsia="Calibri" w:hAnsi="Calibri"/>
                <w:sz w:val="18"/>
                <w:szCs w:val="18"/>
                <w:color w:val="0000FF"/>
              </w:rPr>
            </w:pPr>
            <w:hyperlink r:id="rId40">
              <w:r>
                <w:rPr>
                  <w:rFonts w:ascii="Calibri" w:cs="Calibri" w:eastAsia="Calibri" w:hAnsi="Calibri"/>
                  <w:sz w:val="18"/>
                  <w:szCs w:val="18"/>
                  <w:color w:val="0000FF"/>
                </w:rPr>
                <w:t xml:space="preserve">Restated Artcles of Incorporaton. </w:t>
              </w:r>
            </w:hyperlink>
            <w:r>
              <w:rPr>
                <w:rFonts w:ascii="Calibri" w:cs="Calibri" w:eastAsia="Calibri" w:hAnsi="Calibri"/>
                <w:sz w:val="18"/>
                <w:szCs w:val="18"/>
                <w:color w:val="000000"/>
              </w:rPr>
              <w:t>(1)</w:t>
            </w:r>
          </w:p>
        </w:tc>
        <w:tc>
          <w:tcPr>
            <w:tcW w:w="2140" w:type="dxa"/>
            <w:vAlign w:val="bottom"/>
            <w:gridSpan w:val="3"/>
          </w:tcPr>
          <w:p>
            <w:pPr>
              <w:jc w:val="center"/>
              <w:ind w:left="150"/>
              <w:spacing w:after="0"/>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w:t>
            </w:r>
          </w:p>
        </w:tc>
        <w:tc>
          <w:tcPr>
            <w:tcW w:w="7980" w:type="dxa"/>
            <w:vAlign w:val="bottom"/>
            <w:gridSpan w:val="9"/>
          </w:tcPr>
          <w:p>
            <w:pPr>
              <w:spacing w:after="0" w:line="209" w:lineRule="exact"/>
              <w:rPr>
                <w:rFonts w:ascii="Calibri" w:cs="Calibri" w:eastAsia="Calibri" w:hAnsi="Calibri"/>
                <w:sz w:val="18"/>
                <w:szCs w:val="18"/>
                <w:color w:val="0000FF"/>
              </w:rPr>
            </w:pPr>
            <w:hyperlink r:id="rId41">
              <w:r>
                <w:rPr>
                  <w:rFonts w:ascii="Calibri" w:cs="Calibri" w:eastAsia="Calibri" w:hAnsi="Calibri"/>
                  <w:sz w:val="18"/>
                  <w:szCs w:val="18"/>
                  <w:color w:val="0000FF"/>
                </w:rPr>
                <w:t xml:space="preserve">Amended and Restated By-Laws. </w:t>
              </w:r>
            </w:hyperlink>
            <w:r>
              <w:rPr>
                <w:rFonts w:ascii="Calibri" w:cs="Calibri" w:eastAsia="Calibri" w:hAnsi="Calibri"/>
                <w:sz w:val="18"/>
                <w:szCs w:val="18"/>
                <w:color w:val="000000"/>
              </w:rPr>
              <w:t>(2)</w:t>
            </w:r>
          </w:p>
        </w:tc>
        <w:tc>
          <w:tcPr>
            <w:tcW w:w="2140" w:type="dxa"/>
            <w:vAlign w:val="bottom"/>
            <w:gridSpan w:val="3"/>
          </w:tcPr>
          <w:p>
            <w:pPr>
              <w:jc w:val="center"/>
              <w:ind w:left="150"/>
              <w:spacing w:after="0" w:line="209" w:lineRule="exact"/>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31.1</w:t>
            </w:r>
          </w:p>
        </w:tc>
        <w:tc>
          <w:tcPr>
            <w:tcW w:w="7980" w:type="dxa"/>
            <w:vAlign w:val="bottom"/>
            <w:gridSpan w:val="9"/>
          </w:tcPr>
          <w:p>
            <w:pPr>
              <w:spacing w:after="0" w:line="209" w:lineRule="exact"/>
              <w:rPr>
                <w:sz w:val="20"/>
                <w:szCs w:val="20"/>
                <w:color w:val="auto"/>
              </w:rPr>
            </w:pPr>
            <w:r>
              <w:rPr>
                <w:rFonts w:ascii="Calibri" w:cs="Calibri" w:eastAsia="Calibri" w:hAnsi="Calibri"/>
                <w:sz w:val="18"/>
                <w:szCs w:val="18"/>
                <w:color w:val="0000FF"/>
              </w:rPr>
              <w:t>Certfcaton by Chief Executve Ofcer pursuant to Rule 13a-14(a) of the Exchange Act.</w:t>
            </w:r>
          </w:p>
        </w:tc>
        <w:tc>
          <w:tcPr>
            <w:tcW w:w="2140" w:type="dxa"/>
            <w:vAlign w:val="bottom"/>
            <w:gridSpan w:val="3"/>
          </w:tcPr>
          <w:p>
            <w:pPr>
              <w:jc w:val="center"/>
              <w:ind w:left="15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31.2</w:t>
            </w:r>
          </w:p>
        </w:tc>
        <w:tc>
          <w:tcPr>
            <w:tcW w:w="6120" w:type="dxa"/>
            <w:vAlign w:val="bottom"/>
            <w:tcBorders>
              <w:top w:val="single" w:sz="8" w:color="0000FF"/>
              <w:bottom w:val="single" w:sz="8" w:color="0000FF"/>
            </w:tcBorders>
            <w:gridSpan w:val="7"/>
          </w:tcPr>
          <w:p>
            <w:pPr>
              <w:spacing w:after="0" w:line="209" w:lineRule="exact"/>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40" w:type="dxa"/>
            <w:vAlign w:val="bottom"/>
            <w:tcBorders>
              <w:top w:val="single" w:sz="8" w:color="0000FF"/>
            </w:tcBorders>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gridSpan w:val="3"/>
          </w:tcPr>
          <w:p>
            <w:pPr>
              <w:jc w:val="center"/>
              <w:ind w:left="15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32.1</w:t>
            </w:r>
          </w:p>
        </w:tc>
        <w:tc>
          <w:tcPr>
            <w:tcW w:w="3720" w:type="dxa"/>
            <w:vAlign w:val="bottom"/>
            <w:tcBorders>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rPr>
              <w:t>Secton 1350 Certfcaton by Chief Executve Ofcer.</w:t>
            </w:r>
          </w:p>
        </w:tc>
        <w:tc>
          <w:tcPr>
            <w:tcW w:w="4260" w:type="dxa"/>
            <w:vAlign w:val="bottom"/>
            <w:gridSpan w:val="4"/>
          </w:tcPr>
          <w:p>
            <w:pPr>
              <w:spacing w:after="0"/>
              <w:rPr>
                <w:sz w:val="18"/>
                <w:szCs w:val="18"/>
                <w:color w:val="auto"/>
              </w:rPr>
            </w:pPr>
          </w:p>
        </w:tc>
        <w:tc>
          <w:tcPr>
            <w:tcW w:w="2140" w:type="dxa"/>
            <w:vAlign w:val="bottom"/>
            <w:gridSpan w:val="3"/>
          </w:tcPr>
          <w:p>
            <w:pPr>
              <w:jc w:val="center"/>
              <w:ind w:left="15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32.2</w:t>
            </w:r>
          </w:p>
        </w:tc>
        <w:tc>
          <w:tcPr>
            <w:tcW w:w="368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rPr>
              <w:t>Secton 1350 Certfcaton by Chief Financial Ofcer.</w:t>
            </w:r>
          </w:p>
        </w:tc>
        <w:tc>
          <w:tcPr>
            <w:tcW w:w="4300" w:type="dxa"/>
            <w:vAlign w:val="bottom"/>
            <w:gridSpan w:val="5"/>
          </w:tcPr>
          <w:p>
            <w:pPr>
              <w:spacing w:after="0"/>
              <w:rPr>
                <w:sz w:val="18"/>
                <w:szCs w:val="18"/>
                <w:color w:val="auto"/>
              </w:rPr>
            </w:pPr>
          </w:p>
        </w:tc>
        <w:tc>
          <w:tcPr>
            <w:tcW w:w="2140" w:type="dxa"/>
            <w:vAlign w:val="bottom"/>
            <w:gridSpan w:val="3"/>
          </w:tcPr>
          <w:p>
            <w:pPr>
              <w:jc w:val="center"/>
              <w:ind w:left="15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1"/>
        </w:trPr>
        <w:tc>
          <w:tcPr>
            <w:tcW w:w="840" w:type="dxa"/>
            <w:vAlign w:val="bottom"/>
          </w:tcPr>
          <w:p>
            <w:pPr>
              <w:jc w:val="right"/>
              <w:ind w:right="92"/>
              <w:spacing w:after="0" w:line="201" w:lineRule="exact"/>
              <w:rPr>
                <w:sz w:val="20"/>
                <w:szCs w:val="20"/>
                <w:color w:val="auto"/>
              </w:rPr>
            </w:pPr>
            <w:r>
              <w:rPr>
                <w:rFonts w:ascii="Calibri" w:cs="Calibri" w:eastAsia="Calibri" w:hAnsi="Calibri"/>
                <w:sz w:val="18"/>
                <w:szCs w:val="18"/>
                <w:color w:val="auto"/>
              </w:rPr>
              <w:t>101</w:t>
            </w:r>
          </w:p>
        </w:tc>
        <w:tc>
          <w:tcPr>
            <w:tcW w:w="7980" w:type="dxa"/>
            <w:vAlign w:val="bottom"/>
            <w:gridSpan w:val="9"/>
          </w:tcPr>
          <w:p>
            <w:pPr>
              <w:spacing w:after="0" w:line="201" w:lineRule="exact"/>
              <w:rPr>
                <w:sz w:val="20"/>
                <w:szCs w:val="20"/>
                <w:color w:val="auto"/>
              </w:rPr>
            </w:pPr>
            <w:r>
              <w:rPr>
                <w:rFonts w:ascii="Calibri" w:cs="Calibri" w:eastAsia="Calibri" w:hAnsi="Calibri"/>
                <w:sz w:val="18"/>
                <w:szCs w:val="18"/>
                <w:color w:val="auto"/>
              </w:rPr>
              <w:t>Financial statements from the Quarterly Report on Form 10-Q of Hawkins, Inc. for the period ended June 30,</w:t>
            </w:r>
          </w:p>
        </w:tc>
        <w:tc>
          <w:tcPr>
            <w:tcW w:w="2140" w:type="dxa"/>
            <w:vAlign w:val="bottom"/>
            <w:gridSpan w:val="3"/>
          </w:tcPr>
          <w:p>
            <w:pPr>
              <w:jc w:val="center"/>
              <w:ind w:left="150"/>
              <w:spacing w:after="0" w:line="201" w:lineRule="exact"/>
              <w:rPr>
                <w:sz w:val="20"/>
                <w:szCs w:val="20"/>
                <w:color w:val="auto"/>
              </w:rPr>
            </w:pPr>
            <w:r>
              <w:rPr>
                <w:rFonts w:ascii="Calibri" w:cs="Calibri" w:eastAsia="Calibri" w:hAnsi="Calibri"/>
                <w:sz w:val="18"/>
                <w:szCs w:val="18"/>
                <w:color w:val="auto"/>
                <w:w w:val="98"/>
              </w:rPr>
              <w:t>Filed Electronically</w:t>
            </w:r>
          </w:p>
        </w:tc>
      </w:tr>
      <w:tr>
        <w:trPr>
          <w:trHeight w:val="189"/>
        </w:trPr>
        <w:tc>
          <w:tcPr>
            <w:tcW w:w="840" w:type="dxa"/>
            <w:vAlign w:val="bottom"/>
          </w:tcPr>
          <w:p>
            <w:pPr>
              <w:spacing w:after="0"/>
              <w:rPr>
                <w:sz w:val="16"/>
                <w:szCs w:val="16"/>
                <w:color w:val="auto"/>
              </w:rPr>
            </w:pPr>
          </w:p>
        </w:tc>
        <w:tc>
          <w:tcPr>
            <w:tcW w:w="7980" w:type="dxa"/>
            <w:vAlign w:val="bottom"/>
            <w:gridSpan w:val="9"/>
          </w:tcPr>
          <w:p>
            <w:pPr>
              <w:spacing w:after="0" w:line="189" w:lineRule="exact"/>
              <w:rPr>
                <w:sz w:val="20"/>
                <w:szCs w:val="20"/>
                <w:color w:val="auto"/>
              </w:rPr>
            </w:pPr>
            <w:r>
              <w:rPr>
                <w:rFonts w:ascii="Calibri" w:cs="Calibri" w:eastAsia="Calibri" w:hAnsi="Calibri"/>
                <w:sz w:val="18"/>
                <w:szCs w:val="18"/>
                <w:color w:val="auto"/>
              </w:rPr>
              <w:t>2024 fled with the SEC on July 31, 2024 formated in Inline Extensible Business Reportng Language (iXBRL);</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80" w:type="dxa"/>
            <w:vAlign w:val="bottom"/>
            <w:gridSpan w:val="9"/>
          </w:tcPr>
          <w:p>
            <w:pPr>
              <w:spacing w:after="0" w:line="175" w:lineRule="exact"/>
              <w:rPr>
                <w:sz w:val="20"/>
                <w:szCs w:val="20"/>
                <w:color w:val="auto"/>
              </w:rPr>
            </w:pPr>
            <w:r>
              <w:rPr>
                <w:rFonts w:ascii="Calibri" w:cs="Calibri" w:eastAsia="Calibri" w:hAnsi="Calibri"/>
                <w:sz w:val="18"/>
                <w:szCs w:val="18"/>
                <w:color w:val="auto"/>
              </w:rPr>
              <w:t>(i) the Condensed Consolidated Balance Sheets at June 30, 2024 and March 31, 2024, (ii) the Condensed</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80" w:type="dxa"/>
            <w:vAlign w:val="bottom"/>
            <w:gridSpan w:val="9"/>
          </w:tcPr>
          <w:p>
            <w:pPr>
              <w:spacing w:after="0" w:line="175" w:lineRule="exact"/>
              <w:rPr>
                <w:sz w:val="20"/>
                <w:szCs w:val="20"/>
                <w:color w:val="auto"/>
              </w:rPr>
            </w:pPr>
            <w:r>
              <w:rPr>
                <w:rFonts w:ascii="Calibri" w:cs="Calibri" w:eastAsia="Calibri" w:hAnsi="Calibri"/>
                <w:sz w:val="18"/>
                <w:szCs w:val="18"/>
                <w:color w:val="auto"/>
              </w:rPr>
              <w:t>Consolidated Statements of Income for the three months ended June 30, 2024 and July 2, 2023, (iii) the</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80" w:type="dxa"/>
            <w:vAlign w:val="bottom"/>
            <w:gridSpan w:val="9"/>
          </w:tcPr>
          <w:p>
            <w:pPr>
              <w:spacing w:after="0" w:line="189" w:lineRule="exact"/>
              <w:rPr>
                <w:sz w:val="20"/>
                <w:szCs w:val="20"/>
                <w:color w:val="auto"/>
              </w:rPr>
            </w:pPr>
            <w:r>
              <w:rPr>
                <w:rFonts w:ascii="Calibri" w:cs="Calibri" w:eastAsia="Calibri" w:hAnsi="Calibri"/>
                <w:sz w:val="18"/>
                <w:szCs w:val="18"/>
                <w:color w:val="auto"/>
              </w:rPr>
              <w:t>Condensed Consolidated Statements of Comprehensive Income for the three months ended June 30, 2024</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80" w:type="dxa"/>
            <w:vAlign w:val="bottom"/>
            <w:gridSpan w:val="9"/>
          </w:tcPr>
          <w:p>
            <w:pPr>
              <w:spacing w:after="0" w:line="175" w:lineRule="exact"/>
              <w:rPr>
                <w:sz w:val="20"/>
                <w:szCs w:val="20"/>
                <w:color w:val="auto"/>
              </w:rPr>
            </w:pPr>
            <w:r>
              <w:rPr>
                <w:rFonts w:ascii="Calibri" w:cs="Calibri" w:eastAsia="Calibri" w:hAnsi="Calibri"/>
                <w:sz w:val="18"/>
                <w:szCs w:val="18"/>
                <w:color w:val="auto"/>
              </w:rPr>
              <w:t>and July 2, 2023, (iv) the Condensed Consolidated Statements of Shareholder's Equity for the three months</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80" w:type="dxa"/>
            <w:vAlign w:val="bottom"/>
            <w:gridSpan w:val="9"/>
          </w:tcPr>
          <w:p>
            <w:pPr>
              <w:spacing w:after="0" w:line="175" w:lineRule="exact"/>
              <w:rPr>
                <w:sz w:val="20"/>
                <w:szCs w:val="20"/>
                <w:color w:val="auto"/>
              </w:rPr>
            </w:pPr>
            <w:r>
              <w:rPr>
                <w:rFonts w:ascii="Calibri" w:cs="Calibri" w:eastAsia="Calibri" w:hAnsi="Calibri"/>
                <w:sz w:val="18"/>
                <w:szCs w:val="18"/>
                <w:color w:val="auto"/>
              </w:rPr>
              <w:t>ended June 30, 2024 and July 2, 2023, (v) the Condensed Consolidated Statements of Cash Flows for the</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80" w:type="dxa"/>
            <w:vAlign w:val="bottom"/>
            <w:gridSpan w:val="9"/>
          </w:tcPr>
          <w:p>
            <w:pPr>
              <w:spacing w:after="0" w:line="189" w:lineRule="exact"/>
              <w:rPr>
                <w:sz w:val="20"/>
                <w:szCs w:val="20"/>
                <w:color w:val="auto"/>
              </w:rPr>
            </w:pPr>
            <w:r>
              <w:rPr>
                <w:rFonts w:ascii="Calibri" w:cs="Calibri" w:eastAsia="Calibri" w:hAnsi="Calibri"/>
                <w:sz w:val="18"/>
                <w:szCs w:val="18"/>
                <w:color w:val="auto"/>
              </w:rPr>
              <w:t>three months ended June 30, 2024 and July 2, 2023, and (vi) Notes to Condensed Consolidated Financial</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980" w:type="dxa"/>
            <w:vAlign w:val="bottom"/>
            <w:gridSpan w:val="9"/>
          </w:tcPr>
          <w:p>
            <w:pPr>
              <w:spacing w:after="0" w:line="215" w:lineRule="exact"/>
              <w:rPr>
                <w:sz w:val="20"/>
                <w:szCs w:val="20"/>
                <w:color w:val="auto"/>
              </w:rPr>
            </w:pPr>
            <w:r>
              <w:rPr>
                <w:rFonts w:ascii="Calibri" w:cs="Calibri" w:eastAsia="Calibri" w:hAnsi="Calibri"/>
                <w:sz w:val="18"/>
                <w:szCs w:val="18"/>
                <w:color w:val="auto"/>
              </w:rPr>
              <w:t>Statements.</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104</w:t>
            </w:r>
          </w:p>
        </w:tc>
        <w:tc>
          <w:tcPr>
            <w:tcW w:w="7980" w:type="dxa"/>
            <w:vAlign w:val="bottom"/>
            <w:gridSpan w:val="9"/>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140" w:type="dxa"/>
            <w:vAlign w:val="bottom"/>
            <w:gridSpan w:val="3"/>
          </w:tcPr>
          <w:p>
            <w:pPr>
              <w:jc w:val="center"/>
              <w:ind w:left="150"/>
              <w:spacing w:after="0"/>
              <w:rPr>
                <w:sz w:val="20"/>
                <w:szCs w:val="20"/>
                <w:color w:val="auto"/>
              </w:rPr>
            </w:pPr>
            <w:r>
              <w:rPr>
                <w:rFonts w:ascii="Calibri" w:cs="Calibri" w:eastAsia="Calibri" w:hAnsi="Calibri"/>
                <w:sz w:val="18"/>
                <w:szCs w:val="18"/>
                <w:color w:val="auto"/>
                <w:w w:val="98"/>
              </w:rPr>
              <w:t>Filed Electronically</w:t>
            </w:r>
          </w:p>
        </w:tc>
      </w:tr>
    </w:tbl>
    <w:p>
      <w:pPr>
        <w:spacing w:after="0" w:line="200" w:lineRule="exact"/>
        <w:rPr>
          <w:sz w:val="20"/>
          <w:szCs w:val="20"/>
          <w:color w:val="auto"/>
        </w:rPr>
      </w:pPr>
    </w:p>
    <w:p>
      <w:pPr>
        <w:spacing w:after="0" w:line="377" w:lineRule="exact"/>
        <w:rPr>
          <w:sz w:val="20"/>
          <w:szCs w:val="20"/>
          <w:color w:val="auto"/>
        </w:rPr>
      </w:pPr>
    </w:p>
    <w:p>
      <w:pPr>
        <w:ind w:left="560" w:hanging="309"/>
        <w:spacing w:after="0"/>
        <w:tabs>
          <w:tab w:leader="none" w:pos="5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ind w:left="560" w:hanging="309"/>
        <w:spacing w:after="0" w:line="235" w:lineRule="auto"/>
        <w:tabs>
          <w:tab w:leader="none" w:pos="5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82" w:right="619" w:bottom="1440" w:gutter="0" w:footer="0" w:header="0"/>
        </w:sectPr>
      </w:pPr>
    </w:p>
    <w:bookmarkStart w:id="22" w:name="page23"/>
    <w:bookmarkEnd w:id="22"/>
    <w:p>
      <w:pPr>
        <w:spacing w:after="0" w:line="204" w:lineRule="auto"/>
        <w:framePr w:w="1800" w:h="135" w:wrap="auto" w:vAnchor="page" w:hAnchor="page" w:x="2880" w:y="2057"/>
        <w:rPr>
          <w:rFonts w:ascii="Calibri" w:cs="Calibri" w:eastAsia="Calibri" w:hAnsi="Calibri"/>
          <w:sz w:val="13"/>
          <w:szCs w:val="13"/>
          <w:color w:val="auto"/>
        </w:rPr>
      </w:pPr>
      <w:r>
        <w:rPr>
          <w:rFonts w:ascii="Calibri" w:cs="Calibri" w:eastAsia="Calibri" w:hAnsi="Calibri"/>
          <w:sz w:val="13"/>
          <w:szCs w:val="13"/>
          <w:color w:val="auto"/>
        </w:rPr>
        <w:t>/s/ Jefrey P. Oldenkamp</w:t>
      </w:r>
    </w:p>
    <w:p>
      <w:pPr>
        <w:spacing w:after="0" w:line="204" w:lineRule="auto"/>
        <w:framePr w:w="1560" w:h="135" w:wrap="auto" w:vAnchor="page" w:hAnchor="page" w:x="3000" w:y="2300"/>
        <w:rPr>
          <w:rFonts w:ascii="Calibri" w:cs="Calibri" w:eastAsia="Calibri" w:hAnsi="Calibri"/>
          <w:sz w:val="13"/>
          <w:szCs w:val="13"/>
          <w:color w:val="auto"/>
        </w:rPr>
      </w:pPr>
      <w:r>
        <w:rPr>
          <w:rFonts w:ascii="Calibri" w:cs="Calibri" w:eastAsia="Calibri" w:hAnsi="Calibri"/>
          <w:sz w:val="13"/>
          <w:szCs w:val="13"/>
          <w:color w:val="auto"/>
        </w:rPr>
        <w:t>Jefrey P. Oldenkamp</w:t>
      </w:r>
    </w:p>
    <w:p>
      <w:pPr>
        <w:spacing w:after="0" w:line="204" w:lineRule="auto"/>
        <w:framePr w:w="3720" w:h="135" w:wrap="auto" w:vAnchor="page" w:hAnchor="page" w:x="1920" w:y="2530"/>
        <w:rPr>
          <w:rFonts w:ascii="Calibri" w:cs="Calibri" w:eastAsia="Calibri" w:hAnsi="Calibri"/>
          <w:sz w:val="13"/>
          <w:szCs w:val="13"/>
          <w:color w:val="auto"/>
        </w:rPr>
      </w:pPr>
      <w:r>
        <w:rPr>
          <w:rFonts w:ascii="Calibri" w:cs="Calibri" w:eastAsia="Calibri" w:hAnsi="Calibri"/>
          <w:sz w:val="13"/>
          <w:szCs w:val="13"/>
          <w:color w:val="auto"/>
        </w:rPr>
        <w:t>Executve Vice President and Chief Financial Ofcer</w:t>
      </w:r>
    </w:p>
    <w:p>
      <w:pPr>
        <w:spacing w:after="0" w:line="204" w:lineRule="auto"/>
        <w:framePr w:w="4940" w:h="135" w:wrap="auto" w:vAnchor="page" w:hAnchor="page" w:x="1300" w:y="2759"/>
        <w:rPr>
          <w:rFonts w:ascii="Calibri" w:cs="Calibri" w:eastAsia="Calibri" w:hAnsi="Calibri"/>
          <w:sz w:val="13"/>
          <w:szCs w:val="13"/>
          <w:color w:val="auto"/>
        </w:rPr>
      </w:pPr>
      <w:r>
        <w:rPr>
          <w:rFonts w:ascii="Calibri" w:cs="Calibri" w:eastAsia="Calibri" w:hAnsi="Calibri"/>
          <w:sz w:val="13"/>
          <w:szCs w:val="13"/>
          <w:color w:val="auto"/>
        </w:rPr>
        <w:t>(On behalf of the registrant and as principal fnancial and accountng</w:t>
      </w:r>
    </w:p>
    <w:p>
      <w:pPr>
        <w:spacing w:after="0" w:line="204" w:lineRule="auto"/>
        <w:framePr w:w="580" w:h="135" w:wrap="auto" w:vAnchor="page" w:hAnchor="page" w:x="3480" w:y="2935"/>
        <w:rPr>
          <w:rFonts w:ascii="Calibri" w:cs="Calibri" w:eastAsia="Calibri" w:hAnsi="Calibri"/>
          <w:sz w:val="13"/>
          <w:szCs w:val="13"/>
          <w:color w:val="auto"/>
        </w:rPr>
      </w:pPr>
      <w:r>
        <w:rPr>
          <w:rFonts w:ascii="Calibri" w:cs="Calibri" w:eastAsia="Calibri" w:hAnsi="Calibri"/>
          <w:sz w:val="13"/>
          <w:szCs w:val="13"/>
          <w:color w:val="auto"/>
        </w:rPr>
        <w:t>ofcer)</w:t>
      </w:r>
    </w:p>
    <w:p>
      <w:pPr>
        <w:jc w:val="center"/>
        <w:ind w:right="-13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rFonts w:ascii="Calibri" w:cs="Calibri" w:eastAsia="Calibri" w:hAnsi="Calibri"/>
          <w:sz w:val="13"/>
          <w:szCs w:val="13"/>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37"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HAWKINS, INC.</w:t>
      </w:r>
    </w:p>
    <w:p>
      <w:pPr>
        <w:spacing w:after="0" w:line="64"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By:</w:t>
      </w:r>
    </w:p>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3265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37" w:lineRule="exact"/>
        <w:rPr>
          <w:rFonts w:ascii="Calibri" w:cs="Calibri" w:eastAsia="Calibri" w:hAnsi="Calibri"/>
          <w:sz w:val="13"/>
          <w:szCs w:val="13"/>
          <w:color w:val="auto"/>
        </w:rPr>
      </w:pPr>
    </w:p>
    <w:p>
      <w:pPr>
        <w:spacing w:after="0"/>
        <w:rPr>
          <w:sz w:val="20"/>
          <w:szCs w:val="20"/>
          <w:color w:val="auto"/>
        </w:rPr>
      </w:pPr>
      <w:r>
        <w:rPr>
          <w:rFonts w:ascii="Calibri" w:cs="Calibri" w:eastAsia="Calibri" w:hAnsi="Calibri"/>
          <w:sz w:val="18"/>
          <w:szCs w:val="18"/>
          <w:color w:val="auto"/>
        </w:rPr>
        <w:t>Dated: July 31, 2024</w:t>
      </w:r>
    </w:p>
    <w:p>
      <w:pPr>
        <w:sectPr>
          <w:pgSz w:w="11900" w:h="16838" w:orient="portrait"/>
          <w:cols w:equalWidth="0" w:num="1">
            <w:col w:w="11120"/>
          </w:cols>
          <w:pgMar w:left="320" w:top="882" w:right="459" w:bottom="1440" w:gutter="0" w:footer="0" w:header="0"/>
        </w:sectPr>
      </w:pPr>
    </w:p>
    <w:bookmarkStart w:id="23" w:name="page24"/>
    <w:bookmarkEnd w:id="23"/>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20" w:lineRule="exact"/>
        <w:rPr>
          <w:sz w:val="20"/>
          <w:szCs w:val="20"/>
          <w:color w:val="auto"/>
        </w:rPr>
      </w:pPr>
    </w:p>
    <w:p>
      <w:pPr>
        <w:ind w:left="640" w:hanging="308"/>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5" w:lineRule="auto"/>
        <w:tabs>
          <w:tab w:leader="none" w:pos="1289"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5" w:lineRule="auto"/>
        <w:tabs>
          <w:tab w:leader="none" w:pos="1283"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83"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3"/>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5" w:lineRule="auto"/>
        <w:tabs>
          <w:tab w:leader="none" w:pos="1283"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1300" w:right="680" w:hanging="320"/>
        <w:spacing w:after="0" w:line="258" w:lineRule="auto"/>
        <w:tabs>
          <w:tab w:leader="none" w:pos="1289" w:val="left"/>
        </w:tabs>
        <w:numPr>
          <w:ilvl w:val="1"/>
          <w:numId w:val="3"/>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80"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July 31, 2024</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20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24" w:name="page25"/>
    <w:bookmarkEnd w:id="24"/>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56" w:lineRule="exact"/>
        <w:rPr>
          <w:rFonts w:ascii="Calibri" w:cs="Calibri" w:eastAsia="Calibri" w:hAnsi="Calibri"/>
          <w:sz w:val="18"/>
          <w:szCs w:val="18"/>
          <w:color w:val="auto"/>
        </w:rPr>
      </w:pPr>
    </w:p>
    <w:p>
      <w:pPr>
        <w:ind w:left="1300" w:right="20" w:hanging="644"/>
        <w:spacing w:after="0" w:line="235" w:lineRule="auto"/>
        <w:tabs>
          <w:tab w:leader="none" w:pos="1289"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56" w:lineRule="exact"/>
        <w:rPr>
          <w:rFonts w:ascii="Calibri" w:cs="Calibri" w:eastAsia="Calibri" w:hAnsi="Calibri"/>
          <w:sz w:val="18"/>
          <w:szCs w:val="18"/>
          <w:color w:val="auto"/>
        </w:rPr>
      </w:pPr>
    </w:p>
    <w:p>
      <w:pPr>
        <w:ind w:left="1300" w:right="140" w:hanging="644"/>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56" w:lineRule="exact"/>
        <w:rPr>
          <w:rFonts w:ascii="Calibri" w:cs="Calibri" w:eastAsia="Calibri" w:hAnsi="Calibri"/>
          <w:sz w:val="18"/>
          <w:szCs w:val="18"/>
          <w:color w:val="auto"/>
        </w:rPr>
      </w:pPr>
    </w:p>
    <w:p>
      <w:pPr>
        <w:jc w:val="both"/>
        <w:ind w:left="1300" w:right="240" w:hanging="644"/>
        <w:spacing w:after="0" w:line="258" w:lineRule="auto"/>
        <w:tabs>
          <w:tab w:leader="none" w:pos="1292"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39" w:lineRule="exact"/>
        <w:rPr>
          <w:rFonts w:ascii="Calibri" w:cs="Calibri" w:eastAsia="Calibri" w:hAnsi="Calibri"/>
          <w:sz w:val="17"/>
          <w:szCs w:val="17"/>
          <w:color w:val="auto"/>
        </w:rPr>
      </w:pPr>
    </w:p>
    <w:p>
      <w:pPr>
        <w:ind w:left="1300" w:right="20" w:hanging="644"/>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55" w:lineRule="exact"/>
        <w:rPr>
          <w:rFonts w:ascii="Calibri" w:cs="Calibri" w:eastAsia="Calibri" w:hAnsi="Calibri"/>
          <w:sz w:val="18"/>
          <w:szCs w:val="18"/>
          <w:color w:val="auto"/>
        </w:rPr>
      </w:pPr>
    </w:p>
    <w:p>
      <w:pPr>
        <w:ind w:left="1300" w:right="680" w:hanging="644"/>
        <w:spacing w:after="0" w:line="258" w:lineRule="auto"/>
        <w:tabs>
          <w:tab w:leader="none" w:pos="1289" w:val="left"/>
        </w:tabs>
        <w:numPr>
          <w:ilvl w:val="1"/>
          <w:numId w:val="4"/>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9" w:lineRule="exact"/>
        <w:rPr>
          <w:rFonts w:ascii="Calibri" w:cs="Calibri" w:eastAsia="Calibri" w:hAnsi="Calibri"/>
          <w:sz w:val="17"/>
          <w:szCs w:val="17"/>
          <w:color w:val="auto"/>
        </w:rPr>
      </w:pPr>
    </w:p>
    <w:p>
      <w:pPr>
        <w:ind w:left="1300" w:right="260" w:hanging="644"/>
        <w:spacing w:after="0" w:line="235" w:lineRule="auto"/>
        <w:tabs>
          <w:tab w:leader="none" w:pos="1283"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July 31, 2024</w:t>
      </w:r>
    </w:p>
    <w:p>
      <w:pPr>
        <w:spacing w:after="0" w:line="226"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/s/ Jefrey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26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25" w:name="page26"/>
    <w:bookmarkEnd w:id="25"/>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June 30, 2024,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Patrick H. Hawkins</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Patrick H. Hawkins</w:t>
      </w:r>
    </w:p>
    <w:p>
      <w:pPr>
        <w:spacing w:after="0" w:line="14" w:lineRule="exact"/>
        <w:rPr>
          <w:rFonts w:ascii="Calibri" w:cs="Calibri" w:eastAsia="Calibri" w:hAnsi="Calibri"/>
          <w:sz w:val="18"/>
          <w:szCs w:val="18"/>
          <w:color w:val="auto"/>
        </w:rPr>
      </w:pPr>
    </w:p>
    <w:p>
      <w:pPr>
        <w:ind w:left="60" w:right="856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Chief Executve Ofcer and President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2588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6" w:name="page27"/>
    <w:bookmarkEnd w:id="26"/>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June 30, 2024, as fled with the Securites and Exchange Commission on the date hereof (the Report), I, Jefrey P. Oldenkamp, Chief Financial Ofcer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Jefrey P. Oldenkamp</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Jefrey P. Oldenkamp</w:t>
      </w:r>
    </w:p>
    <w:p>
      <w:pPr>
        <w:spacing w:after="0" w:line="14" w:lineRule="exact"/>
        <w:rPr>
          <w:rFonts w:ascii="Calibri" w:cs="Calibri" w:eastAsia="Calibri" w:hAnsi="Calibri"/>
          <w:sz w:val="18"/>
          <w:szCs w:val="18"/>
          <w:color w:val="auto"/>
        </w:rPr>
      </w:pPr>
    </w:p>
    <w:p>
      <w:pPr>
        <w:ind w:left="60" w:right="754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Executve Vice President and Chief Financial Ofcer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3257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18" Type="http://schemas.openxmlformats.org/officeDocument/2006/relationships/hyperlink" Target="https://www.sec.gov/ix?doc=/Archives/edgar/data/46250/000004625024000013/hwkn-20240331.htm" TargetMode="External"/><Relationship Id="rId40" Type="http://schemas.openxmlformats.org/officeDocument/2006/relationships/hyperlink" Target="https://www.sec.gov/Archives/edgar/data/46250/000004625021000012/exhibit32.htm" TargetMode="External"/><Relationship Id="rId41" Type="http://schemas.openxmlformats.org/officeDocument/2006/relationships/hyperlink" Target="https://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2024-07-31T15:49:22Z</dcterms:created>
  <dcterms:modified xsi:type="dcterms:W3CDTF">2024-07-31T15:49:22Z</dcterms:modified>
</cp:coreProperties>
</file>