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147955</wp:posOffset>
            </wp:positionH>
            <wp:positionV relativeFrom="page">
              <wp:posOffset>627380</wp:posOffset>
            </wp:positionV>
            <wp:extent cx="726503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13D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 (Amendment No. 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Hawkins,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of Issuer)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Common Stock</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0"/>
          <w:szCs w:val="20"/>
          <w:color w:val="auto"/>
        </w:rPr>
      </w:pPr>
    </w:p>
    <w:p>
      <w:pPr>
        <w:spacing w:after="0" w:line="233"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________</w:t>
      </w:r>
      <w:r>
        <w:rPr>
          <w:rFonts w:ascii="Arial" w:cs="Arial" w:eastAsia="Arial" w:hAnsi="Arial"/>
          <w:sz w:val="16"/>
          <w:szCs w:val="16"/>
          <w:u w:val="single" w:color="auto"/>
          <w:color w:val="auto"/>
        </w:rPr>
        <w:t>420261109</w:t>
      </w:r>
      <w:r>
        <w:rPr>
          <w:rFonts w:ascii="Arial" w:cs="Arial" w:eastAsia="Arial" w:hAnsi="Arial"/>
          <w:sz w:val="16"/>
          <w:szCs w:val="16"/>
          <w:color w:val="auto"/>
        </w:rPr>
        <w:t>_________</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(CUSIP Number)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Peter D. Goldstein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GAMCO Investors,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One Corporate Center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Rye, New York 10580-1435</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(914) 921-7732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Address and Telephone Number of Person Authorized to Receive Notices and Communications)</w:t>
      </w:r>
    </w:p>
    <w:p>
      <w:pPr>
        <w:spacing w:after="0" w:line="200" w:lineRule="exact"/>
        <w:rPr>
          <w:sz w:val="20"/>
          <w:szCs w:val="20"/>
          <w:color w:val="auto"/>
        </w:rPr>
      </w:pPr>
    </w:p>
    <w:p>
      <w:pPr>
        <w:spacing w:after="0" w:line="237"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 xml:space="preserve">______________________ </w:t>
      </w:r>
      <w:r>
        <w:rPr>
          <w:rFonts w:ascii="Arial" w:cs="Arial" w:eastAsia="Arial" w:hAnsi="Arial"/>
          <w:sz w:val="16"/>
          <w:szCs w:val="16"/>
          <w:u w:val="single" w:color="auto"/>
          <w:color w:val="auto"/>
        </w:rPr>
        <w:t>March 13, 2009</w:t>
      </w:r>
      <w:r>
        <w:rPr>
          <w:rFonts w:ascii="Arial" w:cs="Arial" w:eastAsia="Arial" w:hAnsi="Arial"/>
          <w:sz w:val="16"/>
          <w:szCs w:val="16"/>
          <w:color w:val="auto"/>
        </w:rPr>
        <w:t>________________________</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0"/>
          <w:szCs w:val="20"/>
          <w:color w:val="auto"/>
        </w:rPr>
      </w:pPr>
    </w:p>
    <w:p>
      <w:pPr>
        <w:spacing w:after="0" w:line="23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26503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2" w:name="page3"/>
    <w:bookmarkEnd w:id="2"/>
    <w:p>
      <w:pPr>
        <w:ind w:left="3"/>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5995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pacing w:after="0" w:line="15" w:lineRule="exact"/>
        <w:rPr>
          <w:sz w:val="20"/>
          <w:szCs w:val="20"/>
          <w:color w:val="auto"/>
        </w:rPr>
      </w:pPr>
    </w:p>
    <w:p>
      <w:pPr>
        <w:ind w:left="863" w:hanging="471"/>
        <w:spacing w:after="0"/>
        <w:tabs>
          <w:tab w:leader="none" w:pos="86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26" w:lineRule="exact"/>
        <w:rPr>
          <w:rFonts w:ascii="Arial" w:cs="Arial" w:eastAsia="Arial" w:hAnsi="Arial"/>
          <w:sz w:val="16"/>
          <w:szCs w:val="16"/>
          <w:b w:val="1"/>
          <w:bCs w:val="1"/>
          <w:color w:val="auto"/>
        </w:rPr>
      </w:pPr>
    </w:p>
    <w:p>
      <w:pPr>
        <w:ind w:left="86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5"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3780" w:type="dxa"/>
            <w:vAlign w:val="bottom"/>
          </w:tcPr>
          <w:p>
            <w:pPr>
              <w:ind w:left="860"/>
              <w:spacing w:after="0"/>
              <w:rPr>
                <w:sz w:val="20"/>
                <w:szCs w:val="20"/>
                <w:color w:val="auto"/>
              </w:rPr>
            </w:pPr>
            <w:r>
              <w:rPr>
                <w:rFonts w:ascii="Arial" w:cs="Arial" w:eastAsia="Arial" w:hAnsi="Arial"/>
                <w:sz w:val="16"/>
                <w:szCs w:val="16"/>
                <w:b w:val="1"/>
                <w:bCs w:val="1"/>
                <w:color w:val="auto"/>
              </w:rPr>
              <w:t>Gabelli Funds, LLC</w:t>
            </w:r>
          </w:p>
        </w:tc>
        <w:tc>
          <w:tcPr>
            <w:tcW w:w="7660" w:type="dxa"/>
            <w:vAlign w:val="bottom"/>
          </w:tcPr>
          <w:p>
            <w:pPr>
              <w:jc w:val="right"/>
              <w:ind w:right="1259"/>
              <w:spacing w:after="0"/>
              <w:rPr>
                <w:sz w:val="20"/>
                <w:szCs w:val="20"/>
                <w:color w:val="auto"/>
              </w:rPr>
            </w:pPr>
            <w:r>
              <w:rPr>
                <w:rFonts w:ascii="Arial" w:cs="Arial" w:eastAsia="Arial" w:hAnsi="Arial"/>
                <w:sz w:val="16"/>
                <w:szCs w:val="16"/>
                <w:b w:val="1"/>
                <w:bCs w:val="1"/>
                <w:color w:val="auto"/>
              </w:rPr>
              <w:t>&amp;</w:t>
            </w:r>
          </w:p>
        </w:tc>
      </w:tr>
      <w:tr>
        <w:trPr>
          <w:trHeight w:val="211"/>
        </w:trPr>
        <w:tc>
          <w:tcPr>
            <w:tcW w:w="378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  1  6  0  ;</w:t>
            </w:r>
          </w:p>
        </w:tc>
        <w:tc>
          <w:tcPr>
            <w:tcW w:w="7660" w:type="dxa"/>
            <w:vAlign w:val="bottom"/>
            <w:tcBorders>
              <w:bottom w:val="single" w:sz="8" w:color="auto"/>
            </w:tcBorders>
          </w:tcPr>
          <w:p>
            <w:pPr>
              <w:jc w:val="right"/>
              <w:ind w:right="4639"/>
              <w:spacing w:after="0"/>
              <w:rPr>
                <w:sz w:val="20"/>
                <w:szCs w:val="20"/>
                <w:color w:val="auto"/>
              </w:rPr>
            </w:pPr>
            <w:r>
              <w:rPr>
                <w:rFonts w:ascii="Arial" w:cs="Arial" w:eastAsia="Arial" w:hAnsi="Arial"/>
                <w:sz w:val="16"/>
                <w:szCs w:val="16"/>
                <w:b w:val="1"/>
                <w:bCs w:val="1"/>
                <w:color w:val="auto"/>
              </w:rPr>
              <w:t>I.D. No. 13-4044523</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r>
    </w:tbl>
    <w:p>
      <w:pPr>
        <w:ind w:left="863" w:hanging="471"/>
        <w:spacing w:after="0"/>
        <w:tabs>
          <w:tab w:leader="none" w:pos="863"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Check the appropriate box if a member of a group (SEE INSTRUCTIONS)(a)</w:t>
      </w:r>
    </w:p>
    <w:p>
      <w:pPr>
        <w:spacing w:after="0" w:line="200" w:lineRule="exact"/>
        <w:rPr>
          <w:sz w:val="20"/>
          <w:szCs w:val="20"/>
          <w:color w:val="auto"/>
        </w:rPr>
      </w:pPr>
    </w:p>
    <w:p>
      <w:pPr>
        <w:spacing w:after="0" w:line="232"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599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58" w:lineRule="exact"/>
        <w:rPr>
          <w:sz w:val="20"/>
          <w:szCs w:val="20"/>
          <w:color w:val="auto"/>
        </w:rPr>
      </w:pPr>
    </w:p>
    <w:p>
      <w:pPr>
        <w:ind w:left="863" w:hanging="471"/>
        <w:spacing w:after="0"/>
        <w:tabs>
          <w:tab w:leader="none" w:pos="863"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2599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58" w:lineRule="exact"/>
        <w:rPr>
          <w:sz w:val="20"/>
          <w:szCs w:val="20"/>
          <w:color w:val="auto"/>
        </w:rPr>
      </w:pPr>
    </w:p>
    <w:p>
      <w:pPr>
        <w:jc w:val="right"/>
        <w:ind w:left="983" w:right="7720" w:hanging="591"/>
        <w:spacing w:after="0" w:line="363" w:lineRule="auto"/>
        <w:tabs>
          <w:tab w:leader="none" w:pos="861"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72599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87630</wp:posOffset>
            </wp:positionV>
            <wp:extent cx="72599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150" w:lineRule="exact"/>
        <w:rPr>
          <w:sz w:val="20"/>
          <w:szCs w:val="20"/>
          <w:color w:val="auto"/>
        </w:rPr>
      </w:pPr>
    </w:p>
    <w:p>
      <w:pPr>
        <w:ind w:left="863" w:hanging="471"/>
        <w:spacing w:after="0"/>
        <w:tabs>
          <w:tab w:leader="none" w:pos="86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72599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63" w:hanging="471"/>
        <w:spacing w:after="0"/>
        <w:tabs>
          <w:tab w:leader="none" w:pos="863"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983"/>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599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27" w:lineRule="exact"/>
        <w:rPr>
          <w:sz w:val="20"/>
          <w:szCs w:val="20"/>
          <w:color w:val="auto"/>
        </w:rPr>
      </w:pPr>
    </w:p>
    <w:tbl>
      <w:tblPr>
        <w:tblLayout w:type="fixed"/>
        <w:tblInd w:w="3" w:type="dxa"/>
        <w:tblCellMar>
          <w:top w:w="0" w:type="dxa"/>
          <w:left w:w="0" w:type="dxa"/>
          <w:bottom w:w="0" w:type="dxa"/>
          <w:right w:w="0" w:type="dxa"/>
        </w:tblCellMar>
      </w:tblPr>
      <w:tr>
        <w:trPr>
          <w:trHeight w:val="190"/>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 7</w:t>
            </w:r>
          </w:p>
        </w:tc>
        <w:tc>
          <w:tcPr>
            <w:tcW w:w="762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HARES</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175,000 (Item 5)</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 8</w:t>
            </w:r>
          </w:p>
        </w:tc>
        <w:tc>
          <w:tcPr>
            <w:tcW w:w="762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 9</w:t>
            </w:r>
          </w:p>
        </w:tc>
        <w:tc>
          <w:tcPr>
            <w:tcW w:w="762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175,000 (Item 5)</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w:t>
            </w:r>
            <w:r>
              <w:rPr>
                <w:rFonts w:ascii="Arial" w:cs="Arial" w:eastAsia="Arial" w:hAnsi="Arial"/>
                <w:sz w:val="10"/>
                <w:szCs w:val="10"/>
                <w:b w:val="1"/>
                <w:bCs w:val="1"/>
                <w:color w:val="auto"/>
                <w:w w:val="99"/>
              </w:rPr>
              <w:t>ERSON</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:10</w:t>
            </w:r>
          </w:p>
        </w:tc>
        <w:tc>
          <w:tcPr>
            <w:tcW w:w="762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1"/>
        </w:trPr>
        <w:tc>
          <w:tcPr>
            <w:tcW w:w="3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63" w:hanging="863"/>
        <w:spacing w:after="0"/>
        <w:tabs>
          <w:tab w:leader="none" w:pos="86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p>
    <w:p>
      <w:pPr>
        <w:spacing w:after="0" w:line="213"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175,000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2599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83" w:lineRule="exact"/>
        <w:rPr>
          <w:sz w:val="20"/>
          <w:szCs w:val="20"/>
          <w:color w:val="auto"/>
        </w:rPr>
      </w:pPr>
    </w:p>
    <w:p>
      <w:pPr>
        <w:ind w:left="863" w:hanging="863"/>
        <w:spacing w:after="0"/>
        <w:tabs>
          <w:tab w:leader="none" w:pos="863"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2599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863" w:hanging="863"/>
        <w:spacing w:after="0"/>
        <w:tabs>
          <w:tab w:leader="none" w:pos="863"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10"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2599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83" w:lineRule="exact"/>
        <w:rPr>
          <w:sz w:val="20"/>
          <w:szCs w:val="20"/>
          <w:color w:val="auto"/>
        </w:rPr>
      </w:pPr>
    </w:p>
    <w:p>
      <w:pPr>
        <w:ind w:left="1023" w:right="7140" w:hanging="1023"/>
        <w:spacing w:after="0" w:line="288" w:lineRule="auto"/>
        <w:tabs>
          <w:tab w:leader="none" w:pos="8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599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72599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294005</wp:posOffset>
            </wp:positionV>
            <wp:extent cx="72599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503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3"/>
          </w:cols>
          <w:pgMar w:left="237" w:top="342" w:right="219" w:bottom="1440" w:gutter="0" w:footer="0" w:header="0"/>
        </w:sectPr>
      </w:pPr>
    </w:p>
    <w:bookmarkStart w:id="3" w:name="page4"/>
    <w:bookmarkEnd w:id="3"/>
    <w:p>
      <w:pPr>
        <w:ind w:left="3"/>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31710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105" cy="15240"/>
                    </a:xfrm>
                    <a:prstGeom prst="rect">
                      <a:avLst/>
                    </a:prstGeom>
                    <a:noFill/>
                  </pic:spPr>
                </pic:pic>
              </a:graphicData>
            </a:graphic>
          </wp:anchor>
        </w:drawing>
      </w:r>
    </w:p>
    <w:p>
      <w:pPr>
        <w:spacing w:after="0" w:line="15" w:lineRule="exact"/>
        <w:rPr>
          <w:sz w:val="20"/>
          <w:szCs w:val="20"/>
          <w:color w:val="auto"/>
        </w:rPr>
      </w:pPr>
    </w:p>
    <w:p>
      <w:pPr>
        <w:ind w:left="803" w:hanging="442"/>
        <w:spacing w:after="0"/>
        <w:tabs>
          <w:tab w:leader="none" w:pos="803"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26" w:lineRule="exact"/>
        <w:rPr>
          <w:rFonts w:ascii="Arial" w:cs="Arial" w:eastAsia="Arial" w:hAnsi="Arial"/>
          <w:sz w:val="16"/>
          <w:szCs w:val="16"/>
          <w:b w:val="1"/>
          <w:bCs w:val="1"/>
          <w:color w:val="auto"/>
        </w:rPr>
      </w:pPr>
    </w:p>
    <w:p>
      <w:pPr>
        <w:ind w:left="80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5"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7040" w:type="dxa"/>
            <w:vAlign w:val="bottom"/>
          </w:tcPr>
          <w:p>
            <w:pPr>
              <w:ind w:left="800"/>
              <w:spacing w:after="0"/>
              <w:rPr>
                <w:sz w:val="20"/>
                <w:szCs w:val="20"/>
                <w:color w:val="auto"/>
              </w:rPr>
            </w:pPr>
            <w:r>
              <w:rPr>
                <w:rFonts w:ascii="Arial" w:cs="Arial" w:eastAsia="Arial" w:hAnsi="Arial"/>
                <w:sz w:val="16"/>
                <w:szCs w:val="16"/>
                <w:b w:val="1"/>
                <w:bCs w:val="1"/>
                <w:color w:val="auto"/>
              </w:rPr>
              <w:t>GAMCO Asset Management</w:t>
            </w:r>
          </w:p>
        </w:tc>
        <w:tc>
          <w:tcPr>
            <w:tcW w:w="4480" w:type="dxa"/>
            <w:vAlign w:val="bottom"/>
          </w:tcPr>
          <w:p>
            <w:pPr>
              <w:spacing w:after="0"/>
              <w:rPr>
                <w:sz w:val="16"/>
                <w:szCs w:val="16"/>
                <w:color w:val="auto"/>
              </w:rPr>
            </w:pPr>
          </w:p>
        </w:tc>
      </w:tr>
      <w:tr>
        <w:trPr>
          <w:trHeight w:val="195"/>
        </w:trPr>
        <w:tc>
          <w:tcPr>
            <w:tcW w:w="7040" w:type="dxa"/>
            <w:vAlign w:val="bottom"/>
          </w:tcPr>
          <w:p>
            <w:pPr>
              <w:ind w:left="800"/>
              <w:spacing w:after="0"/>
              <w:rPr>
                <w:sz w:val="20"/>
                <w:szCs w:val="20"/>
                <w:color w:val="auto"/>
              </w:rPr>
            </w:pPr>
            <w:r>
              <w:rPr>
                <w:rFonts w:ascii="Arial" w:cs="Arial" w:eastAsia="Arial" w:hAnsi="Arial"/>
                <w:sz w:val="16"/>
                <w:szCs w:val="16"/>
                <w:b w:val="1"/>
                <w:bCs w:val="1"/>
                <w:color w:val="auto"/>
              </w:rPr>
              <w:t>Inc.</w:t>
            </w:r>
          </w:p>
        </w:tc>
        <w:tc>
          <w:tcPr>
            <w:tcW w:w="4480" w:type="dxa"/>
            <w:vAlign w:val="bottom"/>
          </w:tcPr>
          <w:p>
            <w:pPr>
              <w:ind w:left="4220"/>
              <w:spacing w:after="0"/>
              <w:rPr>
                <w:sz w:val="20"/>
                <w:szCs w:val="20"/>
                <w:color w:val="auto"/>
              </w:rPr>
            </w:pPr>
            <w:r>
              <w:rPr>
                <w:rFonts w:ascii="Arial" w:cs="Arial" w:eastAsia="Arial" w:hAnsi="Arial"/>
                <w:sz w:val="16"/>
                <w:szCs w:val="16"/>
                <w:b w:val="1"/>
                <w:bCs w:val="1"/>
                <w:color w:val="auto"/>
                <w:w w:val="96"/>
              </w:rPr>
              <w:t>I.D.</w:t>
            </w:r>
          </w:p>
        </w:tc>
      </w:tr>
      <w:tr>
        <w:trPr>
          <w:trHeight w:val="211"/>
        </w:trPr>
        <w:tc>
          <w:tcPr>
            <w:tcW w:w="704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No. 13-4044521</w:t>
            </w:r>
          </w:p>
        </w:tc>
        <w:tc>
          <w:tcPr>
            <w:tcW w:w="4480" w:type="dxa"/>
            <w:vAlign w:val="bottom"/>
            <w:tcBorders>
              <w:bottom w:val="single" w:sz="8" w:color="auto"/>
            </w:tcBorders>
          </w:tcPr>
          <w:p>
            <w:pPr>
              <w:spacing w:after="0"/>
              <w:rPr>
                <w:sz w:val="18"/>
                <w:szCs w:val="18"/>
                <w:color w:val="auto"/>
              </w:rPr>
            </w:pP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bl>
    <w:p>
      <w:pPr>
        <w:ind w:left="803" w:hanging="442"/>
        <w:spacing w:after="0"/>
        <w:tabs>
          <w:tab w:leader="none" w:pos="803"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Check the appropriate box if a member of a group (SEE INSTRUCTIONS)(a)</w:t>
      </w:r>
    </w:p>
    <w:p>
      <w:pPr>
        <w:spacing w:after="0" w:line="200" w:lineRule="exact"/>
        <w:rPr>
          <w:sz w:val="20"/>
          <w:szCs w:val="20"/>
          <w:color w:val="auto"/>
        </w:rPr>
      </w:pPr>
    </w:p>
    <w:p>
      <w:pPr>
        <w:spacing w:after="0" w:line="232" w:lineRule="exact"/>
        <w:rPr>
          <w:sz w:val="20"/>
          <w:szCs w:val="20"/>
          <w:color w:val="auto"/>
        </w:rPr>
      </w:pPr>
    </w:p>
    <w:p>
      <w:pPr>
        <w:ind w:left="803"/>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3171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258" w:lineRule="exact"/>
        <w:rPr>
          <w:sz w:val="20"/>
          <w:szCs w:val="20"/>
          <w:color w:val="auto"/>
        </w:rPr>
      </w:pPr>
    </w:p>
    <w:p>
      <w:pPr>
        <w:ind w:left="803" w:hanging="442"/>
        <w:spacing w:after="0"/>
        <w:tabs>
          <w:tab w:leader="none" w:pos="80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31710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1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3171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258" w:lineRule="exact"/>
        <w:rPr>
          <w:sz w:val="20"/>
          <w:szCs w:val="20"/>
          <w:color w:val="auto"/>
        </w:rPr>
      </w:pPr>
    </w:p>
    <w:p>
      <w:pPr>
        <w:jc w:val="both"/>
        <w:ind w:left="843" w:right="7920" w:hanging="482"/>
        <w:spacing w:after="0" w:line="363" w:lineRule="auto"/>
        <w:tabs>
          <w:tab w:leader="none" w:pos="802"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73171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1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87630</wp:posOffset>
            </wp:positionV>
            <wp:extent cx="731710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150" w:lineRule="exact"/>
        <w:rPr>
          <w:sz w:val="20"/>
          <w:szCs w:val="20"/>
          <w:color w:val="auto"/>
        </w:rPr>
      </w:pPr>
    </w:p>
    <w:p>
      <w:pPr>
        <w:ind w:left="803" w:hanging="442"/>
        <w:spacing w:after="0"/>
        <w:tabs>
          <w:tab w:leader="none" w:pos="803"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3171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1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73171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03" w:hanging="442"/>
        <w:spacing w:after="0"/>
        <w:tabs>
          <w:tab w:leader="none" w:pos="803"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3171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6" w:lineRule="exact"/>
        <w:rPr>
          <w:sz w:val="20"/>
          <w:szCs w:val="20"/>
          <w:color w:val="auto"/>
        </w:rPr>
      </w:pPr>
    </w:p>
    <w:p>
      <w:pPr>
        <w:ind w:left="923"/>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31710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227" w:lineRule="exact"/>
        <w:rPr>
          <w:sz w:val="20"/>
          <w:szCs w:val="20"/>
          <w:color w:val="auto"/>
        </w:rPr>
      </w:pPr>
    </w:p>
    <w:tbl>
      <w:tblPr>
        <w:tblLayout w:type="fixed"/>
        <w:tblInd w:w="3" w:type="dxa"/>
        <w:tblCellMar>
          <w:top w:w="0" w:type="dxa"/>
          <w:left w:w="0" w:type="dxa"/>
          <w:bottom w:w="0" w:type="dxa"/>
          <w:right w:w="0" w:type="dxa"/>
        </w:tblCellMar>
      </w:tblPr>
      <w:tr>
        <w:trPr>
          <w:trHeight w:val="190"/>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 7</w:t>
            </w:r>
          </w:p>
        </w:tc>
        <w:tc>
          <w:tcPr>
            <w:tcW w:w="770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HARES</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Pr>
          <w:p>
            <w:pPr>
              <w:ind w:left="160"/>
              <w:spacing w:after="0"/>
              <w:rPr>
                <w:sz w:val="20"/>
                <w:szCs w:val="20"/>
                <w:color w:val="auto"/>
              </w:rPr>
            </w:pPr>
            <w:r>
              <w:rPr>
                <w:rFonts w:ascii="Arial" w:cs="Arial" w:eastAsia="Arial" w:hAnsi="Arial"/>
                <w:sz w:val="16"/>
                <w:szCs w:val="16"/>
                <w:b w:val="1"/>
                <w:bCs w:val="1"/>
                <w:color w:val="auto"/>
              </w:rPr>
              <w:t>350,382 (Item 5)</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 8</w:t>
            </w:r>
          </w:p>
        </w:tc>
        <w:tc>
          <w:tcPr>
            <w:tcW w:w="770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 9</w:t>
            </w:r>
          </w:p>
        </w:tc>
        <w:tc>
          <w:tcPr>
            <w:tcW w:w="770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Pr>
          <w:p>
            <w:pPr>
              <w:ind w:left="160"/>
              <w:spacing w:after="0"/>
              <w:rPr>
                <w:sz w:val="20"/>
                <w:szCs w:val="20"/>
                <w:color w:val="auto"/>
              </w:rPr>
            </w:pPr>
            <w:r>
              <w:rPr>
                <w:rFonts w:ascii="Arial" w:cs="Arial" w:eastAsia="Arial" w:hAnsi="Arial"/>
                <w:sz w:val="16"/>
                <w:szCs w:val="16"/>
                <w:b w:val="1"/>
                <w:bCs w:val="1"/>
                <w:color w:val="auto"/>
              </w:rPr>
              <w:t>358,382 (Item 5)</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ERSON</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:10</w:t>
            </w:r>
          </w:p>
        </w:tc>
        <w:tc>
          <w:tcPr>
            <w:tcW w:w="770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1"/>
        </w:trPr>
        <w:tc>
          <w:tcPr>
            <w:tcW w:w="3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3" w:hanging="803"/>
        <w:spacing w:after="0"/>
        <w:tabs>
          <w:tab w:leader="none" w:pos="803"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p>
    <w:p>
      <w:pPr>
        <w:spacing w:after="0" w:line="213" w:lineRule="exact"/>
        <w:rPr>
          <w:sz w:val="20"/>
          <w:szCs w:val="20"/>
          <w:color w:val="auto"/>
        </w:rPr>
      </w:pPr>
    </w:p>
    <w:p>
      <w:pPr>
        <w:ind w:left="803"/>
        <w:spacing w:after="0"/>
        <w:rPr>
          <w:sz w:val="20"/>
          <w:szCs w:val="20"/>
          <w:color w:val="auto"/>
        </w:rPr>
      </w:pPr>
      <w:r>
        <w:rPr>
          <w:rFonts w:ascii="Arial" w:cs="Arial" w:eastAsia="Arial" w:hAnsi="Arial"/>
          <w:sz w:val="16"/>
          <w:szCs w:val="16"/>
          <w:b w:val="1"/>
          <w:bCs w:val="1"/>
          <w:color w:val="auto"/>
        </w:rPr>
        <w:t>358,382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3171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283" w:lineRule="exact"/>
        <w:rPr>
          <w:sz w:val="20"/>
          <w:szCs w:val="20"/>
          <w:color w:val="auto"/>
        </w:rPr>
      </w:pPr>
    </w:p>
    <w:p>
      <w:pPr>
        <w:ind w:left="803" w:hanging="803"/>
        <w:spacing w:after="0"/>
        <w:tabs>
          <w:tab w:leader="none" w:pos="803"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3171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6" w:lineRule="exact"/>
        <w:rPr>
          <w:sz w:val="20"/>
          <w:szCs w:val="20"/>
          <w:color w:val="auto"/>
        </w:rPr>
      </w:pPr>
    </w:p>
    <w:p>
      <w:pPr>
        <w:ind w:left="803"/>
        <w:spacing w:after="0"/>
        <w:rPr>
          <w:sz w:val="20"/>
          <w:szCs w:val="20"/>
          <w:color w:val="auto"/>
        </w:rPr>
      </w:pPr>
      <w:r>
        <w:rPr>
          <w:rFonts w:ascii="Arial" w:cs="Arial" w:eastAsia="Arial" w:hAnsi="Arial"/>
          <w:sz w:val="16"/>
          <w:szCs w:val="16"/>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3171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803" w:hanging="803"/>
        <w:spacing w:after="0"/>
        <w:tabs>
          <w:tab w:leader="none" w:pos="803"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3171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210" w:lineRule="exact"/>
        <w:rPr>
          <w:sz w:val="20"/>
          <w:szCs w:val="20"/>
          <w:color w:val="auto"/>
        </w:rPr>
      </w:pPr>
    </w:p>
    <w:p>
      <w:pPr>
        <w:ind w:left="803"/>
        <w:spacing w:after="0"/>
        <w:rPr>
          <w:sz w:val="20"/>
          <w:szCs w:val="20"/>
          <w:color w:val="auto"/>
        </w:rPr>
      </w:pPr>
      <w:r>
        <w:rPr>
          <w:rFonts w:ascii="Arial" w:cs="Arial" w:eastAsia="Arial" w:hAnsi="Arial"/>
          <w:sz w:val="16"/>
          <w:szCs w:val="16"/>
          <w:b w:val="1"/>
          <w:bCs w:val="1"/>
          <w:color w:val="auto"/>
        </w:rPr>
        <w:t>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3171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283" w:lineRule="exact"/>
        <w:rPr>
          <w:sz w:val="20"/>
          <w:szCs w:val="20"/>
          <w:color w:val="auto"/>
        </w:rPr>
      </w:pPr>
    </w:p>
    <w:p>
      <w:pPr>
        <w:ind w:left="963" w:right="7280" w:hanging="963"/>
        <w:spacing w:after="0" w:line="288" w:lineRule="auto"/>
        <w:tabs>
          <w:tab w:leader="none" w:pos="80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31710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1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731710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1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294005</wp:posOffset>
            </wp:positionV>
            <wp:extent cx="731710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1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7"/>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503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523"/>
          </w:cols>
          <w:pgMar w:left="237" w:top="342" w:right="139" w:bottom="1440" w:gutter="0" w:footer="0" w:header="0"/>
        </w:sectPr>
      </w:pPr>
    </w:p>
    <w:bookmarkStart w:id="4" w:name="page5"/>
    <w:bookmarkEnd w:id="4"/>
    <w:p>
      <w:pPr>
        <w:ind w:left="3"/>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5995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pacing w:after="0" w:line="15" w:lineRule="exact"/>
        <w:rPr>
          <w:sz w:val="20"/>
          <w:szCs w:val="20"/>
          <w:color w:val="auto"/>
        </w:rPr>
      </w:pPr>
    </w:p>
    <w:p>
      <w:pPr>
        <w:ind w:left="863" w:hanging="471"/>
        <w:spacing w:after="0"/>
        <w:tabs>
          <w:tab w:leader="none" w:pos="863"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26" w:lineRule="exact"/>
        <w:rPr>
          <w:rFonts w:ascii="Arial" w:cs="Arial" w:eastAsia="Arial" w:hAnsi="Arial"/>
          <w:sz w:val="16"/>
          <w:szCs w:val="16"/>
          <w:b w:val="1"/>
          <w:bCs w:val="1"/>
          <w:color w:val="auto"/>
        </w:rPr>
      </w:pPr>
    </w:p>
    <w:p>
      <w:pPr>
        <w:ind w:left="86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11"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Teton Advisors, Inc.</w:t>
      </w:r>
    </w:p>
    <w:p>
      <w:pPr>
        <w:spacing w:after="0" w:line="11" w:lineRule="exact"/>
        <w:rPr>
          <w:sz w:val="20"/>
          <w:szCs w:val="20"/>
          <w:color w:val="auto"/>
        </w:rPr>
      </w:pPr>
    </w:p>
    <w:p>
      <w:pPr>
        <w:ind w:left="863"/>
        <w:spacing w:after="0"/>
        <w:tabs>
          <w:tab w:leader="none" w:pos="1062" w:val="left"/>
          <w:tab w:leader="none" w:pos="1302" w:val="left"/>
          <w:tab w:leader="none" w:pos="4662" w:val="left"/>
        </w:tabs>
        <w:rPr>
          <w:sz w:val="20"/>
          <w:szCs w:val="20"/>
          <w:color w:val="auto"/>
        </w:rPr>
      </w:pPr>
      <w:r>
        <w:rPr>
          <w:rFonts w:ascii="Arial" w:cs="Arial" w:eastAsia="Arial" w:hAnsi="Arial"/>
          <w:sz w:val="16"/>
          <w:szCs w:val="16"/>
          <w:b w:val="1"/>
          <w:bCs w:val="1"/>
          <w:color w:val="auto"/>
        </w:rPr>
        <w:t>6</w:t>
        <w:tab/>
        <w:t>0</w:t>
        <w:tab/>
        <w:t>;</w:t>
      </w:r>
      <w:r>
        <w:rPr>
          <w:sz w:val="20"/>
          <w:szCs w:val="20"/>
          <w:color w:val="auto"/>
        </w:rPr>
        <w:tab/>
      </w:r>
      <w:r>
        <w:rPr>
          <w:rFonts w:ascii="Arial" w:cs="Arial" w:eastAsia="Arial" w:hAnsi="Arial"/>
          <w:sz w:val="15"/>
          <w:szCs w:val="15"/>
          <w:b w:val="1"/>
          <w:bCs w:val="1"/>
          <w:color w:val="auto"/>
        </w:rPr>
        <w:t>I.D. No. 13-4008049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599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3" w:lineRule="exact"/>
        <w:rPr>
          <w:sz w:val="20"/>
          <w:szCs w:val="20"/>
          <w:color w:val="auto"/>
        </w:rPr>
      </w:pPr>
    </w:p>
    <w:p>
      <w:pPr>
        <w:ind w:left="863" w:hanging="471"/>
        <w:spacing w:after="0"/>
        <w:tabs>
          <w:tab w:leader="none" w:pos="863"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Check the appropriate box if a member of a group (SEE INSTRUCTIONS)(a)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599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58" w:lineRule="exact"/>
        <w:rPr>
          <w:sz w:val="20"/>
          <w:szCs w:val="20"/>
          <w:color w:val="auto"/>
        </w:rPr>
      </w:pPr>
    </w:p>
    <w:p>
      <w:pPr>
        <w:ind w:left="863" w:hanging="471"/>
        <w:spacing w:after="0"/>
        <w:tabs>
          <w:tab w:leader="none" w:pos="863"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2599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58" w:lineRule="exact"/>
        <w:rPr>
          <w:sz w:val="20"/>
          <w:szCs w:val="20"/>
          <w:color w:val="auto"/>
        </w:rPr>
      </w:pPr>
    </w:p>
    <w:p>
      <w:pPr>
        <w:jc w:val="both"/>
        <w:ind w:left="863" w:right="7740" w:hanging="471"/>
        <w:spacing w:after="0" w:line="363" w:lineRule="auto"/>
        <w:tabs>
          <w:tab w:leader="none" w:pos="863"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Source of funds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72599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87630</wp:posOffset>
            </wp:positionV>
            <wp:extent cx="725995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150" w:lineRule="exact"/>
        <w:rPr>
          <w:sz w:val="20"/>
          <w:szCs w:val="20"/>
          <w:color w:val="auto"/>
        </w:rPr>
      </w:pPr>
    </w:p>
    <w:p>
      <w:pPr>
        <w:ind w:left="863" w:hanging="471"/>
        <w:spacing w:after="0"/>
        <w:tabs>
          <w:tab w:leader="none" w:pos="863"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72599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63" w:hanging="471"/>
        <w:spacing w:after="0"/>
        <w:tabs>
          <w:tab w:leader="none" w:pos="863"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983"/>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599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27" w:lineRule="exact"/>
        <w:rPr>
          <w:sz w:val="20"/>
          <w:szCs w:val="20"/>
          <w:color w:val="auto"/>
        </w:rPr>
      </w:pPr>
    </w:p>
    <w:tbl>
      <w:tblPr>
        <w:tblLayout w:type="fixed"/>
        <w:tblInd w:w="3" w:type="dxa"/>
        <w:tblCellMar>
          <w:top w:w="0" w:type="dxa"/>
          <w:left w:w="0" w:type="dxa"/>
          <w:bottom w:w="0" w:type="dxa"/>
          <w:right w:w="0" w:type="dxa"/>
        </w:tblCellMar>
      </w:tblPr>
      <w:tr>
        <w:trPr>
          <w:trHeight w:val="190"/>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 7</w:t>
            </w:r>
          </w:p>
        </w:tc>
        <w:tc>
          <w:tcPr>
            <w:tcW w:w="76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HARES</w:t>
            </w:r>
          </w:p>
        </w:tc>
        <w:tc>
          <w:tcPr>
            <w:tcW w:w="34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220"/>
              <w:spacing w:after="0"/>
              <w:rPr>
                <w:sz w:val="20"/>
                <w:szCs w:val="20"/>
                <w:color w:val="auto"/>
              </w:rPr>
            </w:pPr>
            <w:r>
              <w:rPr>
                <w:rFonts w:ascii="Arial" w:cs="Arial" w:eastAsia="Arial" w:hAnsi="Arial"/>
                <w:sz w:val="16"/>
                <w:szCs w:val="16"/>
                <w:b w:val="1"/>
                <w:bCs w:val="1"/>
                <w:color w:val="auto"/>
              </w:rPr>
              <w:t>53,600   (Item 5)</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20" w:type="dxa"/>
            <w:vAlign w:val="bottom"/>
          </w:tcPr>
          <w:p>
            <w:pPr>
              <w:spacing w:after="0" w:line="168" w:lineRule="exact"/>
              <w:rPr>
                <w:sz w:val="20"/>
                <w:szCs w:val="20"/>
                <w:color w:val="auto"/>
              </w:rPr>
            </w:pPr>
            <w:r>
              <w:rPr>
                <w:rFonts w:ascii="Arial" w:cs="Arial" w:eastAsia="Arial" w:hAnsi="Arial"/>
                <w:sz w:val="16"/>
                <w:szCs w:val="16"/>
                <w:b w:val="1"/>
                <w:bCs w:val="1"/>
                <w:color w:val="auto"/>
              </w:rPr>
              <w:t>: 8</w:t>
            </w:r>
          </w:p>
        </w:tc>
        <w:tc>
          <w:tcPr>
            <w:tcW w:w="7640" w:type="dxa"/>
            <w:vAlign w:val="bottom"/>
          </w:tcPr>
          <w:p>
            <w:pPr>
              <w:ind w:left="18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4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8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1"/>
        </w:trPr>
        <w:tc>
          <w:tcPr>
            <w:tcW w:w="3460" w:type="dxa"/>
            <w:vAlign w:val="bottom"/>
          </w:tcPr>
          <w:p>
            <w:pPr>
              <w:spacing w:after="0"/>
              <w:rPr>
                <w:sz w:val="18"/>
                <w:szCs w:val="18"/>
                <w:color w:val="auto"/>
              </w:rPr>
            </w:pP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43"/>
          </w:cols>
          <w:pgMar w:left="237" w:top="342" w:right="219" w:bottom="1440" w:gutter="0" w:footer="0" w:header="0"/>
        </w:sectPr>
      </w:pPr>
    </w:p>
    <w:p>
      <w:pPr>
        <w:jc w:val="center"/>
        <w:ind w:left="723"/>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p>
      <w:pPr>
        <w:spacing w:after="0" w:line="213" w:lineRule="exact"/>
        <w:rPr>
          <w:sz w:val="20"/>
          <w:szCs w:val="20"/>
          <w:color w:val="auto"/>
        </w:rPr>
      </w:pPr>
    </w:p>
    <w:p>
      <w:pPr>
        <w:jc w:val="center"/>
        <w:ind w:left="723"/>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p>
      <w:pPr>
        <w:spacing w:after="0" w:line="230" w:lineRule="exact"/>
        <w:rPr>
          <w:sz w:val="20"/>
          <w:szCs w:val="20"/>
          <w:color w:val="auto"/>
        </w:rPr>
      </w:pPr>
    </w:p>
    <w:p>
      <w:pPr>
        <w:jc w:val="center"/>
        <w:ind w:left="723"/>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ERSON</w:t>
      </w:r>
    </w:p>
    <w:p>
      <w:pPr>
        <w:spacing w:after="0" w:line="230" w:lineRule="exact"/>
        <w:rPr>
          <w:sz w:val="20"/>
          <w:szCs w:val="20"/>
          <w:color w:val="auto"/>
        </w:rPr>
      </w:pPr>
    </w:p>
    <w:p>
      <w:pPr>
        <w:jc w:val="center"/>
        <w:ind w:left="723"/>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p>
      <w:pPr>
        <w:spacing w:after="0" w:line="20" w:lineRule="exact"/>
        <w:rPr>
          <w:sz w:val="20"/>
          <w:szCs w:val="20"/>
          <w:color w:val="auto"/>
        </w:rPr>
      </w:pPr>
      <w:r>
        <w:rPr>
          <w:sz w:val="20"/>
          <w:szCs w:val="20"/>
          <w:color w:val="auto"/>
        </w:rPr>
        <w:br w:type="column"/>
      </w:r>
    </w:p>
    <w:p>
      <w:pPr>
        <w:ind w:left="100" w:hanging="96"/>
        <w:spacing w:after="0"/>
        <w:tabs>
          <w:tab w:leader="none" w:pos="10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9S</w:t>
      </w:r>
      <w:r>
        <w:rPr>
          <w:rFonts w:ascii="Arial" w:cs="Arial" w:eastAsia="Arial" w:hAnsi="Arial"/>
          <w:sz w:val="10"/>
          <w:szCs w:val="10"/>
          <w:b w:val="1"/>
          <w:bCs w:val="1"/>
          <w:color w:val="auto"/>
        </w:rPr>
        <w:t>OLE DISPOSITIVE POWER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7700" w:type="dxa"/>
            <w:vAlign w:val="bottom"/>
          </w:tcPr>
          <w:p>
            <w:pPr>
              <w:spacing w:after="0"/>
              <w:rPr>
                <w:sz w:val="16"/>
                <w:szCs w:val="16"/>
                <w:color w:val="auto"/>
              </w:rPr>
            </w:pPr>
          </w:p>
        </w:tc>
      </w:tr>
      <w:tr>
        <w:trPr>
          <w:trHeight w:val="195"/>
        </w:trPr>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7700" w:type="dxa"/>
            <w:vAlign w:val="bottom"/>
          </w:tcPr>
          <w:p>
            <w:pPr>
              <w:ind w:left="240"/>
              <w:spacing w:after="0"/>
              <w:rPr>
                <w:sz w:val="20"/>
                <w:szCs w:val="20"/>
                <w:color w:val="auto"/>
              </w:rPr>
            </w:pPr>
            <w:r>
              <w:rPr>
                <w:rFonts w:ascii="Arial" w:cs="Arial" w:eastAsia="Arial" w:hAnsi="Arial"/>
                <w:sz w:val="16"/>
                <w:szCs w:val="16"/>
                <w:b w:val="1"/>
                <w:bCs w:val="1"/>
                <w:color w:val="auto"/>
              </w:rPr>
              <w:t>53,600   (Item 5)</w:t>
            </w:r>
          </w:p>
        </w:tc>
      </w:tr>
      <w:tr>
        <w:trPr>
          <w:trHeight w:val="211"/>
        </w:trPr>
        <w:tc>
          <w:tcPr>
            <w:tcW w:w="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7700" w:type="dxa"/>
            <w:vAlign w:val="bottom"/>
            <w:tcBorders>
              <w:bottom w:val="single" w:sz="8" w:color="auto"/>
            </w:tcBorders>
          </w:tcPr>
          <w:p>
            <w:pPr>
              <w:spacing w:after="0"/>
              <w:rPr>
                <w:sz w:val="18"/>
                <w:szCs w:val="18"/>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700" w:type="dxa"/>
            <w:vAlign w:val="bottom"/>
            <w:tcBorders>
              <w:bottom w:val="single" w:sz="8" w:color="auto"/>
            </w:tcBorders>
          </w:tcPr>
          <w:p>
            <w:pPr>
              <w:spacing w:after="0" w:line="20" w:lineRule="exact"/>
              <w:rPr>
                <w:sz w:val="1"/>
                <w:szCs w:val="1"/>
                <w:color w:val="auto"/>
              </w:rPr>
            </w:pPr>
          </w:p>
        </w:tc>
      </w:tr>
    </w:tbl>
    <w:p>
      <w:pPr>
        <w:spacing w:after="0"/>
        <w:tabs>
          <w:tab w:leader="none" w:pos="50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19" w:lineRule="exact"/>
        <w:rPr>
          <w:sz w:val="20"/>
          <w:szCs w:val="20"/>
          <w:color w:val="auto"/>
        </w:rPr>
      </w:pPr>
    </w:p>
    <w:p>
      <w:pPr>
        <w:ind w:left="520" w:hanging="516"/>
        <w:spacing w:after="0"/>
        <w:tabs>
          <w:tab w:leader="none" w:pos="52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5715</wp:posOffset>
            </wp:positionV>
            <wp:extent cx="72599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2743" w:space="720"/>
            <w:col w:w="7980"/>
          </w:cols>
          <w:pgMar w:left="237" w:top="342" w:right="219" w:bottom="1440" w:gutter="0" w:footer="0" w:header="0"/>
          <w:type w:val="continuous"/>
        </w:sectPr>
      </w:pPr>
    </w:p>
    <w:p>
      <w:pPr>
        <w:ind w:left="863" w:hanging="863"/>
        <w:spacing w:after="0"/>
        <w:tabs>
          <w:tab w:leader="none" w:pos="863"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10" w:lineRule="exact"/>
        <w:rPr>
          <w:sz w:val="20"/>
          <w:szCs w:val="20"/>
          <w:color w:val="auto"/>
        </w:rPr>
      </w:pPr>
    </w:p>
    <w:p>
      <w:pPr>
        <w:ind w:left="863"/>
        <w:spacing w:after="0"/>
        <w:tabs>
          <w:tab w:leader="none" w:pos="1482" w:val="left"/>
        </w:tabs>
        <w:rPr>
          <w:sz w:val="20"/>
          <w:szCs w:val="20"/>
          <w:color w:val="auto"/>
        </w:rPr>
      </w:pPr>
      <w:r>
        <w:rPr>
          <w:rFonts w:ascii="Arial" w:cs="Arial" w:eastAsia="Arial" w:hAnsi="Arial"/>
          <w:sz w:val="16"/>
          <w:szCs w:val="16"/>
          <w:b w:val="1"/>
          <w:bCs w:val="1"/>
          <w:color w:val="auto"/>
        </w:rPr>
        <w:t>53,600</w:t>
        <w:tab/>
        <w:t>(Item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25995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83" w:lineRule="exact"/>
        <w:rPr>
          <w:sz w:val="20"/>
          <w:szCs w:val="20"/>
          <w:color w:val="auto"/>
        </w:rPr>
      </w:pPr>
    </w:p>
    <w:p>
      <w:pPr>
        <w:ind w:left="863" w:hanging="863"/>
        <w:spacing w:after="0"/>
        <w:tabs>
          <w:tab w:leader="none" w:pos="863"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2599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863" w:hanging="863"/>
        <w:spacing w:after="0"/>
        <w:tabs>
          <w:tab w:leader="none" w:pos="863"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10"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25995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83" w:lineRule="exact"/>
        <w:rPr>
          <w:sz w:val="20"/>
          <w:szCs w:val="20"/>
          <w:color w:val="auto"/>
        </w:rPr>
      </w:pPr>
    </w:p>
    <w:p>
      <w:pPr>
        <w:ind w:left="1023" w:right="7140" w:hanging="1023"/>
        <w:spacing w:after="0" w:line="288" w:lineRule="auto"/>
        <w:tabs>
          <w:tab w:leader="none" w:pos="86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5995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72599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294005</wp:posOffset>
            </wp:positionV>
            <wp:extent cx="725995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726503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3"/>
          </w:cols>
          <w:pgMar w:left="237" w:top="342" w:right="219" w:bottom="1440" w:gutter="0" w:footer="0" w:header="0"/>
          <w:type w:val="continuous"/>
        </w:sectPr>
      </w:pPr>
    </w:p>
    <w:bookmarkStart w:id="5" w:name="page6"/>
    <w:bookmarkEnd w:id="5"/>
    <w:p>
      <w:pPr>
        <w:ind w:left="3"/>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5995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pacing w:after="0" w:line="15" w:lineRule="exact"/>
        <w:rPr>
          <w:sz w:val="20"/>
          <w:szCs w:val="20"/>
          <w:color w:val="auto"/>
        </w:rPr>
      </w:pPr>
    </w:p>
    <w:p>
      <w:pPr>
        <w:ind w:left="863" w:hanging="471"/>
        <w:spacing w:after="0"/>
        <w:tabs>
          <w:tab w:leader="none" w:pos="86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26" w:lineRule="exact"/>
        <w:rPr>
          <w:rFonts w:ascii="Arial" w:cs="Arial" w:eastAsia="Arial" w:hAnsi="Arial"/>
          <w:sz w:val="16"/>
          <w:szCs w:val="16"/>
          <w:b w:val="1"/>
          <w:bCs w:val="1"/>
          <w:color w:val="auto"/>
        </w:rPr>
      </w:pPr>
    </w:p>
    <w:p>
      <w:pPr>
        <w:ind w:left="86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11"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GGCP, Inc.</w:t>
      </w:r>
    </w:p>
    <w:p>
      <w:pPr>
        <w:spacing w:after="0" w:line="11"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I.D. No. 13-3056041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5995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3" w:lineRule="exact"/>
        <w:rPr>
          <w:sz w:val="20"/>
          <w:szCs w:val="20"/>
          <w:color w:val="auto"/>
        </w:rPr>
      </w:pPr>
    </w:p>
    <w:p>
      <w:pPr>
        <w:ind w:left="863" w:hanging="471"/>
        <w:spacing w:after="0"/>
        <w:tabs>
          <w:tab w:leader="none" w:pos="863"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Check the appropriate box if a member of a group (SEE INSTRUCTIONS)(a)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5995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58" w:lineRule="exact"/>
        <w:rPr>
          <w:sz w:val="20"/>
          <w:szCs w:val="20"/>
          <w:color w:val="auto"/>
        </w:rPr>
      </w:pPr>
    </w:p>
    <w:p>
      <w:pPr>
        <w:ind w:left="863" w:hanging="471"/>
        <w:spacing w:after="0"/>
        <w:tabs>
          <w:tab w:leader="none" w:pos="863"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25995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58" w:lineRule="exact"/>
        <w:rPr>
          <w:sz w:val="20"/>
          <w:szCs w:val="20"/>
          <w:color w:val="auto"/>
        </w:rPr>
      </w:pPr>
    </w:p>
    <w:p>
      <w:pPr>
        <w:ind w:left="863" w:hanging="471"/>
        <w:spacing w:after="0"/>
        <w:tabs>
          <w:tab w:leader="none" w:pos="863"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w:t>
      </w:r>
    </w:p>
    <w:p>
      <w:pPr>
        <w:spacing w:after="0" w:line="26" w:lineRule="exact"/>
        <w:rPr>
          <w:rFonts w:ascii="Arial" w:cs="Arial" w:eastAsia="Arial" w:hAnsi="Arial"/>
          <w:sz w:val="16"/>
          <w:szCs w:val="16"/>
          <w:b w:val="1"/>
          <w:bCs w:val="1"/>
          <w:color w:val="auto"/>
        </w:rPr>
      </w:pPr>
    </w:p>
    <w:p>
      <w:pPr>
        <w:ind w:left="86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725995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25995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42" w:lineRule="exact"/>
        <w:rPr>
          <w:sz w:val="20"/>
          <w:szCs w:val="20"/>
          <w:color w:val="auto"/>
        </w:rPr>
      </w:pPr>
    </w:p>
    <w:p>
      <w:pPr>
        <w:ind w:left="863" w:hanging="471"/>
        <w:spacing w:after="0"/>
        <w:tabs>
          <w:tab w:leader="none" w:pos="863"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725995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63" w:hanging="471"/>
        <w:spacing w:after="0"/>
        <w:tabs>
          <w:tab w:leader="none" w:pos="863"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983"/>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5995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27" w:lineRule="exact"/>
        <w:rPr>
          <w:sz w:val="20"/>
          <w:szCs w:val="20"/>
          <w:color w:val="auto"/>
        </w:rPr>
      </w:pPr>
    </w:p>
    <w:tbl>
      <w:tblPr>
        <w:tblLayout w:type="fixed"/>
        <w:tblInd w:w="3" w:type="dxa"/>
        <w:tblCellMar>
          <w:top w:w="0" w:type="dxa"/>
          <w:left w:w="0" w:type="dxa"/>
          <w:bottom w:w="0" w:type="dxa"/>
          <w:right w:w="0" w:type="dxa"/>
        </w:tblCellMar>
      </w:tblPr>
      <w:tr>
        <w:trPr>
          <w:trHeight w:val="190"/>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 7</w:t>
            </w:r>
          </w:p>
        </w:tc>
        <w:tc>
          <w:tcPr>
            <w:tcW w:w="762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HARES</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 8</w:t>
            </w:r>
          </w:p>
        </w:tc>
        <w:tc>
          <w:tcPr>
            <w:tcW w:w="762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 9</w:t>
            </w:r>
          </w:p>
        </w:tc>
        <w:tc>
          <w:tcPr>
            <w:tcW w:w="762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w:t>
            </w:r>
            <w:r>
              <w:rPr>
                <w:rFonts w:ascii="Arial" w:cs="Arial" w:eastAsia="Arial" w:hAnsi="Arial"/>
                <w:sz w:val="10"/>
                <w:szCs w:val="10"/>
                <w:b w:val="1"/>
                <w:bCs w:val="1"/>
                <w:color w:val="auto"/>
                <w:w w:val="99"/>
              </w:rPr>
              <w:t>ERSON</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:10</w:t>
            </w:r>
          </w:p>
        </w:tc>
        <w:tc>
          <w:tcPr>
            <w:tcW w:w="762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1"/>
        </w:trPr>
        <w:tc>
          <w:tcPr>
            <w:tcW w:w="3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63" w:right="6240" w:hanging="863"/>
        <w:spacing w:after="0" w:line="396" w:lineRule="auto"/>
        <w:tabs>
          <w:tab w:leader="none" w:pos="863"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r>
        <w:rPr>
          <w:rFonts w:ascii="Arial" w:cs="Arial" w:eastAsia="Arial" w:hAnsi="Arial"/>
          <w:sz w:val="16"/>
          <w:szCs w:val="16"/>
          <w:b w:val="1"/>
          <w:bCs w:val="1"/>
          <w:color w:val="auto"/>
        </w:rPr>
        <w:t xml:space="preserve"> N</w:t>
      </w:r>
      <w:r>
        <w:rPr>
          <w:rFonts w:ascii="Arial" w:cs="Arial" w:eastAsia="Arial" w:hAnsi="Arial"/>
          <w:sz w:val="10"/>
          <w:szCs w:val="10"/>
          <w:b w:val="1"/>
          <w:bCs w:val="1"/>
          <w:color w:val="auto"/>
        </w:rPr>
        <w:t>ONE</w:t>
      </w:r>
    </w:p>
    <w:p>
      <w:pPr>
        <w:spacing w:after="0" w:line="200" w:lineRule="exact"/>
        <w:rPr>
          <w:rFonts w:ascii="Arial" w:cs="Arial" w:eastAsia="Arial" w:hAnsi="Arial"/>
          <w:sz w:val="16"/>
          <w:szCs w:val="16"/>
          <w:b w:val="1"/>
          <w:bCs w:val="1"/>
          <w:color w:val="auto"/>
        </w:rPr>
      </w:pPr>
    </w:p>
    <w:p>
      <w:pPr>
        <w:spacing w:after="0" w:line="379" w:lineRule="exact"/>
        <w:rPr>
          <w:rFonts w:ascii="Arial" w:cs="Arial" w:eastAsia="Arial" w:hAnsi="Arial"/>
          <w:sz w:val="16"/>
          <w:szCs w:val="16"/>
          <w:b w:val="1"/>
          <w:bCs w:val="1"/>
          <w:color w:val="auto"/>
        </w:rPr>
      </w:pPr>
    </w:p>
    <w:p>
      <w:pPr>
        <w:ind w:left="863" w:hanging="863"/>
        <w:spacing w:after="0"/>
        <w:tabs>
          <w:tab w:leader="none" w:pos="863"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995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2599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863" w:hanging="863"/>
        <w:spacing w:after="0"/>
        <w:tabs>
          <w:tab w:leader="none" w:pos="863"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10"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25995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83" w:lineRule="exact"/>
        <w:rPr>
          <w:sz w:val="20"/>
          <w:szCs w:val="20"/>
          <w:color w:val="auto"/>
        </w:rPr>
      </w:pPr>
    </w:p>
    <w:p>
      <w:pPr>
        <w:ind w:left="1023" w:right="7140" w:hanging="1023"/>
        <w:spacing w:after="0" w:line="288" w:lineRule="auto"/>
        <w:tabs>
          <w:tab w:leader="none" w:pos="86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5995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725995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wp:posOffset>
            </wp:positionV>
            <wp:extent cx="72599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503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3"/>
          </w:cols>
          <w:pgMar w:left="237" w:top="342" w:right="219" w:bottom="1440" w:gutter="0" w:footer="0" w:header="0"/>
        </w:sectPr>
      </w:pPr>
    </w:p>
    <w:bookmarkStart w:id="6" w:name="page7"/>
    <w:bookmarkEnd w:id="6"/>
    <w:p>
      <w:pPr>
        <w:ind w:left="3"/>
        <w:spacing w:after="0"/>
        <w:rPr>
          <w:sz w:val="20"/>
          <w:szCs w:val="20"/>
          <w:color w:val="auto"/>
        </w:rPr>
      </w:pPr>
      <w:r>
        <w:rPr>
          <w:rFonts w:ascii="Arial" w:cs="Arial" w:eastAsia="Arial" w:hAnsi="Arial"/>
          <w:sz w:val="16"/>
          <w:szCs w:val="16"/>
          <w:b w:val="1"/>
          <w:bCs w:val="1"/>
          <w:color w:val="auto"/>
        </w:rPr>
        <w:t>CUSIP No. 420261109</w:t>
      </w:r>
    </w:p>
    <w:p>
      <w:pPr>
        <w:spacing w:after="0" w:line="26" w:lineRule="exact"/>
        <w:rPr>
          <w:sz w:val="20"/>
          <w:szCs w:val="20"/>
          <w:color w:val="auto"/>
        </w:rPr>
      </w:pPr>
    </w:p>
    <w:tbl>
      <w:tblPr>
        <w:tblLayout w:type="fixed"/>
        <w:tblInd w:w="3" w:type="dxa"/>
        <w:tblCellMar>
          <w:top w:w="0" w:type="dxa"/>
          <w:left w:w="0" w:type="dxa"/>
          <w:bottom w:w="0" w:type="dxa"/>
          <w:right w:w="0" w:type="dxa"/>
        </w:tblCellMar>
      </w:tblPr>
      <w:tr>
        <w:trPr>
          <w:trHeight w:val="183"/>
        </w:trPr>
        <w:tc>
          <w:tcPr>
            <w:tcW w:w="6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w:t>
            </w:r>
          </w:p>
        </w:tc>
        <w:tc>
          <w:tcPr>
            <w:tcW w:w="718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tc>
        <w:tc>
          <w:tcPr>
            <w:tcW w:w="3640" w:type="dxa"/>
            <w:vAlign w:val="bottom"/>
            <w:tcBorders>
              <w:top w:val="single" w:sz="8" w:color="auto"/>
            </w:tcBorders>
          </w:tcPr>
          <w:p>
            <w:pPr>
              <w:spacing w:after="0"/>
              <w:rPr>
                <w:sz w:val="15"/>
                <w:szCs w:val="15"/>
                <w:color w:val="auto"/>
              </w:rPr>
            </w:pPr>
          </w:p>
        </w:tc>
      </w:tr>
      <w:tr>
        <w:trPr>
          <w:trHeight w:val="195"/>
        </w:trPr>
        <w:tc>
          <w:tcPr>
            <w:tcW w:w="620" w:type="dxa"/>
            <w:vAlign w:val="bottom"/>
          </w:tcPr>
          <w:p>
            <w:pPr>
              <w:spacing w:after="0"/>
              <w:rPr>
                <w:sz w:val="16"/>
                <w:szCs w:val="16"/>
                <w:color w:val="auto"/>
              </w:rPr>
            </w:pPr>
          </w:p>
        </w:tc>
        <w:tc>
          <w:tcPr>
            <w:tcW w:w="7180" w:type="dxa"/>
            <w:vAlign w:val="bottom"/>
          </w:tcPr>
          <w:p>
            <w:pPr>
              <w:ind w:left="200"/>
              <w:spacing w:after="0"/>
              <w:rPr>
                <w:sz w:val="20"/>
                <w:szCs w:val="20"/>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tc>
        <w:tc>
          <w:tcPr>
            <w:tcW w:w="3640" w:type="dxa"/>
            <w:vAlign w:val="bottom"/>
          </w:tcPr>
          <w:p>
            <w:pPr>
              <w:spacing w:after="0"/>
              <w:rPr>
                <w:sz w:val="16"/>
                <w:szCs w:val="16"/>
                <w:color w:val="auto"/>
              </w:rPr>
            </w:pPr>
          </w:p>
        </w:tc>
      </w:tr>
      <w:tr>
        <w:trPr>
          <w:trHeight w:val="195"/>
        </w:trPr>
        <w:tc>
          <w:tcPr>
            <w:tcW w:w="620" w:type="dxa"/>
            <w:vAlign w:val="bottom"/>
          </w:tcPr>
          <w:p>
            <w:pPr>
              <w:spacing w:after="0"/>
              <w:rPr>
                <w:sz w:val="16"/>
                <w:szCs w:val="16"/>
                <w:color w:val="auto"/>
              </w:rPr>
            </w:pPr>
          </w:p>
        </w:tc>
        <w:tc>
          <w:tcPr>
            <w:tcW w:w="7180" w:type="dxa"/>
            <w:vAlign w:val="bottom"/>
          </w:tcPr>
          <w:p>
            <w:pPr>
              <w:ind w:left="200"/>
              <w:spacing w:after="0"/>
              <w:rPr>
                <w:sz w:val="20"/>
                <w:szCs w:val="20"/>
                <w:color w:val="auto"/>
              </w:rPr>
            </w:pPr>
            <w:r>
              <w:rPr>
                <w:rFonts w:ascii="Arial" w:cs="Arial" w:eastAsia="Arial" w:hAnsi="Arial"/>
                <w:sz w:val="16"/>
                <w:szCs w:val="16"/>
                <w:b w:val="1"/>
                <w:bCs w:val="1"/>
                <w:color w:val="auto"/>
              </w:rPr>
              <w:t>GAMCO Investors,</w:t>
            </w:r>
          </w:p>
        </w:tc>
        <w:tc>
          <w:tcPr>
            <w:tcW w:w="3640" w:type="dxa"/>
            <w:vAlign w:val="bottom"/>
          </w:tcPr>
          <w:p>
            <w:pPr>
              <w:spacing w:after="0"/>
              <w:rPr>
                <w:sz w:val="16"/>
                <w:szCs w:val="16"/>
                <w:color w:val="auto"/>
              </w:rPr>
            </w:pPr>
          </w:p>
        </w:tc>
      </w:tr>
      <w:tr>
        <w:trPr>
          <w:trHeight w:val="195"/>
        </w:trPr>
        <w:tc>
          <w:tcPr>
            <w:tcW w:w="620" w:type="dxa"/>
            <w:vAlign w:val="bottom"/>
          </w:tcPr>
          <w:p>
            <w:pPr>
              <w:spacing w:after="0"/>
              <w:rPr>
                <w:sz w:val="16"/>
                <w:szCs w:val="16"/>
                <w:color w:val="auto"/>
              </w:rPr>
            </w:pPr>
          </w:p>
        </w:tc>
        <w:tc>
          <w:tcPr>
            <w:tcW w:w="7180" w:type="dxa"/>
            <w:vAlign w:val="bottom"/>
          </w:tcPr>
          <w:p>
            <w:pPr>
              <w:ind w:left="200"/>
              <w:spacing w:after="0"/>
              <w:rPr>
                <w:sz w:val="20"/>
                <w:szCs w:val="20"/>
                <w:color w:val="auto"/>
              </w:rPr>
            </w:pPr>
            <w:r>
              <w:rPr>
                <w:rFonts w:ascii="Arial" w:cs="Arial" w:eastAsia="Arial" w:hAnsi="Arial"/>
                <w:sz w:val="16"/>
                <w:szCs w:val="16"/>
                <w:b w:val="1"/>
                <w:bCs w:val="1"/>
                <w:color w:val="auto"/>
              </w:rPr>
              <w:t>Inc.</w:t>
            </w:r>
          </w:p>
        </w:tc>
        <w:tc>
          <w:tcPr>
            <w:tcW w:w="3640" w:type="dxa"/>
            <w:vAlign w:val="bottom"/>
          </w:tcPr>
          <w:p>
            <w:pPr>
              <w:ind w:left="3120"/>
              <w:spacing w:after="0"/>
              <w:rPr>
                <w:sz w:val="20"/>
                <w:szCs w:val="20"/>
                <w:color w:val="auto"/>
              </w:rPr>
            </w:pPr>
            <w:r>
              <w:rPr>
                <w:rFonts w:ascii="Arial" w:cs="Arial" w:eastAsia="Arial" w:hAnsi="Arial"/>
                <w:sz w:val="16"/>
                <w:szCs w:val="16"/>
                <w:b w:val="1"/>
                <w:bCs w:val="1"/>
                <w:color w:val="auto"/>
              </w:rPr>
              <w:t>I.D.</w:t>
            </w:r>
          </w:p>
        </w:tc>
      </w:tr>
      <w:tr>
        <w:trPr>
          <w:trHeight w:val="211"/>
        </w:trPr>
        <w:tc>
          <w:tcPr>
            <w:tcW w:w="62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No. 13-4007862</w:t>
            </w:r>
          </w:p>
        </w:tc>
        <w:tc>
          <w:tcPr>
            <w:tcW w:w="3640" w:type="dxa"/>
            <w:vAlign w:val="bottom"/>
            <w:tcBorders>
              <w:bottom w:val="single" w:sz="8" w:color="auto"/>
            </w:tcBorders>
          </w:tcPr>
          <w:p>
            <w:pPr>
              <w:spacing w:after="0"/>
              <w:rPr>
                <w:sz w:val="18"/>
                <w:szCs w:val="18"/>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r>
    </w:tbl>
    <w:p>
      <w:pPr>
        <w:ind w:left="823"/>
        <w:spacing w:after="0"/>
        <w:rPr>
          <w:sz w:val="20"/>
          <w:szCs w:val="20"/>
          <w:color w:val="auto"/>
        </w:rPr>
      </w:pPr>
      <w:r>
        <w:rPr>
          <w:rFonts w:ascii="Arial" w:cs="Arial" w:eastAsia="Arial" w:hAnsi="Arial"/>
          <w:sz w:val="16"/>
          <w:szCs w:val="16"/>
          <w:b w:val="1"/>
          <w:bCs w:val="1"/>
          <w:color w:val="auto"/>
        </w:rPr>
        <w:t>Check the appropriate box if a member of a group (SEE INSTRUCTIONS)(a)</w:t>
      </w:r>
    </w:p>
    <w:p>
      <w:pPr>
        <w:spacing w:after="0" w:line="200" w:lineRule="exact"/>
        <w:rPr>
          <w:sz w:val="20"/>
          <w:szCs w:val="20"/>
          <w:color w:val="auto"/>
        </w:rPr>
      </w:pPr>
    </w:p>
    <w:p>
      <w:pPr>
        <w:spacing w:after="0" w:line="232" w:lineRule="exact"/>
        <w:rPr>
          <w:sz w:val="20"/>
          <w:szCs w:val="20"/>
          <w:color w:val="auto"/>
        </w:rPr>
      </w:pPr>
    </w:p>
    <w:p>
      <w:pPr>
        <w:ind w:left="823"/>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5995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58" w:lineRule="exact"/>
        <w:rPr>
          <w:sz w:val="20"/>
          <w:szCs w:val="20"/>
          <w:color w:val="auto"/>
        </w:rPr>
      </w:pPr>
    </w:p>
    <w:p>
      <w:pPr>
        <w:ind w:left="823" w:hanging="456"/>
        <w:spacing w:after="0"/>
        <w:tabs>
          <w:tab w:leader="none" w:pos="823"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25995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58" w:lineRule="exact"/>
        <w:rPr>
          <w:sz w:val="20"/>
          <w:szCs w:val="20"/>
          <w:color w:val="auto"/>
        </w:rPr>
      </w:pPr>
    </w:p>
    <w:p>
      <w:pPr>
        <w:ind w:left="823" w:hanging="456"/>
        <w:spacing w:after="0"/>
        <w:tabs>
          <w:tab w:leader="none" w:pos="823"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w:t>
      </w:r>
    </w:p>
    <w:p>
      <w:pPr>
        <w:spacing w:after="0" w:line="26" w:lineRule="exact"/>
        <w:rPr>
          <w:rFonts w:ascii="Arial" w:cs="Arial" w:eastAsia="Arial" w:hAnsi="Arial"/>
          <w:sz w:val="16"/>
          <w:szCs w:val="16"/>
          <w:b w:val="1"/>
          <w:bCs w:val="1"/>
          <w:color w:val="auto"/>
        </w:rPr>
      </w:pPr>
    </w:p>
    <w:p>
      <w:pPr>
        <w:ind w:left="82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725995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25995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42" w:lineRule="exact"/>
        <w:rPr>
          <w:sz w:val="20"/>
          <w:szCs w:val="20"/>
          <w:color w:val="auto"/>
        </w:rPr>
      </w:pPr>
    </w:p>
    <w:p>
      <w:pPr>
        <w:ind w:left="823" w:hanging="456"/>
        <w:spacing w:after="0"/>
        <w:tabs>
          <w:tab w:leader="none" w:pos="823"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725995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23" w:hanging="456"/>
        <w:spacing w:after="0"/>
        <w:tabs>
          <w:tab w:leader="none" w:pos="823"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903"/>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5995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27" w:lineRule="exact"/>
        <w:rPr>
          <w:sz w:val="20"/>
          <w:szCs w:val="20"/>
          <w:color w:val="auto"/>
        </w:rPr>
      </w:pPr>
    </w:p>
    <w:tbl>
      <w:tblPr>
        <w:tblLayout w:type="fixed"/>
        <w:tblInd w:w="3" w:type="dxa"/>
        <w:tblCellMar>
          <w:top w:w="0" w:type="dxa"/>
          <w:left w:w="0" w:type="dxa"/>
          <w:bottom w:w="0" w:type="dxa"/>
          <w:right w:w="0" w:type="dxa"/>
        </w:tblCellMar>
      </w:tblPr>
      <w:tr>
        <w:trPr>
          <w:trHeight w:val="190"/>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 7</w:t>
            </w:r>
          </w:p>
        </w:tc>
        <w:tc>
          <w:tcPr>
            <w:tcW w:w="764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HARES</w:t>
            </w:r>
          </w:p>
        </w:tc>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38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20" w:type="dxa"/>
            <w:vAlign w:val="bottom"/>
            <w:vMerge w:val="continue"/>
          </w:tcPr>
          <w:p>
            <w:pPr>
              <w:spacing w:after="0"/>
              <w:rPr>
                <w:sz w:val="14"/>
                <w:szCs w:val="14"/>
                <w:color w:val="auto"/>
              </w:rPr>
            </w:pPr>
          </w:p>
        </w:tc>
        <w:tc>
          <w:tcPr>
            <w:tcW w:w="380" w:type="dxa"/>
            <w:vAlign w:val="bottom"/>
          </w:tcPr>
          <w:p>
            <w:pPr>
              <w:spacing w:after="0" w:line="168" w:lineRule="exact"/>
              <w:rPr>
                <w:sz w:val="20"/>
                <w:szCs w:val="20"/>
                <w:color w:val="auto"/>
              </w:rPr>
            </w:pPr>
            <w:r>
              <w:rPr>
                <w:rFonts w:ascii="Arial" w:cs="Arial" w:eastAsia="Arial" w:hAnsi="Arial"/>
                <w:sz w:val="16"/>
                <w:szCs w:val="16"/>
                <w:b w:val="1"/>
                <w:bCs w:val="1"/>
                <w:color w:val="auto"/>
              </w:rPr>
              <w:t>: 8</w:t>
            </w:r>
          </w:p>
        </w:tc>
        <w:tc>
          <w:tcPr>
            <w:tcW w:w="764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38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20" w:type="dxa"/>
            <w:vAlign w:val="bottom"/>
            <w:vMerge w:val="continue"/>
          </w:tcPr>
          <w:p>
            <w:pPr>
              <w:spacing w:after="0"/>
              <w:rPr>
                <w:sz w:val="14"/>
                <w:szCs w:val="14"/>
                <w:color w:val="auto"/>
              </w:rPr>
            </w:pPr>
          </w:p>
        </w:tc>
        <w:tc>
          <w:tcPr>
            <w:tcW w:w="380" w:type="dxa"/>
            <w:vAlign w:val="bottom"/>
          </w:tcPr>
          <w:p>
            <w:pPr>
              <w:spacing w:after="0" w:line="168" w:lineRule="exact"/>
              <w:rPr>
                <w:sz w:val="20"/>
                <w:szCs w:val="20"/>
                <w:color w:val="auto"/>
              </w:rPr>
            </w:pPr>
            <w:r>
              <w:rPr>
                <w:rFonts w:ascii="Arial" w:cs="Arial" w:eastAsia="Arial" w:hAnsi="Arial"/>
                <w:sz w:val="16"/>
                <w:szCs w:val="16"/>
                <w:b w:val="1"/>
                <w:bCs w:val="1"/>
                <w:color w:val="auto"/>
              </w:rPr>
              <w:t>: 9</w:t>
            </w:r>
          </w:p>
        </w:tc>
        <w:tc>
          <w:tcPr>
            <w:tcW w:w="764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ERSON</w:t>
            </w:r>
          </w:p>
        </w:tc>
        <w:tc>
          <w:tcPr>
            <w:tcW w:w="38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20" w:type="dxa"/>
            <w:vAlign w:val="bottom"/>
            <w:vMerge w:val="continue"/>
          </w:tcPr>
          <w:p>
            <w:pPr>
              <w:spacing w:after="0"/>
              <w:rPr>
                <w:sz w:val="14"/>
                <w:szCs w:val="14"/>
                <w:color w:val="auto"/>
              </w:rPr>
            </w:pPr>
          </w:p>
        </w:tc>
        <w:tc>
          <w:tcPr>
            <w:tcW w:w="380" w:type="dxa"/>
            <w:vAlign w:val="bottom"/>
          </w:tcPr>
          <w:p>
            <w:pPr>
              <w:spacing w:after="0" w:line="168" w:lineRule="exact"/>
              <w:rPr>
                <w:sz w:val="20"/>
                <w:szCs w:val="20"/>
                <w:color w:val="auto"/>
              </w:rPr>
            </w:pPr>
            <w:r>
              <w:rPr>
                <w:rFonts w:ascii="Arial" w:cs="Arial" w:eastAsia="Arial" w:hAnsi="Arial"/>
                <w:sz w:val="16"/>
                <w:szCs w:val="16"/>
                <w:b w:val="1"/>
                <w:bCs w:val="1"/>
                <w:color w:val="auto"/>
              </w:rPr>
              <w:t>:10</w:t>
            </w:r>
          </w:p>
        </w:tc>
        <w:tc>
          <w:tcPr>
            <w:tcW w:w="764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1"/>
        </w:trPr>
        <w:tc>
          <w:tcPr>
            <w:tcW w:w="3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23" w:right="6280" w:hanging="823"/>
        <w:spacing w:after="0" w:line="396" w:lineRule="auto"/>
        <w:tabs>
          <w:tab w:leader="none" w:pos="823"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r>
        <w:rPr>
          <w:rFonts w:ascii="Arial" w:cs="Arial" w:eastAsia="Arial" w:hAnsi="Arial"/>
          <w:sz w:val="16"/>
          <w:szCs w:val="16"/>
          <w:b w:val="1"/>
          <w:bCs w:val="1"/>
          <w:color w:val="auto"/>
        </w:rPr>
        <w:t xml:space="preserve"> N</w:t>
      </w:r>
      <w:r>
        <w:rPr>
          <w:rFonts w:ascii="Arial" w:cs="Arial" w:eastAsia="Arial" w:hAnsi="Arial"/>
          <w:sz w:val="10"/>
          <w:szCs w:val="10"/>
          <w:b w:val="1"/>
          <w:bCs w:val="1"/>
          <w:color w:val="auto"/>
        </w:rPr>
        <w:t>ONE</w:t>
      </w:r>
    </w:p>
    <w:p>
      <w:pPr>
        <w:spacing w:after="0" w:line="200" w:lineRule="exact"/>
        <w:rPr>
          <w:rFonts w:ascii="Arial" w:cs="Arial" w:eastAsia="Arial" w:hAnsi="Arial"/>
          <w:sz w:val="16"/>
          <w:szCs w:val="16"/>
          <w:b w:val="1"/>
          <w:bCs w:val="1"/>
          <w:color w:val="auto"/>
        </w:rPr>
      </w:pPr>
    </w:p>
    <w:p>
      <w:pPr>
        <w:spacing w:after="0" w:line="379" w:lineRule="exact"/>
        <w:rPr>
          <w:rFonts w:ascii="Arial" w:cs="Arial" w:eastAsia="Arial" w:hAnsi="Arial"/>
          <w:sz w:val="16"/>
          <w:szCs w:val="16"/>
          <w:b w:val="1"/>
          <w:bCs w:val="1"/>
          <w:color w:val="auto"/>
        </w:rPr>
      </w:pPr>
    </w:p>
    <w:p>
      <w:pPr>
        <w:ind w:left="823" w:hanging="823"/>
        <w:spacing w:after="0"/>
        <w:tabs>
          <w:tab w:leader="none" w:pos="823"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995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823"/>
        <w:spacing w:after="0"/>
        <w:rPr>
          <w:sz w:val="20"/>
          <w:szCs w:val="20"/>
          <w:color w:val="auto"/>
        </w:rPr>
      </w:pPr>
      <w:r>
        <w:rPr>
          <w:rFonts w:ascii="Arial" w:cs="Arial" w:eastAsia="Arial" w:hAnsi="Arial"/>
          <w:sz w:val="16"/>
          <w:szCs w:val="16"/>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25995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823" w:hanging="823"/>
        <w:spacing w:after="0"/>
        <w:tabs>
          <w:tab w:leader="none" w:pos="823"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10" w:lineRule="exact"/>
        <w:rPr>
          <w:sz w:val="20"/>
          <w:szCs w:val="20"/>
          <w:color w:val="auto"/>
        </w:rPr>
      </w:pPr>
    </w:p>
    <w:p>
      <w:pPr>
        <w:ind w:left="823"/>
        <w:spacing w:after="0"/>
        <w:rPr>
          <w:sz w:val="20"/>
          <w:szCs w:val="20"/>
          <w:color w:val="auto"/>
        </w:rPr>
      </w:pPr>
      <w:r>
        <w:rPr>
          <w:rFonts w:ascii="Arial" w:cs="Arial" w:eastAsia="Arial" w:hAnsi="Arial"/>
          <w:sz w:val="16"/>
          <w:szCs w:val="16"/>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25995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83" w:lineRule="exact"/>
        <w:rPr>
          <w:sz w:val="20"/>
          <w:szCs w:val="20"/>
          <w:color w:val="auto"/>
        </w:rPr>
      </w:pPr>
    </w:p>
    <w:p>
      <w:pPr>
        <w:ind w:left="983" w:right="7180" w:hanging="983"/>
        <w:spacing w:after="0" w:line="288" w:lineRule="auto"/>
        <w:tabs>
          <w:tab w:leader="none" w:pos="82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599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72599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294005</wp:posOffset>
            </wp:positionV>
            <wp:extent cx="72599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503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3"/>
          </w:cols>
          <w:pgMar w:left="237" w:top="342" w:right="219" w:bottom="1440" w:gutter="0" w:footer="0" w:header="0"/>
        </w:sectPr>
      </w:pPr>
    </w:p>
    <w:bookmarkStart w:id="7" w:name="page8"/>
    <w:bookmarkEnd w:id="7"/>
    <w:p>
      <w:pPr>
        <w:ind w:left="3"/>
        <w:spacing w:after="0"/>
        <w:rPr>
          <w:sz w:val="20"/>
          <w:szCs w:val="20"/>
          <w:color w:val="auto"/>
        </w:rPr>
      </w:pPr>
      <w:r>
        <w:rPr>
          <w:rFonts w:ascii="Arial" w:cs="Arial" w:eastAsia="Arial" w:hAnsi="Arial"/>
          <w:sz w:val="16"/>
          <w:szCs w:val="16"/>
          <w:b w:val="1"/>
          <w:bCs w:val="1"/>
          <w:color w:val="auto"/>
        </w:rPr>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5995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9955" cy="15240"/>
                    </a:xfrm>
                    <a:prstGeom prst="rect">
                      <a:avLst/>
                    </a:prstGeom>
                    <a:noFill/>
                  </pic:spPr>
                </pic:pic>
              </a:graphicData>
            </a:graphic>
          </wp:anchor>
        </w:drawing>
      </w:r>
    </w:p>
    <w:p>
      <w:pPr>
        <w:spacing w:after="0" w:line="15" w:lineRule="exact"/>
        <w:rPr>
          <w:sz w:val="20"/>
          <w:szCs w:val="20"/>
          <w:color w:val="auto"/>
        </w:rPr>
      </w:pPr>
    </w:p>
    <w:p>
      <w:pPr>
        <w:ind w:left="863" w:hanging="471"/>
        <w:spacing w:after="0"/>
        <w:tabs>
          <w:tab w:leader="none" w:pos="863"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AMES OF REPORTING PERSONS</w:t>
      </w:r>
    </w:p>
    <w:p>
      <w:pPr>
        <w:spacing w:after="0" w:line="26" w:lineRule="exact"/>
        <w:rPr>
          <w:rFonts w:ascii="Arial" w:cs="Arial" w:eastAsia="Arial" w:hAnsi="Arial"/>
          <w:sz w:val="16"/>
          <w:szCs w:val="16"/>
          <w:b w:val="1"/>
          <w:bCs w:val="1"/>
          <w:color w:val="auto"/>
        </w:rPr>
      </w:pPr>
    </w:p>
    <w:p>
      <w:pPr>
        <w:ind w:left="86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I.R.S. </w:t>
      </w:r>
      <w:r>
        <w:rPr>
          <w:rFonts w:ascii="Arial" w:cs="Arial" w:eastAsia="Arial" w:hAnsi="Arial"/>
          <w:sz w:val="10"/>
          <w:szCs w:val="10"/>
          <w:b w:val="1"/>
          <w:bCs w:val="1"/>
          <w:color w:val="auto"/>
        </w:rPr>
        <w:t>IDENTIFICATION NOS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OF ABOVE PERSONS</w:t>
      </w:r>
      <w:r>
        <w:rPr>
          <w:rFonts w:ascii="Arial" w:cs="Arial" w:eastAsia="Arial" w:hAnsi="Arial"/>
          <w:sz w:val="16"/>
          <w:szCs w:val="16"/>
          <w:b w:val="1"/>
          <w:bCs w:val="1"/>
          <w:color w:val="auto"/>
        </w:rPr>
        <w:t xml:space="preserve"> (</w:t>
      </w:r>
      <w:r>
        <w:rPr>
          <w:rFonts w:ascii="Arial" w:cs="Arial" w:eastAsia="Arial" w:hAnsi="Arial"/>
          <w:sz w:val="10"/>
          <w:szCs w:val="10"/>
          <w:b w:val="1"/>
          <w:bCs w:val="1"/>
          <w:color w:val="auto"/>
        </w:rPr>
        <w:t>ENTITIES ONLY</w:t>
      </w:r>
      <w:r>
        <w:rPr>
          <w:rFonts w:ascii="Arial" w:cs="Arial" w:eastAsia="Arial" w:hAnsi="Arial"/>
          <w:sz w:val="16"/>
          <w:szCs w:val="16"/>
          <w:b w:val="1"/>
          <w:bCs w:val="1"/>
          <w:color w:val="auto"/>
        </w:rPr>
        <w:t>)</w:t>
      </w:r>
    </w:p>
    <w:p>
      <w:pPr>
        <w:spacing w:after="0" w:line="11"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5995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3" w:lineRule="exact"/>
        <w:rPr>
          <w:sz w:val="20"/>
          <w:szCs w:val="20"/>
          <w:color w:val="auto"/>
        </w:rPr>
      </w:pPr>
    </w:p>
    <w:p>
      <w:pPr>
        <w:ind w:left="863" w:hanging="471"/>
        <w:spacing w:after="0"/>
        <w:tabs>
          <w:tab w:leader="none" w:pos="863"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Check the appropriate box if a member of a group (SEE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863"/>
        <w:spacing w:after="0"/>
        <w:tabs>
          <w:tab w:leader="none" w:pos="7722" w:val="left"/>
        </w:tabs>
        <w:rPr>
          <w:sz w:val="20"/>
          <w:szCs w:val="20"/>
          <w:color w:val="auto"/>
        </w:rPr>
      </w:pPr>
      <w:r>
        <w:rPr>
          <w:rFonts w:ascii="Arial" w:cs="Arial" w:eastAsia="Arial" w:hAnsi="Arial"/>
          <w:sz w:val="16"/>
          <w:szCs w:val="16"/>
          <w:b w:val="1"/>
          <w:bCs w:val="1"/>
          <w:color w:val="auto"/>
        </w:rPr>
        <w:t>INSTRUCTIONS)</w:t>
      </w:r>
      <w:r>
        <w:rPr>
          <w:sz w:val="20"/>
          <w:szCs w:val="20"/>
          <w:color w:val="auto"/>
        </w:rPr>
        <w:tab/>
      </w:r>
      <w:r>
        <w:rPr>
          <w:rFonts w:ascii="Arial" w:cs="Arial" w:eastAsia="Arial" w:hAnsi="Arial"/>
          <w:sz w:val="16"/>
          <w:szCs w:val="16"/>
          <w:b w:val="1"/>
          <w:bCs w:val="1"/>
          <w:color w:val="auto"/>
        </w:rPr>
        <w:t>(a)</w:t>
      </w:r>
    </w:p>
    <w:p>
      <w:pPr>
        <w:spacing w:after="0" w:line="200" w:lineRule="exact"/>
        <w:rPr>
          <w:sz w:val="20"/>
          <w:szCs w:val="20"/>
          <w:color w:val="auto"/>
        </w:rPr>
      </w:pPr>
    </w:p>
    <w:p>
      <w:pPr>
        <w:spacing w:after="0" w:line="233"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5995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58" w:lineRule="exact"/>
        <w:rPr>
          <w:sz w:val="20"/>
          <w:szCs w:val="20"/>
          <w:color w:val="auto"/>
        </w:rPr>
      </w:pPr>
    </w:p>
    <w:p>
      <w:pPr>
        <w:ind w:left="863" w:hanging="471"/>
        <w:spacing w:after="0"/>
        <w:tabs>
          <w:tab w:leader="none" w:pos="863"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25995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58" w:lineRule="exact"/>
        <w:rPr>
          <w:sz w:val="20"/>
          <w:szCs w:val="20"/>
          <w:color w:val="auto"/>
        </w:rPr>
      </w:pPr>
    </w:p>
    <w:p>
      <w:pPr>
        <w:ind w:left="863" w:hanging="471"/>
        <w:spacing w:after="0"/>
        <w:tabs>
          <w:tab w:leader="none" w:pos="863"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w:t>
      </w:r>
    </w:p>
    <w:p>
      <w:pPr>
        <w:spacing w:after="0" w:line="26" w:lineRule="exact"/>
        <w:rPr>
          <w:rFonts w:ascii="Arial" w:cs="Arial" w:eastAsia="Arial" w:hAnsi="Arial"/>
          <w:sz w:val="16"/>
          <w:szCs w:val="16"/>
          <w:b w:val="1"/>
          <w:bCs w:val="1"/>
          <w:color w:val="auto"/>
        </w:rPr>
      </w:pPr>
    </w:p>
    <w:p>
      <w:pPr>
        <w:ind w:left="863"/>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-247015</wp:posOffset>
            </wp:positionV>
            <wp:extent cx="72599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725995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42" w:lineRule="exact"/>
        <w:rPr>
          <w:sz w:val="20"/>
          <w:szCs w:val="20"/>
          <w:color w:val="auto"/>
        </w:rPr>
      </w:pPr>
    </w:p>
    <w:p>
      <w:pPr>
        <w:ind w:left="863" w:hanging="471"/>
        <w:spacing w:after="0"/>
        <w:tabs>
          <w:tab w:leader="none" w:pos="863"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295275</wp:posOffset>
            </wp:positionV>
            <wp:extent cx="725995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63" w:hanging="471"/>
        <w:spacing w:after="0"/>
        <w:tabs>
          <w:tab w:leader="none" w:pos="863"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983"/>
        <w:spacing w:after="0"/>
        <w:rPr>
          <w:sz w:val="20"/>
          <w:szCs w:val="20"/>
          <w:color w:val="auto"/>
        </w:rPr>
      </w:pPr>
      <w:r>
        <w:rPr>
          <w:rFonts w:ascii="Arial" w:cs="Arial" w:eastAsia="Arial" w:hAnsi="Arial"/>
          <w:sz w:val="16"/>
          <w:szCs w:val="16"/>
          <w:b w:val="1"/>
          <w:bCs w:val="1"/>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25995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27" w:lineRule="exact"/>
        <w:rPr>
          <w:sz w:val="20"/>
          <w:szCs w:val="20"/>
          <w:color w:val="auto"/>
        </w:rPr>
      </w:pPr>
    </w:p>
    <w:tbl>
      <w:tblPr>
        <w:tblLayout w:type="fixed"/>
        <w:tblInd w:w="3" w:type="dxa"/>
        <w:tblCellMar>
          <w:top w:w="0" w:type="dxa"/>
          <w:left w:w="0" w:type="dxa"/>
          <w:bottom w:w="0" w:type="dxa"/>
          <w:right w:w="0" w:type="dxa"/>
        </w:tblCellMar>
      </w:tblPr>
      <w:tr>
        <w:trPr>
          <w:trHeight w:val="190"/>
        </w:trPr>
        <w:tc>
          <w:tcPr>
            <w:tcW w:w="34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UMBER</w:t>
            </w:r>
            <w:r>
              <w:rPr>
                <w:rFonts w:ascii="Arial" w:cs="Arial" w:eastAsia="Arial" w:hAnsi="Arial"/>
                <w:sz w:val="16"/>
                <w:szCs w:val="16"/>
                <w:b w:val="1"/>
                <w:bCs w:val="1"/>
                <w:color w:val="auto"/>
              </w:rPr>
              <w:t xml:space="preserve"> O</w:t>
            </w:r>
            <w:r>
              <w:rPr>
                <w:rFonts w:ascii="Arial" w:cs="Arial" w:eastAsia="Arial" w:hAnsi="Arial"/>
                <w:sz w:val="10"/>
                <w:szCs w:val="10"/>
                <w:b w:val="1"/>
                <w:bCs w:val="1"/>
                <w:color w:val="auto"/>
              </w:rPr>
              <w:t>F</w:t>
            </w: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 7</w:t>
            </w:r>
          </w:p>
        </w:tc>
        <w:tc>
          <w:tcPr>
            <w:tcW w:w="762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VOTING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HARES</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ENEFICIALLY</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 8</w:t>
            </w:r>
          </w:p>
        </w:tc>
        <w:tc>
          <w:tcPr>
            <w:tcW w:w="762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VOTING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O</w:t>
            </w:r>
            <w:r>
              <w:rPr>
                <w:rFonts w:ascii="Arial" w:cs="Arial" w:eastAsia="Arial" w:hAnsi="Arial"/>
                <w:sz w:val="10"/>
                <w:szCs w:val="10"/>
                <w:b w:val="1"/>
                <w:bCs w:val="1"/>
                <w:color w:val="auto"/>
              </w:rPr>
              <w:t>WNED</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B</w:t>
            </w:r>
            <w:r>
              <w:rPr>
                <w:rFonts w:ascii="Arial" w:cs="Arial" w:eastAsia="Arial" w:hAnsi="Arial"/>
                <w:sz w:val="10"/>
                <w:szCs w:val="10"/>
                <w:b w:val="1"/>
                <w:bCs w:val="1"/>
                <w:color w:val="auto"/>
              </w:rPr>
              <w:t>Y</w:t>
            </w:r>
            <w:r>
              <w:rPr>
                <w:rFonts w:ascii="Arial" w:cs="Arial" w:eastAsia="Arial" w:hAnsi="Arial"/>
                <w:sz w:val="16"/>
                <w:szCs w:val="16"/>
                <w:b w:val="1"/>
                <w:bCs w:val="1"/>
                <w:color w:val="auto"/>
              </w:rPr>
              <w:t xml:space="preserve"> E</w:t>
            </w:r>
            <w:r>
              <w:rPr>
                <w:rFonts w:ascii="Arial" w:cs="Arial" w:eastAsia="Arial" w:hAnsi="Arial"/>
                <w:sz w:val="10"/>
                <w:szCs w:val="10"/>
                <w:b w:val="1"/>
                <w:bCs w:val="1"/>
                <w:color w:val="auto"/>
              </w:rPr>
              <w:t>ACH</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 9</w:t>
            </w:r>
          </w:p>
        </w:tc>
        <w:tc>
          <w:tcPr>
            <w:tcW w:w="762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OLE DISPOSITIVE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EPORTING</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P</w:t>
            </w:r>
            <w:r>
              <w:rPr>
                <w:rFonts w:ascii="Arial" w:cs="Arial" w:eastAsia="Arial" w:hAnsi="Arial"/>
                <w:sz w:val="10"/>
                <w:szCs w:val="10"/>
                <w:b w:val="1"/>
                <w:bCs w:val="1"/>
                <w:color w:val="auto"/>
                <w:w w:val="99"/>
              </w:rPr>
              <w:t>ERSON</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40" w:type="dxa"/>
            <w:vAlign w:val="bottom"/>
          </w:tcPr>
          <w:p>
            <w:pPr>
              <w:spacing w:after="0" w:line="168" w:lineRule="exact"/>
              <w:rPr>
                <w:sz w:val="20"/>
                <w:szCs w:val="20"/>
                <w:color w:val="auto"/>
              </w:rPr>
            </w:pPr>
            <w:r>
              <w:rPr>
                <w:rFonts w:ascii="Arial" w:cs="Arial" w:eastAsia="Arial" w:hAnsi="Arial"/>
                <w:sz w:val="16"/>
                <w:szCs w:val="16"/>
                <w:b w:val="1"/>
                <w:bCs w:val="1"/>
                <w:color w:val="auto"/>
              </w:rPr>
              <w:t>:10</w:t>
            </w:r>
          </w:p>
        </w:tc>
        <w:tc>
          <w:tcPr>
            <w:tcW w:w="7620" w:type="dxa"/>
            <w:vAlign w:val="bottom"/>
          </w:tcPr>
          <w:p>
            <w:pPr>
              <w:ind w:left="160"/>
              <w:spacing w:after="0" w:line="168" w:lineRule="exact"/>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HARED DISPOSITIVE POWER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jc w:val="center"/>
              <w:spacing w:after="0"/>
              <w:rPr>
                <w:sz w:val="20"/>
                <w:szCs w:val="20"/>
                <w:color w:val="auto"/>
              </w:rPr>
            </w:pPr>
            <w:r>
              <w:rPr>
                <w:rFonts w:ascii="Arial" w:cs="Arial" w:eastAsia="Arial" w:hAnsi="Arial"/>
                <w:sz w:val="16"/>
                <w:szCs w:val="16"/>
                <w:b w:val="1"/>
                <w:bCs w:val="1"/>
                <w:color w:val="auto"/>
              </w:rPr>
              <w:t>W</w:t>
            </w:r>
            <w:r>
              <w:rPr>
                <w:rFonts w:ascii="Arial" w:cs="Arial" w:eastAsia="Arial" w:hAnsi="Arial"/>
                <w:sz w:val="10"/>
                <w:szCs w:val="10"/>
                <w:b w:val="1"/>
                <w:bCs w:val="1"/>
                <w:color w:val="auto"/>
              </w:rPr>
              <w:t>ITH</w:t>
            </w:r>
          </w:p>
        </w:tc>
        <w:tc>
          <w:tcPr>
            <w:tcW w:w="36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Pr>
          <w:p>
            <w:pPr>
              <w:ind w:left="1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0"/>
                <w:szCs w:val="10"/>
                <w:b w:val="1"/>
                <w:bCs w:val="1"/>
                <w:color w:val="auto"/>
              </w:rPr>
              <w:t>ONE</w:t>
            </w:r>
          </w:p>
        </w:tc>
        <w:tc>
          <w:tcPr>
            <w:tcW w:w="0" w:type="dxa"/>
            <w:vAlign w:val="bottom"/>
          </w:tcPr>
          <w:p>
            <w:pPr>
              <w:spacing w:after="0"/>
              <w:rPr>
                <w:sz w:val="1"/>
                <w:szCs w:val="1"/>
                <w:color w:val="auto"/>
              </w:rPr>
            </w:pPr>
          </w:p>
        </w:tc>
      </w:tr>
      <w:tr>
        <w:trPr>
          <w:trHeight w:val="211"/>
        </w:trPr>
        <w:tc>
          <w:tcPr>
            <w:tcW w:w="3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w:t>
            </w:r>
          </w:p>
        </w:tc>
        <w:tc>
          <w:tcPr>
            <w:tcW w:w="7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63" w:right="6240" w:hanging="863"/>
        <w:spacing w:after="0" w:line="396" w:lineRule="auto"/>
        <w:tabs>
          <w:tab w:leader="none" w:pos="863"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A</w:t>
      </w:r>
      <w:r>
        <w:rPr>
          <w:rFonts w:ascii="Arial" w:cs="Arial" w:eastAsia="Arial" w:hAnsi="Arial"/>
          <w:sz w:val="10"/>
          <w:szCs w:val="10"/>
          <w:b w:val="1"/>
          <w:bCs w:val="1"/>
          <w:color w:val="auto"/>
        </w:rPr>
        <w:t>GGREGATE AMOUNT BENEFICIALLY OWNED BY EACH REPORTING PERSON</w:t>
      </w:r>
      <w:r>
        <w:rPr>
          <w:rFonts w:ascii="Arial" w:cs="Arial" w:eastAsia="Arial" w:hAnsi="Arial"/>
          <w:sz w:val="16"/>
          <w:szCs w:val="16"/>
          <w:b w:val="1"/>
          <w:bCs w:val="1"/>
          <w:color w:val="auto"/>
        </w:rPr>
        <w:t xml:space="preserve"> N</w:t>
      </w:r>
      <w:r>
        <w:rPr>
          <w:rFonts w:ascii="Arial" w:cs="Arial" w:eastAsia="Arial" w:hAnsi="Arial"/>
          <w:sz w:val="10"/>
          <w:szCs w:val="10"/>
          <w:b w:val="1"/>
          <w:bCs w:val="1"/>
          <w:color w:val="auto"/>
        </w:rPr>
        <w:t>ONE</w:t>
      </w:r>
    </w:p>
    <w:p>
      <w:pPr>
        <w:spacing w:after="0" w:line="200" w:lineRule="exact"/>
        <w:rPr>
          <w:rFonts w:ascii="Arial" w:cs="Arial" w:eastAsia="Arial" w:hAnsi="Arial"/>
          <w:sz w:val="16"/>
          <w:szCs w:val="16"/>
          <w:b w:val="1"/>
          <w:bCs w:val="1"/>
          <w:color w:val="auto"/>
        </w:rPr>
      </w:pPr>
    </w:p>
    <w:p>
      <w:pPr>
        <w:spacing w:after="0" w:line="379" w:lineRule="exact"/>
        <w:rPr>
          <w:rFonts w:ascii="Arial" w:cs="Arial" w:eastAsia="Arial" w:hAnsi="Arial"/>
          <w:sz w:val="16"/>
          <w:szCs w:val="16"/>
          <w:b w:val="1"/>
          <w:bCs w:val="1"/>
          <w:color w:val="auto"/>
        </w:rPr>
      </w:pPr>
    </w:p>
    <w:p>
      <w:pPr>
        <w:ind w:left="863" w:hanging="863"/>
        <w:spacing w:after="0"/>
        <w:tabs>
          <w:tab w:leader="none" w:pos="863"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0"/>
          <w:szCs w:val="10"/>
          <w:b w:val="1"/>
          <w:bCs w:val="1"/>
          <w:color w:val="auto"/>
        </w:rPr>
        <w:t>HECK BOX IF THE AGGREGATE AMOUNT IN ROW</w:t>
      </w:r>
      <w:r>
        <w:rPr>
          <w:rFonts w:ascii="Arial" w:cs="Arial" w:eastAsia="Arial" w:hAnsi="Arial"/>
          <w:sz w:val="16"/>
          <w:szCs w:val="16"/>
          <w:b w:val="1"/>
          <w:bCs w:val="1"/>
          <w:color w:val="auto"/>
        </w:rPr>
        <w:t xml:space="preserve"> (11) </w:t>
      </w:r>
      <w:r>
        <w:rPr>
          <w:rFonts w:ascii="Arial" w:cs="Arial" w:eastAsia="Arial" w:hAnsi="Arial"/>
          <w:sz w:val="10"/>
          <w:szCs w:val="10"/>
          <w:b w:val="1"/>
          <w:bCs w:val="1"/>
          <w:color w:val="auto"/>
        </w:rPr>
        <w:t>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99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6"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(SEE INSTRUCTIONS)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725995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863" w:hanging="863"/>
        <w:spacing w:after="0"/>
        <w:tabs>
          <w:tab w:leader="none" w:pos="863"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P</w:t>
      </w:r>
      <w:r>
        <w:rPr>
          <w:rFonts w:ascii="Arial" w:cs="Arial" w:eastAsia="Arial" w:hAnsi="Arial"/>
          <w:sz w:val="10"/>
          <w:szCs w:val="10"/>
          <w:b w:val="1"/>
          <w:bCs w:val="1"/>
          <w:color w:val="auto"/>
        </w:rPr>
        <w:t>ERCENT OF CLASS REPRESENTED BY AMOUNT IN ROW</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2599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10" w:lineRule="exact"/>
        <w:rPr>
          <w:sz w:val="20"/>
          <w:szCs w:val="20"/>
          <w:color w:val="auto"/>
        </w:rPr>
      </w:pPr>
    </w:p>
    <w:p>
      <w:pPr>
        <w:ind w:left="863"/>
        <w:spacing w:after="0"/>
        <w:rPr>
          <w:sz w:val="20"/>
          <w:szCs w:val="20"/>
          <w:color w:val="auto"/>
        </w:rPr>
      </w:pPr>
      <w:r>
        <w:rPr>
          <w:rFonts w:ascii="Arial" w:cs="Arial" w:eastAsia="Arial" w:hAnsi="Arial"/>
          <w:sz w:val="16"/>
          <w:szCs w:val="16"/>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2599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83" w:lineRule="exact"/>
        <w:rPr>
          <w:sz w:val="20"/>
          <w:szCs w:val="20"/>
          <w:color w:val="auto"/>
        </w:rPr>
      </w:pPr>
    </w:p>
    <w:p>
      <w:pPr>
        <w:ind w:left="1023" w:right="7140" w:hanging="1023"/>
        <w:spacing w:after="0" w:line="288" w:lineRule="auto"/>
        <w:tabs>
          <w:tab w:leader="none" w:pos="86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5995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72599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9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wp:posOffset>
            </wp:positionV>
            <wp:extent cx="72599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9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503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3"/>
          </w:cols>
          <w:pgMar w:left="237" w:top="342" w:right="219" w:bottom="1440" w:gutter="0" w:footer="0" w:header="0"/>
        </w:sectPr>
      </w:pPr>
    </w:p>
    <w:bookmarkStart w:id="8" w:name="page9"/>
    <w:bookmarkEnd w:id="8"/>
    <w:p>
      <w:pPr>
        <w:spacing w:after="0" w:line="8" w:lineRule="exact"/>
        <w:rPr>
          <w:sz w:val="20"/>
          <w:szCs w:val="20"/>
          <w:color w:val="auto"/>
        </w:rPr>
      </w:pPr>
    </w:p>
    <w:p>
      <w:pPr>
        <w:ind w:left="3"/>
        <w:spacing w:after="0"/>
        <w:tabs>
          <w:tab w:leader="none" w:pos="1742"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4"/>
          <w:szCs w:val="14"/>
          <w:u w:val="single" w:color="auto"/>
          <w:color w:val="auto"/>
        </w:rPr>
        <w:t>Security and Issuer</w:t>
      </w:r>
    </w:p>
    <w:p>
      <w:pPr>
        <w:spacing w:after="0" w:line="22" w:lineRule="exact"/>
        <w:rPr>
          <w:sz w:val="20"/>
          <w:szCs w:val="20"/>
          <w:color w:val="auto"/>
        </w:rPr>
      </w:pPr>
    </w:p>
    <w:p>
      <w:pPr>
        <w:ind w:left="3" w:right="40"/>
        <w:spacing w:after="0" w:line="260" w:lineRule="auto"/>
        <w:rPr>
          <w:sz w:val="20"/>
          <w:szCs w:val="20"/>
          <w:color w:val="auto"/>
        </w:rPr>
      </w:pPr>
      <w:r>
        <w:rPr>
          <w:rFonts w:ascii="Arial" w:cs="Arial" w:eastAsia="Arial" w:hAnsi="Arial"/>
          <w:sz w:val="16"/>
          <w:szCs w:val="16"/>
          <w:color w:val="auto"/>
        </w:rPr>
        <w:t>This Amendment No. 1 to Schedule 13D on the Common Stock of Hawkins, Inc. (the “Issuer”) is being filed on behalf of the undersigned to amend the Schedule 13D, as amended (the “Schedule 13D”) which was originally filed on February 14, 2008. Unless otherwise indicated, all capitalized terms used herein but not defined herein shall have the same meanings as set forth in the Schedule 13D.</w:t>
      </w:r>
    </w:p>
    <w:p>
      <w:pPr>
        <w:spacing w:after="0" w:line="180"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Arial" w:cs="Arial" w:eastAsia="Arial" w:hAnsi="Arial"/>
                <w:sz w:val="16"/>
                <w:szCs w:val="16"/>
                <w:color w:val="auto"/>
              </w:rPr>
              <w:t>Item 2.</w:t>
            </w:r>
          </w:p>
        </w:tc>
        <w:tc>
          <w:tcPr>
            <w:tcW w:w="94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Identity and Background</w:t>
            </w:r>
          </w:p>
        </w:tc>
      </w:tr>
      <w:tr>
        <w:trPr>
          <w:trHeight w:val="20"/>
        </w:trPr>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w w:val="91"/>
              </w:rPr>
              <w:t>Item 2 to Schedule 13D is amended, in pertinent part, as follows:</w:t>
            </w:r>
          </w:p>
        </w:tc>
      </w:tr>
    </w:tbl>
    <w:p>
      <w:pPr>
        <w:ind w:left="1163"/>
        <w:spacing w:after="0"/>
        <w:rPr>
          <w:sz w:val="20"/>
          <w:szCs w:val="20"/>
          <w:color w:val="auto"/>
        </w:rPr>
      </w:pPr>
      <w:r>
        <w:rPr>
          <w:rFonts w:ascii="Arial" w:cs="Arial" w:eastAsia="Arial" w:hAnsi="Arial"/>
          <w:sz w:val="16"/>
          <w:szCs w:val="16"/>
          <w:color w:val="auto"/>
        </w:rPr>
        <w:t>This statement is being filed by Mario J. Gabelli (“Mario Gabelli”) and various entities which he</w:t>
      </w:r>
    </w:p>
    <w:p>
      <w:pPr>
        <w:spacing w:after="0" w:line="11" w:lineRule="exact"/>
        <w:rPr>
          <w:sz w:val="20"/>
          <w:szCs w:val="20"/>
          <w:color w:val="auto"/>
        </w:rPr>
      </w:pPr>
    </w:p>
    <w:p>
      <w:pPr>
        <w:jc w:val="both"/>
        <w:ind w:left="3" w:right="500"/>
        <w:spacing w:after="0" w:line="253" w:lineRule="auto"/>
        <w:rPr>
          <w:sz w:val="20"/>
          <w:szCs w:val="20"/>
          <w:color w:val="auto"/>
        </w:rPr>
      </w:pPr>
      <w:r>
        <w:rPr>
          <w:rFonts w:ascii="Arial" w:cs="Arial" w:eastAsia="Arial" w:hAnsi="Arial"/>
          <w:sz w:val="16"/>
          <w:szCs w:val="16"/>
          <w:color w:val="auto"/>
        </w:rPr>
        <w:t>directly or indirectly controls or for which he acts as chief investment officer. These entities engage in various aspects of the securities business, primarily as investment adviser to various institutional and individual clients, including registered investment companies and pension plans, and as general partner of various private investment partnerships. Certain of these entities may also make investments for their own accounts.</w:t>
      </w:r>
    </w:p>
    <w:p>
      <w:pPr>
        <w:spacing w:after="0" w:line="2" w:lineRule="exact"/>
        <w:rPr>
          <w:sz w:val="20"/>
          <w:szCs w:val="20"/>
          <w:color w:val="auto"/>
        </w:rPr>
      </w:pPr>
    </w:p>
    <w:p>
      <w:pPr>
        <w:ind w:left="3" w:right="160"/>
        <w:spacing w:after="0" w:line="270" w:lineRule="auto"/>
        <w:rPr>
          <w:sz w:val="20"/>
          <w:szCs w:val="20"/>
          <w:color w:val="auto"/>
        </w:rPr>
      </w:pPr>
      <w:r>
        <w:rPr>
          <w:rFonts w:ascii="Arial" w:cs="Arial" w:eastAsia="Arial" w:hAnsi="Arial"/>
          <w:sz w:val="15"/>
          <w:szCs w:val="15"/>
          <w:color w:val="auto"/>
        </w:rPr>
        <w:t>The foregoing persons in the aggregate often own beneficially more than 5% of a class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3" w:lineRule="exact"/>
        <w:rPr>
          <w:sz w:val="20"/>
          <w:szCs w:val="20"/>
          <w:color w:val="auto"/>
        </w:rPr>
      </w:pPr>
    </w:p>
    <w:p>
      <w:pPr>
        <w:ind w:left="3" w:right="120"/>
        <w:spacing w:after="0" w:line="253" w:lineRule="auto"/>
        <w:rPr>
          <w:sz w:val="20"/>
          <w:szCs w:val="20"/>
          <w:color w:val="auto"/>
        </w:rPr>
      </w:pPr>
      <w:r>
        <w:rPr>
          <w:rFonts w:ascii="Arial" w:cs="Arial" w:eastAsia="Arial" w:hAnsi="Arial"/>
          <w:sz w:val="16"/>
          <w:szCs w:val="16"/>
          <w:color w:val="auto"/>
        </w:rPr>
        <w:t>(a), (b) and (c) - This statement is being filed by one or more of the following persons: GGCP, Inc. (“GGCP”), GAMCO Investors, Inc. (“GBL”), Gabelli Funds, LLC (“Gabelli Funds”), GAMCO Asset Management Inc. (“GAMCO”), Teton Advisors, Inc. (“Teton Advisors”), Gabelli Securities, Inc. (“GSI”), Gabelli &amp; Company, Inc. (“Gabelli &amp; Company”), MJG Associates, Inc. (“MJG Associates”), Gabelli Foundation, Inc. (“Foundation”), and Mario Gabelli. Those of the foregoing persons signing this Schedule 13D are hereafter referred to as the “Reporting Persons”.</w:t>
      </w:r>
    </w:p>
    <w:p>
      <w:pPr>
        <w:spacing w:after="0" w:line="3" w:lineRule="exact"/>
        <w:rPr>
          <w:sz w:val="20"/>
          <w:szCs w:val="20"/>
          <w:color w:val="auto"/>
        </w:rPr>
      </w:pPr>
    </w:p>
    <w:p>
      <w:pPr>
        <w:ind w:left="3" w:right="520"/>
        <w:spacing w:after="0" w:line="253" w:lineRule="auto"/>
        <w:rPr>
          <w:sz w:val="20"/>
          <w:szCs w:val="20"/>
          <w:color w:val="auto"/>
        </w:rPr>
      </w:pPr>
      <w:r>
        <w:rPr>
          <w:rFonts w:ascii="Arial" w:cs="Arial" w:eastAsia="Arial" w:hAnsi="Arial"/>
          <w:sz w:val="16"/>
          <w:szCs w:val="16"/>
          <w:color w:val="auto"/>
        </w:rPr>
        <w:t>GGCP makes investments for its own account and is the controlling shareholder of GBL. GBL, a public company listed on the New York Stock Exchange, is the parent company for a variety of companies engaged in the securities business, including those named below.</w:t>
      </w:r>
    </w:p>
    <w:p>
      <w:pPr>
        <w:spacing w:after="0" w:line="1" w:lineRule="exact"/>
        <w:rPr>
          <w:sz w:val="20"/>
          <w:szCs w:val="20"/>
          <w:color w:val="auto"/>
        </w:rPr>
      </w:pPr>
    </w:p>
    <w:p>
      <w:pPr>
        <w:ind w:left="3" w:right="240"/>
        <w:spacing w:after="0" w:line="270" w:lineRule="auto"/>
        <w:rPr>
          <w:sz w:val="20"/>
          <w:szCs w:val="20"/>
          <w:color w:val="auto"/>
        </w:rPr>
      </w:pPr>
      <w:r>
        <w:rPr>
          <w:rFonts w:ascii="Arial" w:cs="Arial" w:eastAsia="Arial" w:hAnsi="Arial"/>
          <w:sz w:val="15"/>
          <w:szCs w:val="15"/>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sz w:val="20"/>
          <w:szCs w:val="20"/>
          <w:color w:val="auto"/>
        </w:rPr>
      </w:pPr>
    </w:p>
    <w:p>
      <w:pPr>
        <w:ind w:left="3" w:right="280"/>
        <w:spacing w:after="0" w:line="253" w:lineRule="auto"/>
        <w:rPr>
          <w:sz w:val="20"/>
          <w:szCs w:val="20"/>
          <w:color w:val="auto"/>
        </w:rPr>
      </w:pPr>
      <w:r>
        <w:rPr>
          <w:rFonts w:ascii="Arial" w:cs="Arial" w:eastAsia="Arial" w:hAnsi="Arial"/>
          <w:sz w:val="16"/>
          <w:szCs w:val="16"/>
          <w:color w:val="auto"/>
        </w:rPr>
        <w:t>GSI, a majority-owned subsidiary of GBL, is an investment adviser registered under the Advisers Act and serves as a general partner or investment manager to limited partnerships and offshore investment companies. As a part of its business, GSI may purchase or sell securities for its own account. It is the immediate parent of Gabelli &amp; Company. GSI is the general partner or investment manager of a number of funds or partnerships, including Gabelli Associates Fund, Gabelli Associates Fund II, Gabelli Associates Limited, ALCE Partners, L.P., and Gabelli Multimedia Partners, L.P. GSI and Marc Gabelli own 45% and 55%, respectively, of Gabelli Securities International Limited (“GSIL”). GSIL provides investment advisory services to offshore funds and accounts. GSIL is an investment advisor of Gabelli International Gold Fund Limited, Gabelli European Partners, Ltd., and Gabelli Global Partners, Ltd.</w:t>
      </w:r>
    </w:p>
    <w:p>
      <w:pPr>
        <w:spacing w:after="0" w:line="4" w:lineRule="exact"/>
        <w:rPr>
          <w:sz w:val="20"/>
          <w:szCs w:val="20"/>
          <w:color w:val="auto"/>
        </w:rPr>
      </w:pPr>
    </w:p>
    <w:p>
      <w:pPr>
        <w:ind w:left="3" w:right="160"/>
        <w:spacing w:after="0" w:line="253" w:lineRule="auto"/>
        <w:rPr>
          <w:sz w:val="20"/>
          <w:szCs w:val="20"/>
          <w:color w:val="auto"/>
        </w:rPr>
      </w:pPr>
      <w:r>
        <w:rPr>
          <w:rFonts w:ascii="Arial" w:cs="Arial" w:eastAsia="Arial" w:hAnsi="Arial"/>
          <w:sz w:val="16"/>
          <w:szCs w:val="16"/>
          <w:color w:val="auto"/>
        </w:rPr>
        <w:t>Gabelli &amp; Company, a wholly-owned subsidiary of GSI, is a broker-dealer registered under the Securities Exchange Act of 1934, as amended (“1934 Act”), which as a part of its business regularly purchases and sells securities for its own account.</w:t>
      </w:r>
    </w:p>
    <w:p>
      <w:pPr>
        <w:spacing w:after="0" w:line="1" w:lineRule="exact"/>
        <w:rPr>
          <w:sz w:val="20"/>
          <w:szCs w:val="20"/>
          <w:color w:val="auto"/>
        </w:rPr>
      </w:pPr>
    </w:p>
    <w:p>
      <w:pPr>
        <w:ind w:left="3" w:right="100"/>
        <w:spacing w:after="0" w:line="263" w:lineRule="auto"/>
        <w:rPr>
          <w:sz w:val="20"/>
          <w:szCs w:val="20"/>
          <w:color w:val="auto"/>
        </w:rPr>
      </w:pPr>
      <w:r>
        <w:rPr>
          <w:rFonts w:ascii="Arial" w:cs="Arial" w:eastAsia="Arial" w:hAnsi="Arial"/>
          <w:sz w:val="15"/>
          <w:szCs w:val="15"/>
          <w:color w:val="auto"/>
        </w:rPr>
        <w:t>Gabelli Funds, a wholly owned subsidiary of GBL, is a limited liability company. Gabelli Funds is an investment adviser registered under the Advisers Act which presently provides discretionary managed account services for The Gabelli Equity Trust Inc., The Gabelli Asset Fund, The GAMCO Growth Fund, The Gabelli Convertible and Income Securities Fund Inc., The Gabelli Value Fund Inc., The Gabelli Small Cap Growth Fund, The Gabelli Equity Income Fund, The Gabelli ABC Fund, The GAMCO Global Telecommunications Fund, GAMCO Gold Fund, Inc., The Gabelli Global Multimedia Trust Inc., The GAMCO Global Convertible Securities Fund, Gabelli Capital Asset Fund, GAMCO International Growth Fund, Inc., The GAMCO Global Growth Fund, The Gabelli Utility Trust, The GAMCO Global Opportunity Fund, The Gabelli Utilities Fund, The Gabelli Blue Chip Value Fund, The GAMCO Mathers Fund, The Gabelli Woodland Small Cap Value Fund, The Comstock Capital Value Fund, The Gabelli Dividend and Income Trust, The Gabelli Global Utility &amp; Income Trust, The Gabelli Global Gold, Natural Resources, &amp; Income Trust, The Gabelli Global Deal Fund, Gabelli Enterprise M&amp;A Fund, The Gabelli SRI Fund, Inc. and The Gabelli Healthcare &amp; Wellness Rx Trust (collectively, the “Funds”), which are registered investment companies. GBL is the largest shareholder of Teton Advisors, an investment adviser registered under the Advisers Act, which provides discretionary advisory services to The GAMCO Westwood Mighty Mites</w:t>
      </w:r>
      <w:r>
        <w:rPr>
          <w:rFonts w:ascii="Arial" w:cs="Arial" w:eastAsia="Arial" w:hAnsi="Arial"/>
          <w:sz w:val="20"/>
          <w:szCs w:val="20"/>
          <w:color w:val="auto"/>
          <w:vertAlign w:val="superscript"/>
        </w:rPr>
        <w:t>sm</w:t>
      </w:r>
      <w:r>
        <w:rPr>
          <w:rFonts w:ascii="Arial" w:cs="Arial" w:eastAsia="Arial" w:hAnsi="Arial"/>
          <w:sz w:val="15"/>
          <w:szCs w:val="15"/>
          <w:color w:val="auto"/>
        </w:rPr>
        <w:t xml:space="preserve"> Fund, The GAMCO Westwood Income Fund , The GAMCO Westwood Small Cap Fund and B.B. Micro-Cap Growth Fund.</w:t>
      </w:r>
    </w:p>
    <w:p>
      <w:pPr>
        <w:spacing w:after="0" w:line="7" w:lineRule="exact"/>
        <w:rPr>
          <w:sz w:val="20"/>
          <w:szCs w:val="20"/>
          <w:color w:val="auto"/>
        </w:rPr>
      </w:pPr>
    </w:p>
    <w:p>
      <w:pPr>
        <w:ind w:left="3" w:right="380"/>
        <w:spacing w:after="0" w:line="252" w:lineRule="auto"/>
        <w:rPr>
          <w:sz w:val="20"/>
          <w:szCs w:val="20"/>
          <w:color w:val="auto"/>
        </w:rPr>
      </w:pPr>
      <w:r>
        <w:rPr>
          <w:rFonts w:ascii="Arial" w:cs="Arial" w:eastAsia="Arial" w:hAnsi="Arial"/>
          <w:sz w:val="16"/>
          <w:szCs w:val="16"/>
          <w:color w:val="auto"/>
        </w:rPr>
        <w:t>MJG Associates provides advisory services to private investment partnerships and offshore funds. Mario Gabelli is the sole shareholder, director and employee of MJG Associates. MJG Associates is the Investment Manager of Gabelli International Limited, Gabelli International II Limited and Gabelli Fund, LDC. Mario J. Gabelli is the general partner of Gabelli Performance Partnership, LP.</w:t>
      </w:r>
    </w:p>
    <w:p>
      <w:pPr>
        <w:spacing w:after="0" w:line="2" w:lineRule="exact"/>
        <w:rPr>
          <w:sz w:val="20"/>
          <w:szCs w:val="20"/>
          <w:color w:val="auto"/>
        </w:rPr>
      </w:pPr>
    </w:p>
    <w:p>
      <w:pPr>
        <w:ind w:left="3" w:right="4460" w:firstLine="1168"/>
        <w:spacing w:after="0" w:line="270" w:lineRule="auto"/>
        <w:rPr>
          <w:sz w:val="20"/>
          <w:szCs w:val="20"/>
          <w:color w:val="auto"/>
        </w:rPr>
      </w:pPr>
      <w:r>
        <w:rPr>
          <w:rFonts w:ascii="Arial" w:cs="Arial" w:eastAsia="Arial" w:hAnsi="Arial"/>
          <w:sz w:val="15"/>
          <w:szCs w:val="15"/>
          <w:color w:val="auto"/>
        </w:rPr>
        <w:t>The Foundation is a private foundation. Mario Gabelli is the Chairman, a Trustee and the Investment Manager of the Foundation. Elisa M. Wilson is the President of the Foundation.</w:t>
      </w:r>
    </w:p>
    <w:p>
      <w:pPr>
        <w:spacing w:after="0" w:line="1" w:lineRule="exact"/>
        <w:rPr>
          <w:sz w:val="20"/>
          <w:szCs w:val="20"/>
          <w:color w:val="auto"/>
        </w:rPr>
      </w:pPr>
    </w:p>
    <w:p>
      <w:pPr>
        <w:ind w:left="3"/>
        <w:spacing w:after="0"/>
        <w:rPr>
          <w:sz w:val="20"/>
          <w:szCs w:val="20"/>
          <w:color w:val="auto"/>
        </w:rPr>
      </w:pPr>
      <w:r>
        <w:rPr>
          <w:rFonts w:ascii="Arial" w:cs="Arial" w:eastAsia="Arial" w:hAnsi="Arial"/>
          <w:sz w:val="16"/>
          <w:szCs w:val="16"/>
          <w:color w:val="auto"/>
        </w:rPr>
        <w:t>Mario Gabelli is the majority stockholder, Chief Executive Officer and a director of GGCP and Chairman and Chief Executive Officer of GBL.</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Reporting Persons do not admit that they constitute a group.</w:t>
      </w:r>
    </w:p>
    <w:p>
      <w:pPr>
        <w:spacing w:after="0" w:line="11" w:lineRule="exact"/>
        <w:rPr>
          <w:sz w:val="20"/>
          <w:szCs w:val="20"/>
          <w:color w:val="auto"/>
        </w:rPr>
      </w:pPr>
    </w:p>
    <w:p>
      <w:pPr>
        <w:ind w:left="3" w:right="200"/>
        <w:spacing w:after="0" w:line="253" w:lineRule="auto"/>
        <w:rPr>
          <w:sz w:val="20"/>
          <w:szCs w:val="20"/>
          <w:color w:val="auto"/>
        </w:rPr>
      </w:pPr>
      <w:r>
        <w:rPr>
          <w:rFonts w:ascii="Arial" w:cs="Arial" w:eastAsia="Arial" w:hAnsi="Arial"/>
          <w:sz w:val="16"/>
          <w:szCs w:val="16"/>
          <w:color w:val="auto"/>
        </w:rPr>
        <w:t>GBL, GAMCO, and Gabelli &amp; Company are New York corporations and GSI and Teton Advisors are Delaware corporations, each having its principal business office at One Corporate Center, Rye, New York 10580. GGCP is a New York corporation having its principal business office at 140 Greenwich Avenue, Greenwich, CT 06830.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w:t>
      </w:r>
    </w:p>
    <w:p>
      <w:pPr>
        <w:spacing w:after="0" w:line="3" w:lineRule="exact"/>
        <w:rPr>
          <w:sz w:val="20"/>
          <w:szCs w:val="20"/>
          <w:color w:val="auto"/>
        </w:rPr>
      </w:pPr>
    </w:p>
    <w:p>
      <w:pPr>
        <w:ind w:left="3" w:right="180"/>
        <w:spacing w:after="0" w:line="253" w:lineRule="auto"/>
        <w:rPr>
          <w:sz w:val="20"/>
          <w:szCs w:val="20"/>
          <w:color w:val="auto"/>
        </w:rPr>
      </w:pPr>
      <w:r>
        <w:rPr>
          <w:rFonts w:ascii="Arial" w:cs="Arial" w:eastAsia="Arial" w:hAnsi="Arial"/>
          <w:sz w:val="16"/>
          <w:szCs w:val="16"/>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1" w:lineRule="exact"/>
        <w:rPr>
          <w:sz w:val="20"/>
          <w:szCs w:val="20"/>
          <w:color w:val="auto"/>
        </w:rPr>
      </w:pPr>
    </w:p>
    <w:p>
      <w:pPr>
        <w:ind w:left="3" w:right="120" w:hanging="3"/>
        <w:spacing w:after="0" w:line="270" w:lineRule="auto"/>
        <w:tabs>
          <w:tab w:leader="none" w:pos="223" w:val="left"/>
        </w:tabs>
        <w:numPr>
          <w:ilvl w:val="0"/>
          <w:numId w:val="58"/>
        </w:numPr>
        <w:rPr>
          <w:rFonts w:ascii="Arial" w:cs="Arial" w:eastAsia="Arial" w:hAnsi="Arial"/>
          <w:sz w:val="15"/>
          <w:szCs w:val="15"/>
          <w:color w:val="auto"/>
        </w:rPr>
      </w:pPr>
      <w:r>
        <w:rPr>
          <w:rFonts w:ascii="Arial" w:cs="Arial" w:eastAsia="Arial" w:hAnsi="Arial"/>
          <w:sz w:val="15"/>
          <w:szCs w:val="15"/>
          <w:color w:val="auto"/>
        </w:rPr>
        <w:t>- On April 24, 2008, Gabelli Funds settled an administrative proceeding with the Securities and Exchange Commission (“Commission”) regarding frequent trading in shares of a mutual fund it advises, without admitting or denying the findings or allegations of the Commission. The inquiry involved Gabelli Funds’ treatment of one investor who had engaged in frequent trading in one fund (the prospectus of which did not at that time impose limits on frequent trading), and who had subsequently made an investment in a hedge fund managed by an affiliate of Gabelli Funds. The investor was banned from the fund in August 2002, only after certain other investors were banned. The principal terms of the settlement include an administrative cease and desist order from violating Section 206(2) of the Investment Advisers Act of 1940, Section 17(d) of the Investment Company Act of 1940 (“Company Act”), and Rule 17d-1 thereunder, and Section 12(d)(1)(B)(1) of the Company Act, and the payment of $11 million in disgorgement and prejudgment interest and $5 million in a civil monetary penalty. Gabelli Funds was also required to retain an independent distribution consultant to develop a plan and oversee distribution to shareholders of the monies paid to the Commission, and to make certain other undertakings.</w:t>
      </w:r>
    </w:p>
    <w:p>
      <w:pPr>
        <w:spacing w:after="0" w:line="4" w:lineRule="exact"/>
        <w:rPr>
          <w:rFonts w:ascii="Arial" w:cs="Arial" w:eastAsia="Arial" w:hAnsi="Arial"/>
          <w:sz w:val="15"/>
          <w:szCs w:val="15"/>
          <w:color w:val="auto"/>
        </w:rPr>
      </w:pPr>
    </w:p>
    <w:p>
      <w:pPr>
        <w:jc w:val="both"/>
        <w:ind w:left="3" w:firstLine="1415"/>
        <w:spacing w:after="0" w:line="270" w:lineRule="auto"/>
        <w:rPr>
          <w:rFonts w:ascii="Arial" w:cs="Arial" w:eastAsia="Arial" w:hAnsi="Arial"/>
          <w:sz w:val="15"/>
          <w:szCs w:val="15"/>
          <w:color w:val="auto"/>
        </w:rPr>
      </w:pPr>
      <w:r>
        <w:rPr>
          <w:rFonts w:ascii="Arial" w:cs="Arial" w:eastAsia="Arial" w:hAnsi="Arial"/>
          <w:sz w:val="15"/>
          <w:szCs w:val="15"/>
          <w:color w:val="auto"/>
        </w:rPr>
        <w:t>In September 2008, Gabelli Funds reached agreement in principle with the staff of the Commission, subject to Commission approval, on a previously disclosed matter that had been ongoing for several years involving compliance with Section 19(a) of the Investment Company Act of 1940 and Rule 19a-1 thereunder by two closed-end funds. The agreement was finalized with the Commission on January 12, 2009. The provisions of Section 19(a) and Rule 19a-1 require registered investment companies, when making a distribution in the nature of a dividend from sources other than net investment income, to contemporaneously provide written statements to shareholders that adequately disclose the source or sources of such distribution. While the two funds sent annual statements and provided other materials containing this information, the shareholders did not receive the notices required by Rule 19a-1 with any of the distributions that were made for 2002 and 2003. Gabelli Funds believes that the funds have been in compliance with Section 19(a) and Rule 19a-1 since the beginning of 2004. As part of the settlement, in which Gabelli Funds neither admits nor denies the findings by the Commission, Gabelli Funds agreed to pay a civil monetary penalty of $450,000 and to cease and desist from causing violations of Section 19(a) and Rule 19a-1. In connection with the settlement, the Commission noted the remedial actions previously undertaken by Gabelli Funds.</w:t>
      </w:r>
    </w:p>
    <w:p>
      <w:pPr>
        <w:spacing w:after="0" w:line="5" w:lineRule="exact"/>
        <w:rPr>
          <w:rFonts w:ascii="Arial" w:cs="Arial" w:eastAsia="Arial" w:hAnsi="Arial"/>
          <w:sz w:val="15"/>
          <w:szCs w:val="15"/>
          <w:color w:val="auto"/>
        </w:rPr>
      </w:pPr>
    </w:p>
    <w:p>
      <w:pPr>
        <w:ind w:left="1103" w:hanging="211"/>
        <w:spacing w:after="0"/>
        <w:tabs>
          <w:tab w:leader="none" w:pos="1103" w:val="left"/>
        </w:tabs>
        <w:numPr>
          <w:ilvl w:val="1"/>
          <w:numId w:val="58"/>
        </w:numPr>
        <w:rPr>
          <w:rFonts w:ascii="Arial" w:cs="Arial" w:eastAsia="Arial" w:hAnsi="Arial"/>
          <w:sz w:val="16"/>
          <w:szCs w:val="16"/>
          <w:color w:val="auto"/>
        </w:rPr>
      </w:pPr>
      <w:r>
        <w:rPr>
          <w:rFonts w:ascii="Arial" w:cs="Arial" w:eastAsia="Arial" w:hAnsi="Arial"/>
          <w:sz w:val="16"/>
          <w:szCs w:val="16"/>
          <w:color w:val="auto"/>
        </w:rPr>
        <w:t>- - Reference is made to Schedule I hereto.</w:t>
      </w:r>
    </w:p>
    <w:p>
      <w:pPr>
        <w:spacing w:after="0" w:line="200" w:lineRule="exact"/>
        <w:rPr>
          <w:sz w:val="20"/>
          <w:szCs w:val="20"/>
          <w:color w:val="auto"/>
        </w:rPr>
      </w:pPr>
    </w:p>
    <w:p>
      <w:pPr>
        <w:spacing w:after="0" w:line="223"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Arial" w:cs="Arial" w:eastAsia="Arial" w:hAnsi="Arial"/>
                <w:sz w:val="16"/>
                <w:szCs w:val="16"/>
                <w:color w:val="auto"/>
              </w:rPr>
              <w:t>Item 3.</w:t>
            </w:r>
          </w:p>
        </w:tc>
        <w:tc>
          <w:tcPr>
            <w:tcW w:w="940" w:type="dxa"/>
            <w:vAlign w:val="bottom"/>
          </w:tcPr>
          <w:p>
            <w:pPr>
              <w:spacing w:after="0"/>
              <w:rPr>
                <w:sz w:val="16"/>
                <w:szCs w:val="16"/>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1"/>
              </w:rPr>
              <w:t>Source and Amount of Funds or Other Consideration</w:t>
            </w:r>
          </w:p>
        </w:tc>
        <w:tc>
          <w:tcPr>
            <w:tcW w:w="6120" w:type="dxa"/>
            <w:vAlign w:val="bottom"/>
          </w:tcPr>
          <w:p>
            <w:pPr>
              <w:spacing w:after="0"/>
              <w:rPr>
                <w:sz w:val="16"/>
                <w:szCs w:val="16"/>
                <w:color w:val="auto"/>
              </w:rPr>
            </w:pPr>
          </w:p>
        </w:tc>
      </w:tr>
      <w:tr>
        <w:trPr>
          <w:trHeight w:val="199"/>
        </w:trPr>
        <w:tc>
          <w:tcPr>
            <w:tcW w:w="820" w:type="dxa"/>
            <w:vAlign w:val="bottom"/>
          </w:tcPr>
          <w:p>
            <w:pPr>
              <w:spacing w:after="0"/>
              <w:rPr>
                <w:sz w:val="17"/>
                <w:szCs w:val="17"/>
                <w:color w:val="auto"/>
              </w:rPr>
            </w:pPr>
          </w:p>
        </w:tc>
        <w:tc>
          <w:tcPr>
            <w:tcW w:w="10500" w:type="dxa"/>
            <w:vAlign w:val="bottom"/>
            <w:gridSpan w:val="3"/>
          </w:tcPr>
          <w:p>
            <w:pPr>
              <w:ind w:left="340"/>
              <w:spacing w:after="0"/>
              <w:rPr>
                <w:sz w:val="20"/>
                <w:szCs w:val="20"/>
                <w:color w:val="auto"/>
              </w:rPr>
            </w:pPr>
            <w:r>
              <w:rPr>
                <w:rFonts w:ascii="Arial" w:cs="Arial" w:eastAsia="Arial" w:hAnsi="Arial"/>
                <w:sz w:val="16"/>
                <w:szCs w:val="16"/>
                <w:color w:val="auto"/>
              </w:rPr>
              <w:t>Item 3 to Schedule 13D is amended, in pertinent part, as follows:</w:t>
            </w:r>
          </w:p>
        </w:tc>
      </w:tr>
      <w:tr>
        <w:trPr>
          <w:trHeight w:val="206"/>
        </w:trPr>
        <w:tc>
          <w:tcPr>
            <w:tcW w:w="820" w:type="dxa"/>
            <w:vAlign w:val="bottom"/>
          </w:tcPr>
          <w:p>
            <w:pPr>
              <w:spacing w:after="0"/>
              <w:rPr>
                <w:sz w:val="17"/>
                <w:szCs w:val="17"/>
                <w:color w:val="auto"/>
              </w:rPr>
            </w:pPr>
          </w:p>
        </w:tc>
        <w:tc>
          <w:tcPr>
            <w:tcW w:w="10500" w:type="dxa"/>
            <w:vAlign w:val="bottom"/>
            <w:gridSpan w:val="3"/>
          </w:tcPr>
          <w:p>
            <w:pPr>
              <w:ind w:left="340"/>
              <w:spacing w:after="0"/>
              <w:rPr>
                <w:sz w:val="20"/>
                <w:szCs w:val="20"/>
                <w:color w:val="auto"/>
              </w:rPr>
            </w:pPr>
            <w:r>
              <w:rPr>
                <w:rFonts w:ascii="Arial" w:cs="Arial" w:eastAsia="Arial" w:hAnsi="Arial"/>
                <w:sz w:val="16"/>
                <w:szCs w:val="16"/>
                <w:color w:val="auto"/>
                <w:w w:val="91"/>
              </w:rPr>
              <w:t>The Reporting Persons used an aggregate of approximately $961,665 to purchase the additional Securities reported as beneficially owned in Item 5 since the</w:t>
            </w:r>
          </w:p>
        </w:tc>
      </w:tr>
    </w:tbl>
    <w:p>
      <w:pPr>
        <w:ind w:left="3" w:right="140"/>
        <w:spacing w:after="0" w:line="315" w:lineRule="auto"/>
        <w:rPr>
          <w:sz w:val="20"/>
          <w:szCs w:val="20"/>
          <w:color w:val="auto"/>
        </w:rPr>
      </w:pPr>
      <w:r>
        <w:rPr>
          <w:rFonts w:ascii="Arial" w:cs="Arial" w:eastAsia="Arial" w:hAnsi="Arial"/>
          <w:sz w:val="14"/>
          <w:szCs w:val="14"/>
          <w:color w:val="auto"/>
        </w:rPr>
        <w:t>most recent filing on Schedule 13D. GAMCO and Gabelli Funds used approximately $554,191 and $54,913, respectively, of funds that were provided through the accounts of certain of their investment advisory clients (and, in the case of some of such accounts at GAMCO, may be through borrowings from client margin accounts) in order to purchase the additional Securities for such clients. Teton Advisors used approximately $352,561 of client funds to purchase the additional Securities reported by it.</w:t>
      </w:r>
    </w:p>
    <w:p>
      <w:pPr>
        <w:sectPr>
          <w:pgSz w:w="11900" w:h="16846" w:orient="portrait"/>
          <w:cols w:equalWidth="0" w:num="1">
            <w:col w:w="11443"/>
          </w:cols>
          <w:pgMar w:left="237" w:top="346" w:right="219" w:bottom="0" w:gutter="0" w:footer="0" w:header="0"/>
        </w:sectPr>
      </w:pPr>
    </w:p>
    <w:bookmarkStart w:id="9" w:name="page10"/>
    <w:bookmarkEnd w:id="9"/>
    <w:tbl>
      <w:tblPr>
        <w:tblLayout w:type="fixed"/>
        <w:tblInd w:w="3"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Arial" w:cs="Arial" w:eastAsia="Arial" w:hAnsi="Arial"/>
                <w:sz w:val="16"/>
                <w:szCs w:val="16"/>
                <w:color w:val="auto"/>
              </w:rPr>
              <w:t>Item 5.</w:t>
            </w:r>
          </w:p>
        </w:tc>
        <w:tc>
          <w:tcPr>
            <w:tcW w:w="94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Interest In Securities Of The Issuer</w:t>
            </w:r>
          </w:p>
        </w:tc>
      </w:tr>
      <w:tr>
        <w:trPr>
          <w:trHeight w:val="20"/>
        </w:trPr>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w w:val="91"/>
              </w:rPr>
              <w:t>Item 5 to Schedule 13D is amended, in pertinent part, as follows:</w:t>
            </w:r>
          </w:p>
        </w:tc>
      </w:tr>
    </w:tbl>
    <w:p>
      <w:pPr>
        <w:ind w:left="3" w:right="140" w:firstLine="1165"/>
        <w:spacing w:after="0" w:line="290" w:lineRule="auto"/>
        <w:tabs>
          <w:tab w:leader="none" w:pos="1391"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aggregate number of Securities to which this Schedule 13D relates is 586,982 shares, representing 5.72% of the approximately 10,253,458 shares outstanding as reported by the Issuer in its Form 10-Q for the quarterly period ended December 31, 2008. The Reporting Persons beneficially own those Securities as follows:</w:t>
      </w:r>
    </w:p>
    <w:tbl>
      <w:tblPr>
        <w:tblLayout w:type="fixed"/>
        <w:tblInd w:w="3" w:type="dxa"/>
        <w:tblCellMar>
          <w:top w:w="0" w:type="dxa"/>
          <w:left w:w="0" w:type="dxa"/>
          <w:bottom w:w="0" w:type="dxa"/>
          <w:right w:w="0" w:type="dxa"/>
        </w:tblCellMar>
      </w:tblPr>
      <w:tr>
        <w:trPr>
          <w:trHeight w:val="183"/>
        </w:trPr>
        <w:tc>
          <w:tcPr>
            <w:tcW w:w="3260" w:type="dxa"/>
            <w:vAlign w:val="bottom"/>
          </w:tcPr>
          <w:p>
            <w:pPr>
              <w:spacing w:after="0"/>
              <w:rPr>
                <w:sz w:val="15"/>
                <w:szCs w:val="15"/>
                <w:color w:val="auto"/>
              </w:rPr>
            </w:pPr>
          </w:p>
        </w:tc>
        <w:tc>
          <w:tcPr>
            <w:tcW w:w="4540" w:type="dxa"/>
            <w:vAlign w:val="bottom"/>
          </w:tcPr>
          <w:p>
            <w:pPr>
              <w:jc w:val="center"/>
              <w:ind w:left="919"/>
              <w:spacing w:after="0" w:line="183" w:lineRule="exact"/>
              <w:rPr>
                <w:sz w:val="20"/>
                <w:szCs w:val="20"/>
                <w:color w:val="auto"/>
              </w:rPr>
            </w:pPr>
            <w:r>
              <w:rPr>
                <w:rFonts w:ascii="Arial" w:cs="Arial" w:eastAsia="Arial" w:hAnsi="Arial"/>
                <w:sz w:val="16"/>
                <w:szCs w:val="16"/>
                <w:color w:val="auto"/>
                <w:w w:val="90"/>
              </w:rPr>
              <w:t>Shares of</w:t>
            </w:r>
          </w:p>
        </w:tc>
        <w:tc>
          <w:tcPr>
            <w:tcW w:w="3640" w:type="dxa"/>
            <w:vAlign w:val="bottom"/>
          </w:tcPr>
          <w:p>
            <w:pPr>
              <w:jc w:val="center"/>
              <w:ind w:right="119"/>
              <w:spacing w:after="0" w:line="183" w:lineRule="exact"/>
              <w:rPr>
                <w:sz w:val="20"/>
                <w:szCs w:val="20"/>
                <w:color w:val="auto"/>
              </w:rPr>
            </w:pPr>
            <w:r>
              <w:rPr>
                <w:rFonts w:ascii="Arial" w:cs="Arial" w:eastAsia="Arial" w:hAnsi="Arial"/>
                <w:sz w:val="16"/>
                <w:szCs w:val="16"/>
                <w:color w:val="auto"/>
                <w:w w:val="93"/>
              </w:rPr>
              <w:t>% of Class of</w:t>
            </w:r>
          </w:p>
        </w:tc>
      </w:tr>
      <w:tr>
        <w:trPr>
          <w:trHeight w:val="236"/>
        </w:trPr>
        <w:tc>
          <w:tcPr>
            <w:tcW w:w="3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w:t>
            </w:r>
          </w:p>
        </w:tc>
        <w:tc>
          <w:tcPr>
            <w:tcW w:w="4540" w:type="dxa"/>
            <w:vAlign w:val="bottom"/>
            <w:tcBorders>
              <w:bottom w:val="single" w:sz="8" w:color="auto"/>
            </w:tcBorders>
          </w:tcPr>
          <w:p>
            <w:pPr>
              <w:jc w:val="center"/>
              <w:ind w:left="919"/>
              <w:spacing w:after="0"/>
              <w:rPr>
                <w:sz w:val="20"/>
                <w:szCs w:val="20"/>
                <w:color w:val="auto"/>
              </w:rPr>
            </w:pPr>
            <w:r>
              <w:rPr>
                <w:rFonts w:ascii="Arial" w:cs="Arial" w:eastAsia="Arial" w:hAnsi="Arial"/>
                <w:sz w:val="16"/>
                <w:szCs w:val="16"/>
                <w:color w:val="auto"/>
                <w:w w:val="93"/>
              </w:rPr>
              <w:t>Common Stock</w:t>
            </w:r>
          </w:p>
        </w:tc>
        <w:tc>
          <w:tcPr>
            <w:tcW w:w="36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2"/>
              </w:rPr>
              <w:t>Common</w:t>
            </w:r>
          </w:p>
        </w:tc>
      </w:tr>
      <w:tr>
        <w:trPr>
          <w:trHeight w:val="413"/>
        </w:trPr>
        <w:tc>
          <w:tcPr>
            <w:tcW w:w="3260" w:type="dxa"/>
            <w:vAlign w:val="bottom"/>
          </w:tcPr>
          <w:p>
            <w:pPr>
              <w:spacing w:after="0"/>
              <w:rPr>
                <w:sz w:val="20"/>
                <w:szCs w:val="20"/>
                <w:color w:val="auto"/>
              </w:rPr>
            </w:pPr>
            <w:r>
              <w:rPr>
                <w:rFonts w:ascii="Arial" w:cs="Arial" w:eastAsia="Arial" w:hAnsi="Arial"/>
                <w:sz w:val="16"/>
                <w:szCs w:val="16"/>
                <w:color w:val="auto"/>
              </w:rPr>
              <w:t>Gabelli Funds</w:t>
            </w:r>
          </w:p>
        </w:tc>
        <w:tc>
          <w:tcPr>
            <w:tcW w:w="4540" w:type="dxa"/>
            <w:vAlign w:val="bottom"/>
          </w:tcPr>
          <w:p>
            <w:pPr>
              <w:jc w:val="center"/>
              <w:ind w:left="919"/>
              <w:spacing w:after="0"/>
              <w:rPr>
                <w:sz w:val="20"/>
                <w:szCs w:val="20"/>
                <w:color w:val="auto"/>
              </w:rPr>
            </w:pPr>
            <w:r>
              <w:rPr>
                <w:rFonts w:ascii="Arial" w:cs="Arial" w:eastAsia="Arial" w:hAnsi="Arial"/>
                <w:sz w:val="16"/>
                <w:szCs w:val="16"/>
                <w:color w:val="auto"/>
                <w:w w:val="93"/>
              </w:rPr>
              <w:t>175,000</w:t>
            </w:r>
          </w:p>
        </w:tc>
        <w:tc>
          <w:tcPr>
            <w:tcW w:w="3640" w:type="dxa"/>
            <w:vAlign w:val="bottom"/>
          </w:tcPr>
          <w:p>
            <w:pPr>
              <w:jc w:val="center"/>
              <w:ind w:right="139"/>
              <w:spacing w:after="0"/>
              <w:rPr>
                <w:sz w:val="20"/>
                <w:szCs w:val="20"/>
                <w:color w:val="auto"/>
              </w:rPr>
            </w:pPr>
            <w:r>
              <w:rPr>
                <w:rFonts w:ascii="Arial" w:cs="Arial" w:eastAsia="Arial" w:hAnsi="Arial"/>
                <w:sz w:val="16"/>
                <w:szCs w:val="16"/>
                <w:color w:val="auto"/>
                <w:w w:val="92"/>
              </w:rPr>
              <w:t>1.71%</w:t>
            </w:r>
          </w:p>
        </w:tc>
      </w:tr>
      <w:tr>
        <w:trPr>
          <w:trHeight w:val="414"/>
        </w:trPr>
        <w:tc>
          <w:tcPr>
            <w:tcW w:w="3260" w:type="dxa"/>
            <w:vAlign w:val="bottom"/>
          </w:tcPr>
          <w:p>
            <w:pPr>
              <w:spacing w:after="0"/>
              <w:rPr>
                <w:sz w:val="20"/>
                <w:szCs w:val="20"/>
                <w:color w:val="auto"/>
              </w:rPr>
            </w:pPr>
            <w:r>
              <w:rPr>
                <w:rFonts w:ascii="Arial" w:cs="Arial" w:eastAsia="Arial" w:hAnsi="Arial"/>
                <w:sz w:val="16"/>
                <w:szCs w:val="16"/>
                <w:color w:val="auto"/>
              </w:rPr>
              <w:t>GAMCO</w:t>
            </w:r>
          </w:p>
        </w:tc>
        <w:tc>
          <w:tcPr>
            <w:tcW w:w="4540" w:type="dxa"/>
            <w:vAlign w:val="bottom"/>
          </w:tcPr>
          <w:p>
            <w:pPr>
              <w:jc w:val="center"/>
              <w:ind w:left="919"/>
              <w:spacing w:after="0"/>
              <w:rPr>
                <w:sz w:val="20"/>
                <w:szCs w:val="20"/>
                <w:color w:val="auto"/>
              </w:rPr>
            </w:pPr>
            <w:r>
              <w:rPr>
                <w:rFonts w:ascii="Arial" w:cs="Arial" w:eastAsia="Arial" w:hAnsi="Arial"/>
                <w:sz w:val="16"/>
                <w:szCs w:val="16"/>
                <w:color w:val="auto"/>
                <w:w w:val="93"/>
              </w:rPr>
              <w:t>358,382</w:t>
            </w:r>
          </w:p>
        </w:tc>
        <w:tc>
          <w:tcPr>
            <w:tcW w:w="3640" w:type="dxa"/>
            <w:vAlign w:val="bottom"/>
          </w:tcPr>
          <w:p>
            <w:pPr>
              <w:jc w:val="center"/>
              <w:ind w:right="139"/>
              <w:spacing w:after="0"/>
              <w:rPr>
                <w:sz w:val="20"/>
                <w:szCs w:val="20"/>
                <w:color w:val="auto"/>
              </w:rPr>
            </w:pPr>
            <w:r>
              <w:rPr>
                <w:rFonts w:ascii="Arial" w:cs="Arial" w:eastAsia="Arial" w:hAnsi="Arial"/>
                <w:sz w:val="16"/>
                <w:szCs w:val="16"/>
                <w:color w:val="auto"/>
                <w:w w:val="92"/>
              </w:rPr>
              <w:t>3.50%</w:t>
            </w:r>
          </w:p>
        </w:tc>
      </w:tr>
      <w:tr>
        <w:trPr>
          <w:trHeight w:val="414"/>
        </w:trPr>
        <w:tc>
          <w:tcPr>
            <w:tcW w:w="3260" w:type="dxa"/>
            <w:vAlign w:val="bottom"/>
          </w:tcPr>
          <w:p>
            <w:pPr>
              <w:spacing w:after="0"/>
              <w:rPr>
                <w:sz w:val="20"/>
                <w:szCs w:val="20"/>
                <w:color w:val="auto"/>
              </w:rPr>
            </w:pPr>
            <w:r>
              <w:rPr>
                <w:rFonts w:ascii="Arial" w:cs="Arial" w:eastAsia="Arial" w:hAnsi="Arial"/>
                <w:sz w:val="16"/>
                <w:szCs w:val="16"/>
                <w:color w:val="auto"/>
              </w:rPr>
              <w:t>Teton Advisors</w:t>
            </w:r>
          </w:p>
        </w:tc>
        <w:tc>
          <w:tcPr>
            <w:tcW w:w="4540" w:type="dxa"/>
            <w:vAlign w:val="bottom"/>
          </w:tcPr>
          <w:p>
            <w:pPr>
              <w:jc w:val="center"/>
              <w:ind w:left="919"/>
              <w:spacing w:after="0"/>
              <w:rPr>
                <w:sz w:val="20"/>
                <w:szCs w:val="20"/>
                <w:color w:val="auto"/>
              </w:rPr>
            </w:pPr>
            <w:r>
              <w:rPr>
                <w:rFonts w:ascii="Arial" w:cs="Arial" w:eastAsia="Arial" w:hAnsi="Arial"/>
                <w:sz w:val="16"/>
                <w:szCs w:val="16"/>
                <w:color w:val="auto"/>
                <w:w w:val="93"/>
              </w:rPr>
              <w:t>53,600</w:t>
            </w:r>
          </w:p>
        </w:tc>
        <w:tc>
          <w:tcPr>
            <w:tcW w:w="3640" w:type="dxa"/>
            <w:vAlign w:val="bottom"/>
          </w:tcPr>
          <w:p>
            <w:pPr>
              <w:jc w:val="center"/>
              <w:ind w:right="139"/>
              <w:spacing w:after="0"/>
              <w:rPr>
                <w:sz w:val="20"/>
                <w:szCs w:val="20"/>
                <w:color w:val="auto"/>
              </w:rPr>
            </w:pPr>
            <w:r>
              <w:rPr>
                <w:rFonts w:ascii="Arial" w:cs="Arial" w:eastAsia="Arial" w:hAnsi="Arial"/>
                <w:sz w:val="16"/>
                <w:szCs w:val="16"/>
                <w:color w:val="auto"/>
                <w:w w:val="92"/>
              </w:rPr>
              <w:t>0.52%</w:t>
            </w:r>
          </w:p>
        </w:tc>
      </w:tr>
    </w:tbl>
    <w:p>
      <w:pPr>
        <w:spacing w:after="0" w:line="207" w:lineRule="exact"/>
        <w:rPr>
          <w:sz w:val="20"/>
          <w:szCs w:val="20"/>
          <w:color w:val="auto"/>
        </w:rPr>
      </w:pPr>
    </w:p>
    <w:p>
      <w:pPr>
        <w:ind w:left="3" w:right="240"/>
        <w:spacing w:after="0" w:line="259" w:lineRule="auto"/>
        <w:rPr>
          <w:sz w:val="20"/>
          <w:szCs w:val="20"/>
          <w:color w:val="auto"/>
        </w:rPr>
      </w:pPr>
      <w:r>
        <w:rPr>
          <w:rFonts w:ascii="Arial" w:cs="Arial" w:eastAsia="Arial" w:hAnsi="Arial"/>
          <w:sz w:val="16"/>
          <w:szCs w:val="16"/>
          <w:color w:val="auto"/>
        </w:rPr>
        <w:t>Mario Gabelli is deemed to have beneficial ownership of the Securities owned beneficially by each of the foregoing persons. GSI is deemed to have beneficial ownership of the Securities owned beneficially by Gabelli &amp; Company. GBL and GGCP are deemed to have beneficial ownership of the Securities owned beneficially by each of the foregoing persons other than Mario Gabelli and the Foundation.</w:t>
      </w:r>
    </w:p>
    <w:p>
      <w:pPr>
        <w:ind w:left="3" w:right="160" w:firstLine="1165"/>
        <w:spacing w:after="0" w:line="270" w:lineRule="auto"/>
        <w:tabs>
          <w:tab w:leader="none" w:pos="1400" w:val="left"/>
        </w:tabs>
        <w:numPr>
          <w:ilvl w:val="1"/>
          <w:numId w:val="60"/>
        </w:numPr>
        <w:rPr>
          <w:rFonts w:ascii="Arial" w:cs="Arial" w:eastAsia="Arial" w:hAnsi="Arial"/>
          <w:sz w:val="15"/>
          <w:szCs w:val="15"/>
          <w:color w:val="auto"/>
        </w:rPr>
      </w:pPr>
      <w:r>
        <w:rPr>
          <w:rFonts w:ascii="Arial" w:cs="Arial" w:eastAsia="Arial" w:hAnsi="Arial"/>
          <w:sz w:val="15"/>
          <w:szCs w:val="15"/>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the authority to vote 8,000 of its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GBL, and GGCP is indirect with respect to Securities beneficially owned directly by other Reporting Persons.</w:t>
      </w:r>
    </w:p>
    <w:p>
      <w:pPr>
        <w:spacing w:after="0" w:line="3" w:lineRule="exact"/>
        <w:rPr>
          <w:rFonts w:ascii="Arial" w:cs="Arial" w:eastAsia="Arial" w:hAnsi="Arial"/>
          <w:sz w:val="15"/>
          <w:szCs w:val="15"/>
          <w:color w:val="auto"/>
        </w:rPr>
      </w:pPr>
    </w:p>
    <w:p>
      <w:pPr>
        <w:ind w:left="3" w:right="260" w:hanging="3"/>
        <w:spacing w:after="0" w:line="253" w:lineRule="auto"/>
        <w:tabs>
          <w:tab w:leader="none" w:pos="22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1" w:lineRule="exact"/>
        <w:rPr>
          <w:rFonts w:ascii="Arial" w:cs="Arial" w:eastAsia="Arial" w:hAnsi="Arial"/>
          <w:sz w:val="16"/>
          <w:szCs w:val="16"/>
          <w:color w:val="auto"/>
        </w:rPr>
      </w:pPr>
    </w:p>
    <w:p>
      <w:pPr>
        <w:ind w:left="1383" w:hanging="215"/>
        <w:spacing w:after="0"/>
        <w:tabs>
          <w:tab w:leader="none" w:pos="1383"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503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43"/>
          </w:cols>
          <w:pgMar w:left="237" w:top="333" w:right="21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auto"/>
        </w:rPr>
        <w:t>Signature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34"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13, 2009</w:t>
      </w:r>
    </w:p>
    <w:p>
      <w:pPr>
        <w:spacing w:after="0" w:line="218"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GGCP,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MARIO J. GABELLI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u w:val="single" w:color="auto"/>
          <w:color w:val="auto"/>
        </w:rPr>
        <w:t>/s/ Douglas R. Jamieson</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Douglas R. Jamieson</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GABELLI FUNDS, LLC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TETON ADVISORS,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u w:val="single" w:color="auto"/>
          <w:color w:val="auto"/>
        </w:rPr>
        <w:t>/s/ Bruce N. Alpert</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Bruce N. Alpert</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Chief Operating Officer – Gabelli Funds, LLC</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Chairman – Teton Advisors,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GAMCO ASSET MANAGEMENT INC.</w:t>
      </w:r>
    </w:p>
    <w:p>
      <w:pPr>
        <w:spacing w:after="0" w:line="22"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GAMCO INVESTORS,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u w:val="single" w:color="auto"/>
          <w:color w:val="auto"/>
        </w:rPr>
        <w:t>/s/ Douglas R. Jamieson</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Douglas R. Jamieson</w:t>
      </w:r>
    </w:p>
    <w:p>
      <w:pPr>
        <w:spacing w:after="0" w:line="1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President &amp; Chief Operating Officer – GAMCO Investors, Inc.</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President – GAMCO Asset Management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26503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565" w:right="1440" w:bottom="1440" w:gutter="0" w:footer="0" w:header="0"/>
        </w:sectPr>
      </w:pPr>
    </w:p>
    <w:bookmarkStart w:id="11" w:name="page12"/>
    <w:bookmarkEnd w:id="11"/>
    <w:p>
      <w:pPr>
        <w:ind w:left="5740"/>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CHEDULE</w:t>
      </w:r>
      <w:r>
        <w:rPr>
          <w:rFonts w:ascii="Arial" w:cs="Arial" w:eastAsia="Arial" w:hAnsi="Arial"/>
          <w:sz w:val="16"/>
          <w:szCs w:val="16"/>
          <w:color w:val="auto"/>
        </w:rPr>
        <w:t xml:space="preserve"> I</w:t>
      </w:r>
    </w:p>
    <w:p>
      <w:pPr>
        <w:spacing w:after="0" w:line="22" w:lineRule="exact"/>
        <w:rPr>
          <w:sz w:val="20"/>
          <w:szCs w:val="20"/>
          <w:color w:val="auto"/>
        </w:rPr>
      </w:pPr>
    </w:p>
    <w:p>
      <w:pPr>
        <w:jc w:val="right"/>
        <w:ind w:right="2780"/>
        <w:spacing w:after="0"/>
        <w:rPr>
          <w:sz w:val="20"/>
          <w:szCs w:val="20"/>
          <w:color w:val="auto"/>
        </w:rPr>
      </w:pPr>
      <w:r>
        <w:rPr>
          <w:rFonts w:ascii="Arial" w:cs="Arial" w:eastAsia="Arial" w:hAnsi="Arial"/>
          <w:sz w:val="16"/>
          <w:szCs w:val="16"/>
          <w:color w:val="auto"/>
        </w:rPr>
        <w:t>Information with Respect to Executive</w:t>
      </w:r>
    </w:p>
    <w:p>
      <w:pPr>
        <w:spacing w:after="0" w:line="11" w:lineRule="exact"/>
        <w:rPr>
          <w:sz w:val="20"/>
          <w:szCs w:val="20"/>
          <w:color w:val="auto"/>
        </w:rPr>
      </w:pPr>
    </w:p>
    <w:p>
      <w:pPr>
        <w:jc w:val="right"/>
        <w:ind w:right="2760"/>
        <w:spacing w:after="0"/>
        <w:rPr>
          <w:sz w:val="20"/>
          <w:szCs w:val="20"/>
          <w:color w:val="auto"/>
        </w:rPr>
      </w:pPr>
      <w:r>
        <w:rPr>
          <w:rFonts w:ascii="Arial" w:cs="Arial" w:eastAsia="Arial" w:hAnsi="Arial"/>
          <w:sz w:val="16"/>
          <w:szCs w:val="16"/>
          <w:color w:val="auto"/>
        </w:rPr>
        <w:t>Officers and Directors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-15240</wp:posOffset>
            </wp:positionV>
            <wp:extent cx="401828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18280" cy="7620"/>
                    </a:xfrm>
                    <a:prstGeom prst="rect">
                      <a:avLst/>
                    </a:prstGeom>
                    <a:noFill/>
                  </pic:spPr>
                </pic:pic>
              </a:graphicData>
            </a:graphic>
          </wp:anchor>
        </w:drawing>
      </w:r>
    </w:p>
    <w:p>
      <w:pPr>
        <w:ind w:left="3460"/>
        <w:spacing w:after="0"/>
        <w:rPr>
          <w:sz w:val="20"/>
          <w:szCs w:val="20"/>
          <w:color w:val="auto"/>
        </w:rPr>
      </w:pPr>
      <w:r>
        <w:rPr>
          <w:rFonts w:ascii="Arial" w:cs="Arial" w:eastAsia="Arial" w:hAnsi="Arial"/>
          <w:sz w:val="16"/>
          <w:szCs w:val="16"/>
          <w:color w:val="auto"/>
        </w:rPr>
        <w:t>Schedule I to Schedule 13D is amended, in pertinent part, as follows: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Securities, Inc., Gabelli &amp; Company, Inc., Teton Advisors,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26503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GGCP,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Directors: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40" w:type="dxa"/>
            <w:vAlign w:val="bottom"/>
          </w:tcPr>
          <w:p>
            <w:pPr>
              <w:spacing w:after="0"/>
              <w:rPr>
                <w:sz w:val="20"/>
                <w:szCs w:val="20"/>
                <w:color w:val="auto"/>
              </w:rPr>
            </w:pPr>
            <w:r>
              <w:rPr>
                <w:rFonts w:ascii="Arial" w:cs="Arial" w:eastAsia="Arial" w:hAnsi="Arial"/>
                <w:sz w:val="16"/>
                <w:szCs w:val="16"/>
                <w:color w:val="auto"/>
              </w:rPr>
              <w:t>Vincent J. Amabile</w:t>
            </w:r>
          </w:p>
        </w:tc>
        <w:tc>
          <w:tcPr>
            <w:tcW w:w="7100" w:type="dxa"/>
            <w:vAlign w:val="bottom"/>
            <w:gridSpan w:val="2"/>
          </w:tcPr>
          <w:p>
            <w:pPr>
              <w:spacing w:after="0"/>
              <w:rPr>
                <w:sz w:val="20"/>
                <w:szCs w:val="20"/>
                <w:color w:val="auto"/>
              </w:rPr>
            </w:pPr>
            <w:r>
              <w:rPr>
                <w:rFonts w:ascii="Arial" w:cs="Arial" w:eastAsia="Arial" w:hAnsi="Arial"/>
                <w:sz w:val="16"/>
                <w:szCs w:val="16"/>
                <w:color w:val="auto"/>
              </w:rPr>
              <w:t>Business Consultant</w:t>
            </w:r>
          </w:p>
        </w:tc>
        <w:tc>
          <w:tcPr>
            <w:tcW w:w="0" w:type="dxa"/>
            <w:vAlign w:val="bottom"/>
          </w:tcPr>
          <w:p>
            <w:pPr>
              <w:spacing w:after="0"/>
              <w:rPr>
                <w:sz w:val="1"/>
                <w:szCs w:val="1"/>
                <w:color w:val="auto"/>
              </w:rPr>
            </w:pPr>
          </w:p>
        </w:tc>
      </w:tr>
      <w:tr>
        <w:trPr>
          <w:trHeight w:val="389"/>
        </w:trPr>
        <w:tc>
          <w:tcPr>
            <w:tcW w:w="4140" w:type="dxa"/>
            <w:vAlign w:val="bottom"/>
          </w:tcPr>
          <w:p>
            <w:pPr>
              <w:ind w:left="600"/>
              <w:spacing w:after="0"/>
              <w:rPr>
                <w:sz w:val="20"/>
                <w:szCs w:val="20"/>
                <w:color w:val="auto"/>
              </w:rPr>
            </w:pPr>
            <w:r>
              <w:rPr>
                <w:rFonts w:ascii="Arial" w:cs="Arial" w:eastAsia="Arial" w:hAnsi="Arial"/>
                <w:sz w:val="16"/>
                <w:szCs w:val="16"/>
                <w:color w:val="auto"/>
              </w:rPr>
              <w:t>Mario J. Gabelli</w:t>
            </w:r>
          </w:p>
        </w:tc>
        <w:tc>
          <w:tcPr>
            <w:tcW w:w="7100" w:type="dxa"/>
            <w:vAlign w:val="bottom"/>
            <w:gridSpan w:val="2"/>
          </w:tcPr>
          <w:p>
            <w:pPr>
              <w:spacing w:after="0"/>
              <w:rPr>
                <w:sz w:val="20"/>
                <w:szCs w:val="20"/>
                <w:color w:val="auto"/>
              </w:rPr>
            </w:pPr>
            <w:r>
              <w:rPr>
                <w:rFonts w:ascii="Arial" w:cs="Arial" w:eastAsia="Arial" w:hAnsi="Arial"/>
                <w:sz w:val="16"/>
                <w:szCs w:val="16"/>
                <w:color w:val="auto"/>
                <w:w w:val="94"/>
              </w:rPr>
              <w:t>Chief Executive Officer of GGCP, Inc., and Chairman &amp; Chief Executive Officer of GAMCO Investors, Inc.;</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Director/Trustee of all registered investment companies advised by Gabelli Funds, LLC.</w:t>
            </w: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Arial" w:cs="Arial" w:eastAsia="Arial" w:hAnsi="Arial"/>
                <w:sz w:val="16"/>
                <w:szCs w:val="16"/>
                <w:color w:val="auto"/>
              </w:rPr>
              <w:t>Marc J. Gabelli</w:t>
            </w:r>
          </w:p>
        </w:tc>
        <w:tc>
          <w:tcPr>
            <w:tcW w:w="7100" w:type="dxa"/>
            <w:vAlign w:val="bottom"/>
            <w:gridSpan w:val="2"/>
          </w:tcPr>
          <w:p>
            <w:pPr>
              <w:spacing w:after="0"/>
              <w:rPr>
                <w:sz w:val="20"/>
                <w:szCs w:val="20"/>
                <w:color w:val="auto"/>
              </w:rPr>
            </w:pPr>
            <w:r>
              <w:rPr>
                <w:rFonts w:ascii="Arial" w:cs="Arial" w:eastAsia="Arial" w:hAnsi="Arial"/>
                <w:sz w:val="16"/>
                <w:szCs w:val="16"/>
                <w:color w:val="auto"/>
              </w:rPr>
              <w:t>Chairman of The LGL Group, Inc.</w:t>
            </w:r>
          </w:p>
        </w:tc>
        <w:tc>
          <w:tcPr>
            <w:tcW w:w="0" w:type="dxa"/>
            <w:vAlign w:val="bottom"/>
          </w:tcPr>
          <w:p>
            <w:pPr>
              <w:spacing w:after="0"/>
              <w:rPr>
                <w:sz w:val="1"/>
                <w:szCs w:val="1"/>
                <w:color w:val="auto"/>
              </w:rPr>
            </w:pPr>
          </w:p>
        </w:tc>
      </w:tr>
      <w:tr>
        <w:trPr>
          <w:trHeight w:val="402"/>
        </w:trPr>
        <w:tc>
          <w:tcPr>
            <w:tcW w:w="4140" w:type="dxa"/>
            <w:vAlign w:val="bottom"/>
          </w:tcPr>
          <w:p>
            <w:pPr>
              <w:spacing w:after="0"/>
              <w:rPr>
                <w:sz w:val="20"/>
                <w:szCs w:val="20"/>
                <w:color w:val="auto"/>
              </w:rPr>
            </w:pPr>
            <w:r>
              <w:rPr>
                <w:rFonts w:ascii="Arial" w:cs="Arial" w:eastAsia="Arial" w:hAnsi="Arial"/>
                <w:sz w:val="16"/>
                <w:szCs w:val="16"/>
                <w:color w:val="auto"/>
              </w:rPr>
              <w:t>Matthew R. Gabelli</w:t>
            </w:r>
          </w:p>
        </w:tc>
        <w:tc>
          <w:tcPr>
            <w:tcW w:w="7100" w:type="dxa"/>
            <w:vAlign w:val="bottom"/>
            <w:gridSpan w:val="2"/>
          </w:tcPr>
          <w:p>
            <w:pPr>
              <w:spacing w:after="0"/>
              <w:rPr>
                <w:sz w:val="20"/>
                <w:szCs w:val="20"/>
                <w:color w:val="auto"/>
              </w:rPr>
            </w:pPr>
            <w:r>
              <w:rPr>
                <w:rFonts w:ascii="Arial" w:cs="Arial" w:eastAsia="Arial" w:hAnsi="Arial"/>
                <w:sz w:val="16"/>
                <w:szCs w:val="16"/>
                <w:color w:val="auto"/>
              </w:rPr>
              <w:t>Vice President – Trading</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Gabelli &amp; Company, Inc.</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One Corporate Center</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Rye, New York 10580</w:t>
            </w:r>
          </w:p>
        </w:tc>
        <w:tc>
          <w:tcPr>
            <w:tcW w:w="0" w:type="dxa"/>
            <w:vAlign w:val="bottom"/>
          </w:tcPr>
          <w:p>
            <w:pPr>
              <w:spacing w:after="0"/>
              <w:rPr>
                <w:sz w:val="1"/>
                <w:szCs w:val="1"/>
                <w:color w:val="auto"/>
              </w:rPr>
            </w:pPr>
          </w:p>
        </w:tc>
      </w:tr>
      <w:tr>
        <w:trPr>
          <w:trHeight w:val="402"/>
        </w:trPr>
        <w:tc>
          <w:tcPr>
            <w:tcW w:w="4140" w:type="dxa"/>
            <w:vAlign w:val="bottom"/>
          </w:tcPr>
          <w:p>
            <w:pPr>
              <w:spacing w:after="0"/>
              <w:rPr>
                <w:sz w:val="20"/>
                <w:szCs w:val="20"/>
                <w:color w:val="auto"/>
              </w:rPr>
            </w:pPr>
            <w:r>
              <w:rPr>
                <w:rFonts w:ascii="Arial" w:cs="Arial" w:eastAsia="Arial" w:hAnsi="Arial"/>
                <w:sz w:val="16"/>
                <w:szCs w:val="16"/>
                <w:color w:val="auto"/>
              </w:rPr>
              <w:t>Charles C. Baum</w:t>
            </w:r>
          </w:p>
        </w:tc>
        <w:tc>
          <w:tcPr>
            <w:tcW w:w="7100" w:type="dxa"/>
            <w:vAlign w:val="bottom"/>
            <w:gridSpan w:val="2"/>
          </w:tcPr>
          <w:p>
            <w:pPr>
              <w:spacing w:after="0"/>
              <w:rPr>
                <w:sz w:val="20"/>
                <w:szCs w:val="20"/>
                <w:color w:val="auto"/>
              </w:rPr>
            </w:pPr>
            <w:r>
              <w:rPr>
                <w:rFonts w:ascii="Arial" w:cs="Arial" w:eastAsia="Arial" w:hAnsi="Arial"/>
                <w:sz w:val="16"/>
                <w:szCs w:val="16"/>
                <w:color w:val="auto"/>
              </w:rPr>
              <w:t>Secretary &amp; Treasurer</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United Holdings Co., Inc.</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2545 Wilkens Avenue</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Baltimore, MD  21223</w:t>
            </w:r>
          </w:p>
        </w:tc>
        <w:tc>
          <w:tcPr>
            <w:tcW w:w="0" w:type="dxa"/>
            <w:vAlign w:val="bottom"/>
          </w:tcPr>
          <w:p>
            <w:pPr>
              <w:spacing w:after="0"/>
              <w:rPr>
                <w:sz w:val="1"/>
                <w:szCs w:val="1"/>
                <w:color w:val="auto"/>
              </w:rPr>
            </w:pPr>
          </w:p>
        </w:tc>
      </w:tr>
      <w:tr>
        <w:trPr>
          <w:trHeight w:val="414"/>
        </w:trPr>
        <w:tc>
          <w:tcPr>
            <w:tcW w:w="4140" w:type="dxa"/>
            <w:vAlign w:val="bottom"/>
            <w:vMerge w:val="restart"/>
          </w:tcPr>
          <w:p>
            <w:pPr>
              <w:ind w:left="600"/>
              <w:spacing w:after="0"/>
              <w:rPr>
                <w:sz w:val="20"/>
                <w:szCs w:val="20"/>
                <w:color w:val="auto"/>
              </w:rPr>
            </w:pPr>
            <w:r>
              <w:rPr>
                <w:rFonts w:ascii="Arial" w:cs="Arial" w:eastAsia="Arial" w:hAnsi="Arial"/>
                <w:sz w:val="16"/>
                <w:szCs w:val="16"/>
                <w:color w:val="auto"/>
              </w:rPr>
              <w:t>Douglas R. Jamieson</w:t>
            </w:r>
          </w:p>
        </w:tc>
        <w:tc>
          <w:tcPr>
            <w:tcW w:w="7100" w:type="dxa"/>
            <w:vAlign w:val="bottom"/>
            <w:gridSpan w:val="2"/>
          </w:tcPr>
          <w:p>
            <w:pPr>
              <w:spacing w:after="0"/>
              <w:rPr>
                <w:sz w:val="20"/>
                <w:szCs w:val="20"/>
                <w:color w:val="auto"/>
              </w:rPr>
            </w:pPr>
            <w:r>
              <w:rPr>
                <w:rFonts w:ascii="Arial" w:cs="Arial" w:eastAsia="Arial" w:hAnsi="Arial"/>
                <w:sz w:val="16"/>
                <w:szCs w:val="16"/>
                <w:color w:val="auto"/>
              </w:rPr>
              <w:t>See below</w:t>
            </w:r>
          </w:p>
        </w:tc>
        <w:tc>
          <w:tcPr>
            <w:tcW w:w="0" w:type="dxa"/>
            <w:vAlign w:val="bottom"/>
          </w:tcPr>
          <w:p>
            <w:pPr>
              <w:spacing w:after="0"/>
              <w:rPr>
                <w:sz w:val="1"/>
                <w:szCs w:val="1"/>
                <w:color w:val="auto"/>
              </w:rPr>
            </w:pPr>
          </w:p>
        </w:tc>
      </w:tr>
      <w:tr>
        <w:trPr>
          <w:trHeight w:val="73"/>
        </w:trPr>
        <w:tc>
          <w:tcPr>
            <w:tcW w:w="41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4140" w:type="dxa"/>
            <w:vAlign w:val="bottom"/>
          </w:tcPr>
          <w:p>
            <w:pPr>
              <w:ind w:left="580"/>
              <w:spacing w:after="0"/>
              <w:rPr>
                <w:sz w:val="20"/>
                <w:szCs w:val="20"/>
                <w:color w:val="auto"/>
              </w:rPr>
            </w:pPr>
            <w:r>
              <w:rPr>
                <w:rFonts w:ascii="Arial" w:cs="Arial" w:eastAsia="Arial" w:hAnsi="Arial"/>
                <w:sz w:val="16"/>
                <w:szCs w:val="16"/>
                <w:color w:val="auto"/>
              </w:rPr>
              <w:t>Joseph R. Rindler, Jr.</w:t>
            </w:r>
          </w:p>
        </w:tc>
        <w:tc>
          <w:tcPr>
            <w:tcW w:w="7100" w:type="dxa"/>
            <w:vAlign w:val="bottom"/>
            <w:gridSpan w:val="2"/>
          </w:tcPr>
          <w:p>
            <w:pPr>
              <w:spacing w:after="0"/>
              <w:rPr>
                <w:sz w:val="20"/>
                <w:szCs w:val="20"/>
                <w:color w:val="auto"/>
              </w:rPr>
            </w:pPr>
            <w:r>
              <w:rPr>
                <w:rFonts w:ascii="Arial" w:cs="Arial" w:eastAsia="Arial" w:hAnsi="Arial"/>
                <w:sz w:val="16"/>
                <w:szCs w:val="16"/>
                <w:color w:val="auto"/>
              </w:rPr>
              <w:t>Account Executive for GAMCO Asset Management Inc.</w:t>
            </w:r>
          </w:p>
        </w:tc>
        <w:tc>
          <w:tcPr>
            <w:tcW w:w="0" w:type="dxa"/>
            <w:vAlign w:val="bottom"/>
          </w:tcPr>
          <w:p>
            <w:pPr>
              <w:spacing w:after="0"/>
              <w:rPr>
                <w:sz w:val="1"/>
                <w:szCs w:val="1"/>
                <w:color w:val="auto"/>
              </w:rPr>
            </w:pPr>
          </w:p>
        </w:tc>
      </w:tr>
      <w:tr>
        <w:trPr>
          <w:trHeight w:val="402"/>
        </w:trPr>
        <w:tc>
          <w:tcPr>
            <w:tcW w:w="4140" w:type="dxa"/>
            <w:vAlign w:val="bottom"/>
          </w:tcPr>
          <w:p>
            <w:pPr>
              <w:ind w:left="600"/>
              <w:spacing w:after="0"/>
              <w:rPr>
                <w:sz w:val="20"/>
                <w:szCs w:val="20"/>
                <w:color w:val="auto"/>
              </w:rPr>
            </w:pPr>
            <w:r>
              <w:rPr>
                <w:rFonts w:ascii="Arial" w:cs="Arial" w:eastAsia="Arial" w:hAnsi="Arial"/>
                <w:sz w:val="16"/>
                <w:szCs w:val="16"/>
                <w:color w:val="auto"/>
              </w:rPr>
              <w:t>Fredric V. Salerno</w:t>
            </w:r>
          </w:p>
        </w:tc>
        <w:tc>
          <w:tcPr>
            <w:tcW w:w="7100" w:type="dxa"/>
            <w:vAlign w:val="bottom"/>
            <w:gridSpan w:val="2"/>
          </w:tcPr>
          <w:p>
            <w:pPr>
              <w:spacing w:after="0"/>
              <w:rPr>
                <w:sz w:val="20"/>
                <w:szCs w:val="20"/>
                <w:color w:val="auto"/>
              </w:rPr>
            </w:pPr>
            <w:r>
              <w:rPr>
                <w:rFonts w:ascii="Arial" w:cs="Arial" w:eastAsia="Arial" w:hAnsi="Arial"/>
                <w:sz w:val="16"/>
                <w:szCs w:val="16"/>
                <w:color w:val="auto"/>
              </w:rPr>
              <w:t>Chairman; Former Vice Chairman and Chief Financial Officer</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Verizon Communications</w:t>
            </w:r>
          </w:p>
        </w:tc>
        <w:tc>
          <w:tcPr>
            <w:tcW w:w="0" w:type="dxa"/>
            <w:vAlign w:val="bottom"/>
          </w:tcPr>
          <w:p>
            <w:pPr>
              <w:spacing w:after="0"/>
              <w:rPr>
                <w:sz w:val="1"/>
                <w:szCs w:val="1"/>
                <w:color w:val="auto"/>
              </w:rPr>
            </w:pPr>
          </w:p>
        </w:tc>
      </w:tr>
      <w:tr>
        <w:trPr>
          <w:trHeight w:val="414"/>
        </w:trPr>
        <w:tc>
          <w:tcPr>
            <w:tcW w:w="4140" w:type="dxa"/>
            <w:vAlign w:val="bottom"/>
          </w:tcPr>
          <w:p>
            <w:pPr>
              <w:ind w:left="580"/>
              <w:spacing w:after="0"/>
              <w:rPr>
                <w:sz w:val="20"/>
                <w:szCs w:val="20"/>
                <w:color w:val="auto"/>
              </w:rPr>
            </w:pPr>
            <w:r>
              <w:rPr>
                <w:rFonts w:ascii="Arial" w:cs="Arial" w:eastAsia="Arial" w:hAnsi="Arial"/>
                <w:sz w:val="16"/>
                <w:szCs w:val="16"/>
                <w:color w:val="auto"/>
              </w:rPr>
              <w:t>Vincent Capurso</w:t>
            </w:r>
          </w:p>
        </w:tc>
        <w:tc>
          <w:tcPr>
            <w:tcW w:w="7100" w:type="dxa"/>
            <w:vAlign w:val="bottom"/>
            <w:gridSpan w:val="2"/>
          </w:tcPr>
          <w:p>
            <w:pPr>
              <w:spacing w:after="0"/>
              <w:rPr>
                <w:sz w:val="20"/>
                <w:szCs w:val="20"/>
                <w:color w:val="auto"/>
              </w:rPr>
            </w:pPr>
            <w:r>
              <w:rPr>
                <w:rFonts w:ascii="Arial" w:cs="Arial" w:eastAsia="Arial" w:hAnsi="Arial"/>
                <w:sz w:val="16"/>
                <w:szCs w:val="16"/>
                <w:color w:val="auto"/>
              </w:rPr>
              <w:t>Vice President Taxes, Barnes &amp; Noble, Inc.</w:t>
            </w:r>
          </w:p>
        </w:tc>
        <w:tc>
          <w:tcPr>
            <w:tcW w:w="0" w:type="dxa"/>
            <w:vAlign w:val="bottom"/>
          </w:tcPr>
          <w:p>
            <w:pPr>
              <w:spacing w:after="0"/>
              <w:rPr>
                <w:sz w:val="1"/>
                <w:szCs w:val="1"/>
                <w:color w:val="auto"/>
              </w:rPr>
            </w:pPr>
          </w:p>
        </w:tc>
      </w:tr>
      <w:tr>
        <w:trPr>
          <w:trHeight w:val="414"/>
        </w:trPr>
        <w:tc>
          <w:tcPr>
            <w:tcW w:w="4140" w:type="dxa"/>
            <w:vAlign w:val="bottom"/>
          </w:tcPr>
          <w:p>
            <w:pPr>
              <w:ind w:left="580"/>
              <w:spacing w:after="0"/>
              <w:rPr>
                <w:sz w:val="20"/>
                <w:szCs w:val="20"/>
                <w:color w:val="auto"/>
              </w:rPr>
            </w:pPr>
            <w:r>
              <w:rPr>
                <w:rFonts w:ascii="Arial" w:cs="Arial" w:eastAsia="Arial" w:hAnsi="Arial"/>
                <w:sz w:val="16"/>
                <w:szCs w:val="16"/>
                <w:color w:val="auto"/>
              </w:rPr>
              <w:t>Vincent S. Tese</w:t>
            </w:r>
          </w:p>
        </w:tc>
        <w:tc>
          <w:tcPr>
            <w:tcW w:w="7100" w:type="dxa"/>
            <w:vAlign w:val="bottom"/>
            <w:gridSpan w:val="2"/>
          </w:tcPr>
          <w:p>
            <w:pPr>
              <w:spacing w:after="0"/>
              <w:rPr>
                <w:sz w:val="20"/>
                <w:szCs w:val="20"/>
                <w:color w:val="auto"/>
              </w:rPr>
            </w:pPr>
            <w:r>
              <w:rPr>
                <w:rFonts w:ascii="Arial" w:cs="Arial" w:eastAsia="Arial" w:hAnsi="Arial"/>
                <w:sz w:val="16"/>
                <w:szCs w:val="16"/>
                <w:color w:val="auto"/>
              </w:rPr>
              <w:t>Former Director GAMCO Investors, Inc.</w:t>
            </w:r>
          </w:p>
        </w:tc>
        <w:tc>
          <w:tcPr>
            <w:tcW w:w="0" w:type="dxa"/>
            <w:vAlign w:val="bottom"/>
          </w:tcPr>
          <w:p>
            <w:pPr>
              <w:spacing w:after="0"/>
              <w:rPr>
                <w:sz w:val="1"/>
                <w:szCs w:val="1"/>
                <w:color w:val="auto"/>
              </w:rPr>
            </w:pPr>
          </w:p>
        </w:tc>
      </w:tr>
      <w:tr>
        <w:trPr>
          <w:trHeight w:val="414"/>
        </w:trPr>
        <w:tc>
          <w:tcPr>
            <w:tcW w:w="4140" w:type="dxa"/>
            <w:vAlign w:val="bottom"/>
          </w:tcPr>
          <w:p>
            <w:pPr>
              <w:ind w:left="600"/>
              <w:spacing w:after="0"/>
              <w:rPr>
                <w:sz w:val="20"/>
                <w:szCs w:val="20"/>
                <w:color w:val="auto"/>
              </w:rPr>
            </w:pPr>
            <w:r>
              <w:rPr>
                <w:rFonts w:ascii="Arial" w:cs="Arial" w:eastAsia="Arial" w:hAnsi="Arial"/>
                <w:sz w:val="16"/>
                <w:szCs w:val="16"/>
                <w:color w:val="auto"/>
              </w:rPr>
              <w:t>Michael Gabelli</w:t>
            </w:r>
          </w:p>
        </w:tc>
        <w:tc>
          <w:tcPr>
            <w:tcW w:w="71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414"/>
        </w:trPr>
        <w:tc>
          <w:tcPr>
            <w:tcW w:w="4140" w:type="dxa"/>
            <w:vAlign w:val="bottom"/>
          </w:tcPr>
          <w:p>
            <w:pPr>
              <w:ind w:left="600"/>
              <w:spacing w:after="0"/>
              <w:rPr>
                <w:sz w:val="20"/>
                <w:szCs w:val="20"/>
                <w:color w:val="auto"/>
              </w:rPr>
            </w:pPr>
            <w:r>
              <w:rPr>
                <w:rFonts w:ascii="Arial" w:cs="Arial" w:eastAsia="Arial" w:hAnsi="Arial"/>
                <w:sz w:val="16"/>
                <w:szCs w:val="16"/>
                <w:color w:val="auto"/>
              </w:rPr>
              <w:t>John Gabelli</w:t>
            </w:r>
          </w:p>
        </w:tc>
        <w:tc>
          <w:tcPr>
            <w:tcW w:w="71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791"/>
        </w:trPr>
        <w:tc>
          <w:tcPr>
            <w:tcW w:w="4140" w:type="dxa"/>
            <w:vAlign w:val="bottom"/>
          </w:tcPr>
          <w:p>
            <w:pPr>
              <w:spacing w:after="0"/>
              <w:rPr>
                <w:sz w:val="20"/>
                <w:szCs w:val="20"/>
                <w:color w:val="auto"/>
              </w:rPr>
            </w:pPr>
            <w:r>
              <w:rPr>
                <w:rFonts w:ascii="Arial" w:cs="Arial" w:eastAsia="Arial" w:hAnsi="Arial"/>
                <w:sz w:val="16"/>
                <w:szCs w:val="16"/>
                <w:color w:val="auto"/>
              </w:rPr>
              <w:t>Officers:</w:t>
            </w:r>
          </w:p>
        </w:tc>
        <w:tc>
          <w:tcPr>
            <w:tcW w:w="9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Mario J. Gabelli</w:t>
            </w:r>
          </w:p>
        </w:tc>
        <w:tc>
          <w:tcPr>
            <w:tcW w:w="7100" w:type="dxa"/>
            <w:vAlign w:val="bottom"/>
            <w:gridSpan w:val="2"/>
          </w:tcPr>
          <w:p>
            <w:pPr>
              <w:ind w:left="40"/>
              <w:spacing w:after="0"/>
              <w:rPr>
                <w:sz w:val="20"/>
                <w:szCs w:val="20"/>
                <w:color w:val="auto"/>
              </w:rPr>
            </w:pPr>
            <w:r>
              <w:rPr>
                <w:rFonts w:ascii="Arial" w:cs="Arial" w:eastAsia="Arial" w:hAnsi="Arial"/>
                <w:sz w:val="16"/>
                <w:szCs w:val="16"/>
                <w:color w:val="auto"/>
              </w:rPr>
              <w:t>Chief Executive Officer and Chief Investment Officer</w:t>
            </w: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Arial" w:cs="Arial" w:eastAsia="Arial" w:hAnsi="Arial"/>
                <w:sz w:val="16"/>
                <w:szCs w:val="16"/>
                <w:color w:val="auto"/>
              </w:rPr>
              <w:t>Michael G. Chieco</w:t>
            </w:r>
          </w:p>
        </w:tc>
        <w:tc>
          <w:tcPr>
            <w:tcW w:w="7100" w:type="dxa"/>
            <w:vAlign w:val="bottom"/>
            <w:gridSpan w:val="2"/>
          </w:tcPr>
          <w:p>
            <w:pPr>
              <w:spacing w:after="0"/>
              <w:rPr>
                <w:sz w:val="20"/>
                <w:szCs w:val="20"/>
                <w:color w:val="auto"/>
              </w:rPr>
            </w:pPr>
            <w:r>
              <w:rPr>
                <w:rFonts w:ascii="Arial" w:cs="Arial" w:eastAsia="Arial" w:hAnsi="Arial"/>
                <w:sz w:val="16"/>
                <w:szCs w:val="16"/>
                <w:color w:val="auto"/>
              </w:rPr>
              <w:t>Chief Financial Officer, Secretary</w:t>
            </w:r>
          </w:p>
        </w:tc>
        <w:tc>
          <w:tcPr>
            <w:tcW w:w="0" w:type="dxa"/>
            <w:vAlign w:val="bottom"/>
          </w:tcPr>
          <w:p>
            <w:pPr>
              <w:spacing w:after="0"/>
              <w:rPr>
                <w:sz w:val="1"/>
                <w:szCs w:val="1"/>
                <w:color w:val="auto"/>
              </w:rPr>
            </w:pPr>
          </w:p>
        </w:tc>
      </w:tr>
      <w:tr>
        <w:trPr>
          <w:trHeight w:val="596"/>
        </w:trPr>
        <w:tc>
          <w:tcPr>
            <w:tcW w:w="4140" w:type="dxa"/>
            <w:vAlign w:val="bottom"/>
          </w:tcPr>
          <w:p>
            <w:pPr>
              <w:spacing w:after="0"/>
              <w:rPr>
                <w:sz w:val="20"/>
                <w:szCs w:val="20"/>
                <w:color w:val="auto"/>
              </w:rPr>
            </w:pPr>
            <w:r>
              <w:rPr>
                <w:rFonts w:ascii="Arial" w:cs="Arial" w:eastAsia="Arial" w:hAnsi="Arial"/>
                <w:sz w:val="16"/>
                <w:szCs w:val="16"/>
                <w:color w:val="auto"/>
              </w:rPr>
              <w:t>GAMCO Investors, Inc.</w:t>
            </w:r>
          </w:p>
        </w:tc>
        <w:tc>
          <w:tcPr>
            <w:tcW w:w="9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Directors:</w:t>
            </w:r>
          </w:p>
        </w:tc>
        <w:tc>
          <w:tcPr>
            <w:tcW w:w="9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140" w:type="dxa"/>
            <w:vAlign w:val="bottom"/>
          </w:tcPr>
          <w:p>
            <w:pPr>
              <w:ind w:left="600"/>
              <w:spacing w:after="0"/>
              <w:rPr>
                <w:sz w:val="20"/>
                <w:szCs w:val="20"/>
                <w:color w:val="auto"/>
              </w:rPr>
            </w:pPr>
            <w:r>
              <w:rPr>
                <w:rFonts w:ascii="Arial" w:cs="Arial" w:eastAsia="Arial" w:hAnsi="Arial"/>
                <w:sz w:val="16"/>
                <w:szCs w:val="16"/>
                <w:color w:val="auto"/>
              </w:rPr>
              <w:t>Edwin L. Artzt</w:t>
            </w:r>
          </w:p>
        </w:tc>
        <w:tc>
          <w:tcPr>
            <w:tcW w:w="7100" w:type="dxa"/>
            <w:vAlign w:val="bottom"/>
            <w:gridSpan w:val="2"/>
          </w:tcPr>
          <w:p>
            <w:pPr>
              <w:spacing w:after="0"/>
              <w:rPr>
                <w:sz w:val="20"/>
                <w:szCs w:val="20"/>
                <w:color w:val="auto"/>
              </w:rPr>
            </w:pPr>
            <w:r>
              <w:rPr>
                <w:rFonts w:ascii="Arial" w:cs="Arial" w:eastAsia="Arial" w:hAnsi="Arial"/>
                <w:sz w:val="16"/>
                <w:szCs w:val="16"/>
                <w:color w:val="auto"/>
              </w:rPr>
              <w:t>Former Chairman and Chief Executive Officer</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Procter &amp; Gamble Company</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900 Adams Crossing</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Cincinnati, OH 45202</w:t>
            </w:r>
          </w:p>
        </w:tc>
        <w:tc>
          <w:tcPr>
            <w:tcW w:w="0" w:type="dxa"/>
            <w:vAlign w:val="bottom"/>
          </w:tcPr>
          <w:p>
            <w:pPr>
              <w:spacing w:after="0"/>
              <w:rPr>
                <w:sz w:val="1"/>
                <w:szCs w:val="1"/>
                <w:color w:val="auto"/>
              </w:rPr>
            </w:pPr>
          </w:p>
        </w:tc>
      </w:tr>
      <w:tr>
        <w:trPr>
          <w:trHeight w:val="402"/>
        </w:trPr>
        <w:tc>
          <w:tcPr>
            <w:tcW w:w="4140" w:type="dxa"/>
            <w:vAlign w:val="bottom"/>
            <w:vMerge w:val="restart"/>
          </w:tcPr>
          <w:p>
            <w:pPr>
              <w:ind w:left="580"/>
              <w:spacing w:after="0"/>
              <w:rPr>
                <w:sz w:val="20"/>
                <w:szCs w:val="20"/>
                <w:color w:val="auto"/>
              </w:rPr>
            </w:pPr>
            <w:r>
              <w:rPr>
                <w:rFonts w:ascii="Arial" w:cs="Arial" w:eastAsia="Arial" w:hAnsi="Arial"/>
                <w:sz w:val="16"/>
                <w:szCs w:val="16"/>
                <w:color w:val="auto"/>
              </w:rPr>
              <w:t>Raymond C. Avansino</w:t>
            </w:r>
          </w:p>
        </w:tc>
        <w:tc>
          <w:tcPr>
            <w:tcW w:w="7100" w:type="dxa"/>
            <w:vAlign w:val="bottom"/>
            <w:gridSpan w:val="2"/>
          </w:tcPr>
          <w:p>
            <w:pPr>
              <w:spacing w:after="0"/>
              <w:rPr>
                <w:sz w:val="20"/>
                <w:szCs w:val="20"/>
                <w:color w:val="auto"/>
              </w:rPr>
            </w:pPr>
            <w:r>
              <w:rPr>
                <w:rFonts w:ascii="Arial" w:cs="Arial" w:eastAsia="Arial" w:hAnsi="Arial"/>
                <w:sz w:val="16"/>
                <w:szCs w:val="16"/>
                <w:color w:val="auto"/>
              </w:rPr>
              <w:t>Chairman &amp; Chief Executive Officer</w:t>
            </w:r>
          </w:p>
        </w:tc>
        <w:tc>
          <w:tcPr>
            <w:tcW w:w="0" w:type="dxa"/>
            <w:vAlign w:val="bottom"/>
          </w:tcPr>
          <w:p>
            <w:pPr>
              <w:spacing w:after="0"/>
              <w:rPr>
                <w:sz w:val="1"/>
                <w:szCs w:val="1"/>
                <w:color w:val="auto"/>
              </w:rPr>
            </w:pPr>
          </w:p>
        </w:tc>
      </w:tr>
      <w:tr>
        <w:trPr>
          <w:trHeight w:val="85"/>
        </w:trPr>
        <w:tc>
          <w:tcPr>
            <w:tcW w:w="4140" w:type="dxa"/>
            <w:vAlign w:val="bottom"/>
            <w:vMerge w:val="continue"/>
          </w:tcPr>
          <w:p>
            <w:pPr>
              <w:spacing w:after="0"/>
              <w:rPr>
                <w:sz w:val="7"/>
                <w:szCs w:val="7"/>
                <w:color w:val="auto"/>
              </w:rPr>
            </w:pPr>
          </w:p>
        </w:tc>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E.L. Wiegand Foundation</w:t>
            </w:r>
          </w:p>
        </w:tc>
        <w:tc>
          <w:tcPr>
            <w:tcW w:w="0" w:type="dxa"/>
            <w:vAlign w:val="bottom"/>
          </w:tcPr>
          <w:p>
            <w:pPr>
              <w:spacing w:after="0"/>
              <w:rPr>
                <w:sz w:val="1"/>
                <w:szCs w:val="1"/>
                <w:color w:val="auto"/>
              </w:rPr>
            </w:pPr>
          </w:p>
        </w:tc>
      </w:tr>
      <w:tr>
        <w:trPr>
          <w:trHeight w:val="110"/>
        </w:trPr>
        <w:tc>
          <w:tcPr>
            <w:tcW w:w="4140" w:type="dxa"/>
            <w:vAlign w:val="bottom"/>
          </w:tcPr>
          <w:p>
            <w:pPr>
              <w:spacing w:after="0"/>
              <w:rPr>
                <w:sz w:val="9"/>
                <w:szCs w:val="9"/>
                <w:color w:val="auto"/>
              </w:rPr>
            </w:pPr>
          </w:p>
        </w:tc>
        <w:tc>
          <w:tcPr>
            <w:tcW w:w="7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Reno, NV 89501</w:t>
            </w:r>
          </w:p>
        </w:tc>
        <w:tc>
          <w:tcPr>
            <w:tcW w:w="0" w:type="dxa"/>
            <w:vAlign w:val="bottom"/>
          </w:tcPr>
          <w:p>
            <w:pPr>
              <w:spacing w:after="0"/>
              <w:rPr>
                <w:sz w:val="1"/>
                <w:szCs w:val="1"/>
                <w:color w:val="auto"/>
              </w:rPr>
            </w:pPr>
          </w:p>
        </w:tc>
      </w:tr>
      <w:tr>
        <w:trPr>
          <w:trHeight w:val="402"/>
        </w:trPr>
        <w:tc>
          <w:tcPr>
            <w:tcW w:w="4140" w:type="dxa"/>
            <w:vAlign w:val="bottom"/>
            <w:vMerge w:val="restart"/>
          </w:tcPr>
          <w:p>
            <w:pPr>
              <w:ind w:left="560"/>
              <w:spacing w:after="0"/>
              <w:rPr>
                <w:sz w:val="20"/>
                <w:szCs w:val="20"/>
                <w:color w:val="auto"/>
              </w:rPr>
            </w:pPr>
            <w:r>
              <w:rPr>
                <w:rFonts w:ascii="Arial" w:cs="Arial" w:eastAsia="Arial" w:hAnsi="Arial"/>
                <w:sz w:val="16"/>
                <w:szCs w:val="16"/>
                <w:color w:val="auto"/>
              </w:rPr>
              <w:t>Richard L. Bready</w:t>
            </w:r>
          </w:p>
        </w:tc>
        <w:tc>
          <w:tcPr>
            <w:tcW w:w="7100" w:type="dxa"/>
            <w:vAlign w:val="bottom"/>
            <w:gridSpan w:val="2"/>
          </w:tcPr>
          <w:p>
            <w:pPr>
              <w:spacing w:after="0"/>
              <w:rPr>
                <w:sz w:val="20"/>
                <w:szCs w:val="20"/>
                <w:color w:val="auto"/>
              </w:rPr>
            </w:pPr>
            <w:r>
              <w:rPr>
                <w:rFonts w:ascii="Arial" w:cs="Arial" w:eastAsia="Arial" w:hAnsi="Arial"/>
                <w:sz w:val="16"/>
                <w:szCs w:val="16"/>
                <w:color w:val="auto"/>
              </w:rPr>
              <w:t>Chairman and Chief Executive Officer</w:t>
            </w:r>
          </w:p>
        </w:tc>
        <w:tc>
          <w:tcPr>
            <w:tcW w:w="0" w:type="dxa"/>
            <w:vAlign w:val="bottom"/>
          </w:tcPr>
          <w:p>
            <w:pPr>
              <w:spacing w:after="0"/>
              <w:rPr>
                <w:sz w:val="1"/>
                <w:szCs w:val="1"/>
                <w:color w:val="auto"/>
              </w:rPr>
            </w:pPr>
          </w:p>
        </w:tc>
      </w:tr>
      <w:tr>
        <w:trPr>
          <w:trHeight w:val="133"/>
        </w:trPr>
        <w:tc>
          <w:tcPr>
            <w:tcW w:w="4140" w:type="dxa"/>
            <w:vAlign w:val="bottom"/>
            <w:vMerge w:val="continue"/>
          </w:tcPr>
          <w:p>
            <w:pPr>
              <w:spacing w:after="0"/>
              <w:rPr>
                <w:sz w:val="11"/>
                <w:szCs w:val="11"/>
                <w:color w:val="auto"/>
              </w:rPr>
            </w:pPr>
          </w:p>
        </w:tc>
        <w:tc>
          <w:tcPr>
            <w:tcW w:w="7100" w:type="dxa"/>
            <w:vAlign w:val="bottom"/>
            <w:gridSpan w:val="2"/>
            <w:vMerge w:val="restart"/>
          </w:tcPr>
          <w:p>
            <w:pPr>
              <w:spacing w:after="0"/>
              <w:rPr>
                <w:sz w:val="20"/>
                <w:szCs w:val="20"/>
                <w:color w:val="auto"/>
              </w:rPr>
            </w:pPr>
            <w:r>
              <w:rPr>
                <w:rFonts w:ascii="Arial" w:cs="Arial" w:eastAsia="Arial" w:hAnsi="Arial"/>
                <w:sz w:val="16"/>
                <w:szCs w:val="16"/>
                <w:color w:val="auto"/>
              </w:rPr>
              <w:t>Nortek, Inc.</w:t>
            </w:r>
          </w:p>
        </w:tc>
        <w:tc>
          <w:tcPr>
            <w:tcW w:w="0" w:type="dxa"/>
            <w:vAlign w:val="bottom"/>
          </w:tcPr>
          <w:p>
            <w:pPr>
              <w:spacing w:after="0"/>
              <w:rPr>
                <w:sz w:val="1"/>
                <w:szCs w:val="1"/>
                <w:color w:val="auto"/>
              </w:rPr>
            </w:pPr>
          </w:p>
        </w:tc>
      </w:tr>
      <w:tr>
        <w:trPr>
          <w:trHeight w:val="61"/>
        </w:trPr>
        <w:tc>
          <w:tcPr>
            <w:tcW w:w="4140" w:type="dxa"/>
            <w:vAlign w:val="bottom"/>
          </w:tcPr>
          <w:p>
            <w:pPr>
              <w:spacing w:after="0"/>
              <w:rPr>
                <w:sz w:val="5"/>
                <w:szCs w:val="5"/>
                <w:color w:val="auto"/>
              </w:rPr>
            </w:pPr>
          </w:p>
        </w:tc>
        <w:tc>
          <w:tcPr>
            <w:tcW w:w="7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50 Kennedy Plaza</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Providence, RI 02903</w:t>
            </w: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Arial" w:cs="Arial" w:eastAsia="Arial" w:hAnsi="Arial"/>
                <w:sz w:val="16"/>
                <w:szCs w:val="16"/>
                <w:color w:val="auto"/>
              </w:rPr>
              <w:t>Mario J. Gabelli</w:t>
            </w:r>
          </w:p>
        </w:tc>
        <w:tc>
          <w:tcPr>
            <w:tcW w:w="7100" w:type="dxa"/>
            <w:vAlign w:val="bottom"/>
            <w:gridSpan w:val="2"/>
          </w:tcPr>
          <w:p>
            <w:pPr>
              <w:spacing w:after="0"/>
              <w:rPr>
                <w:sz w:val="20"/>
                <w:szCs w:val="20"/>
                <w:color w:val="auto"/>
              </w:rPr>
            </w:pPr>
            <w:r>
              <w:rPr>
                <w:rFonts w:ascii="Arial" w:cs="Arial" w:eastAsia="Arial" w:hAnsi="Arial"/>
                <w:sz w:val="16"/>
                <w:szCs w:val="16"/>
                <w:color w:val="auto"/>
              </w:rPr>
              <w:t>See above</w:t>
            </w:r>
          </w:p>
        </w:tc>
        <w:tc>
          <w:tcPr>
            <w:tcW w:w="0" w:type="dxa"/>
            <w:vAlign w:val="bottom"/>
          </w:tcPr>
          <w:p>
            <w:pPr>
              <w:spacing w:after="0"/>
              <w:rPr>
                <w:sz w:val="1"/>
                <w:szCs w:val="1"/>
                <w:color w:val="auto"/>
              </w:rPr>
            </w:pPr>
          </w:p>
        </w:tc>
      </w:tr>
      <w:tr>
        <w:trPr>
          <w:trHeight w:val="414"/>
        </w:trPr>
        <w:tc>
          <w:tcPr>
            <w:tcW w:w="4140" w:type="dxa"/>
            <w:vAlign w:val="bottom"/>
          </w:tcPr>
          <w:p>
            <w:pPr>
              <w:ind w:left="600"/>
              <w:spacing w:after="0"/>
              <w:rPr>
                <w:sz w:val="20"/>
                <w:szCs w:val="20"/>
                <w:color w:val="auto"/>
              </w:rPr>
            </w:pPr>
            <w:r>
              <w:rPr>
                <w:rFonts w:ascii="Arial" w:cs="Arial" w:eastAsia="Arial" w:hAnsi="Arial"/>
                <w:sz w:val="16"/>
                <w:szCs w:val="16"/>
                <w:color w:val="auto"/>
              </w:rPr>
              <w:t>John D. Gabelli</w:t>
            </w:r>
          </w:p>
        </w:tc>
        <w:tc>
          <w:tcPr>
            <w:tcW w:w="71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414"/>
        </w:trPr>
        <w:tc>
          <w:tcPr>
            <w:tcW w:w="4140" w:type="dxa"/>
            <w:vAlign w:val="bottom"/>
          </w:tcPr>
          <w:p>
            <w:pPr>
              <w:ind w:left="600"/>
              <w:spacing w:after="0"/>
              <w:rPr>
                <w:sz w:val="20"/>
                <w:szCs w:val="20"/>
                <w:color w:val="auto"/>
              </w:rPr>
            </w:pPr>
            <w:r>
              <w:rPr>
                <w:rFonts w:ascii="Arial" w:cs="Arial" w:eastAsia="Arial" w:hAnsi="Arial"/>
                <w:sz w:val="16"/>
                <w:szCs w:val="16"/>
                <w:color w:val="auto"/>
              </w:rPr>
              <w:t>Elisa M. Wilson</w:t>
            </w:r>
          </w:p>
        </w:tc>
        <w:tc>
          <w:tcPr>
            <w:tcW w:w="71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77"/>
        </w:trPr>
        <w:tc>
          <w:tcPr>
            <w:tcW w:w="4140" w:type="dxa"/>
            <w:vAlign w:val="bottom"/>
          </w:tcPr>
          <w:p>
            <w:pPr>
              <w:ind w:left="600"/>
              <w:spacing w:after="0"/>
              <w:rPr>
                <w:sz w:val="20"/>
                <w:szCs w:val="20"/>
                <w:color w:val="auto"/>
              </w:rPr>
            </w:pPr>
            <w:r>
              <w:rPr>
                <w:rFonts w:ascii="Arial" w:cs="Arial" w:eastAsia="Arial" w:hAnsi="Arial"/>
                <w:sz w:val="16"/>
                <w:szCs w:val="16"/>
                <w:color w:val="auto"/>
              </w:rPr>
              <w:t>Eugene R. McGrath</w:t>
            </w:r>
          </w:p>
        </w:tc>
        <w:tc>
          <w:tcPr>
            <w:tcW w:w="7100" w:type="dxa"/>
            <w:vAlign w:val="bottom"/>
            <w:gridSpan w:val="2"/>
          </w:tcPr>
          <w:p>
            <w:pPr>
              <w:spacing w:after="0"/>
              <w:rPr>
                <w:sz w:val="20"/>
                <w:szCs w:val="20"/>
                <w:color w:val="auto"/>
              </w:rPr>
            </w:pPr>
            <w:r>
              <w:rPr>
                <w:rFonts w:ascii="Arial" w:cs="Arial" w:eastAsia="Arial" w:hAnsi="Arial"/>
                <w:sz w:val="16"/>
                <w:szCs w:val="16"/>
                <w:color w:val="auto"/>
              </w:rPr>
              <w:t>Former Chairman and Chief Executive Officer</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Consolidated Edison, Inc.</w:t>
            </w:r>
          </w:p>
        </w:tc>
        <w:tc>
          <w:tcPr>
            <w:tcW w:w="0" w:type="dxa"/>
            <w:vAlign w:val="bottom"/>
          </w:tcPr>
          <w:p>
            <w:pPr>
              <w:spacing w:after="0"/>
              <w:rPr>
                <w:sz w:val="1"/>
                <w:szCs w:val="1"/>
                <w:color w:val="auto"/>
              </w:rPr>
            </w:pPr>
          </w:p>
        </w:tc>
      </w:tr>
      <w:tr>
        <w:trPr>
          <w:trHeight w:val="402"/>
        </w:trPr>
        <w:tc>
          <w:tcPr>
            <w:tcW w:w="4140" w:type="dxa"/>
            <w:vAlign w:val="bottom"/>
          </w:tcPr>
          <w:p>
            <w:pPr>
              <w:ind w:left="600"/>
              <w:spacing w:after="0"/>
              <w:rPr>
                <w:sz w:val="20"/>
                <w:szCs w:val="20"/>
                <w:color w:val="auto"/>
              </w:rPr>
            </w:pPr>
            <w:r>
              <w:rPr>
                <w:rFonts w:ascii="Arial" w:cs="Arial" w:eastAsia="Arial" w:hAnsi="Arial"/>
                <w:sz w:val="16"/>
                <w:szCs w:val="16"/>
                <w:color w:val="auto"/>
              </w:rPr>
              <w:t>Robert S. Prather</w:t>
            </w:r>
          </w:p>
        </w:tc>
        <w:tc>
          <w:tcPr>
            <w:tcW w:w="7100" w:type="dxa"/>
            <w:vAlign w:val="bottom"/>
            <w:gridSpan w:val="2"/>
          </w:tcPr>
          <w:p>
            <w:pPr>
              <w:spacing w:after="0"/>
              <w:rPr>
                <w:sz w:val="20"/>
                <w:szCs w:val="20"/>
                <w:color w:val="auto"/>
              </w:rPr>
            </w:pPr>
            <w:r>
              <w:rPr>
                <w:rFonts w:ascii="Arial" w:cs="Arial" w:eastAsia="Arial" w:hAnsi="Arial"/>
                <w:sz w:val="16"/>
                <w:szCs w:val="16"/>
                <w:color w:val="auto"/>
              </w:rPr>
              <w:t>President &amp; Chief Operating Officer</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Gray Television, Inc.</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4370 Peachtree Road, NE</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Atlanta, GA 30319</w:t>
            </w:r>
          </w:p>
        </w:tc>
        <w:tc>
          <w:tcPr>
            <w:tcW w:w="0" w:type="dxa"/>
            <w:vAlign w:val="bottom"/>
          </w:tcPr>
          <w:p>
            <w:pPr>
              <w:spacing w:after="0"/>
              <w:rPr>
                <w:sz w:val="1"/>
                <w:szCs w:val="1"/>
                <w:color w:val="auto"/>
              </w:rPr>
            </w:pPr>
          </w:p>
        </w:tc>
      </w:tr>
      <w:tr>
        <w:trPr>
          <w:trHeight w:val="475"/>
        </w:trPr>
        <w:tc>
          <w:tcPr>
            <w:tcW w:w="4140" w:type="dxa"/>
            <w:vAlign w:val="bottom"/>
          </w:tcPr>
          <w:p>
            <w:pPr>
              <w:spacing w:after="0"/>
              <w:rPr>
                <w:sz w:val="20"/>
                <w:szCs w:val="20"/>
                <w:color w:val="auto"/>
              </w:rPr>
            </w:pPr>
            <w:r>
              <w:rPr>
                <w:rFonts w:ascii="Arial" w:cs="Arial" w:eastAsia="Arial" w:hAnsi="Arial"/>
                <w:sz w:val="16"/>
                <w:szCs w:val="16"/>
                <w:color w:val="auto"/>
              </w:rPr>
              <w:t>Officers:</w:t>
            </w:r>
          </w:p>
        </w:tc>
        <w:tc>
          <w:tcPr>
            <w:tcW w:w="9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Mario J. Gabelli</w:t>
            </w:r>
          </w:p>
        </w:tc>
        <w:tc>
          <w:tcPr>
            <w:tcW w:w="7100" w:type="dxa"/>
            <w:vAlign w:val="bottom"/>
            <w:gridSpan w:val="2"/>
          </w:tcPr>
          <w:p>
            <w:pPr>
              <w:spacing w:after="0"/>
              <w:rPr>
                <w:sz w:val="20"/>
                <w:szCs w:val="20"/>
                <w:color w:val="auto"/>
              </w:rPr>
            </w:pPr>
            <w:r>
              <w:rPr>
                <w:rFonts w:ascii="Arial" w:cs="Arial" w:eastAsia="Arial" w:hAnsi="Arial"/>
                <w:sz w:val="16"/>
                <w:szCs w:val="16"/>
                <w:color w:val="auto"/>
              </w:rPr>
              <w:t>Chairman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240" w:top="1003" w:right="41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40" w:type="dxa"/>
            <w:vAlign w:val="bottom"/>
          </w:tcPr>
          <w:p>
            <w:pPr>
              <w:ind w:left="580"/>
              <w:spacing w:after="0"/>
              <w:rPr>
                <w:sz w:val="20"/>
                <w:szCs w:val="20"/>
                <w:color w:val="auto"/>
              </w:rPr>
            </w:pPr>
            <w:r>
              <w:rPr>
                <w:rFonts w:ascii="Arial" w:cs="Arial" w:eastAsia="Arial" w:hAnsi="Arial"/>
                <w:sz w:val="16"/>
                <w:szCs w:val="16"/>
                <w:color w:val="auto"/>
              </w:rPr>
              <w:t>Douglas R. Jamieson</w:t>
            </w:r>
          </w:p>
        </w:tc>
        <w:tc>
          <w:tcPr>
            <w:tcW w:w="3640" w:type="dxa"/>
            <w:vAlign w:val="bottom"/>
          </w:tcPr>
          <w:p>
            <w:pPr>
              <w:spacing w:after="0"/>
              <w:rPr>
                <w:sz w:val="20"/>
                <w:szCs w:val="20"/>
                <w:color w:val="auto"/>
              </w:rPr>
            </w:pPr>
            <w:r>
              <w:rPr>
                <w:rFonts w:ascii="Arial" w:cs="Arial" w:eastAsia="Arial" w:hAnsi="Arial"/>
                <w:sz w:val="16"/>
                <w:szCs w:val="16"/>
                <w:color w:val="auto"/>
              </w:rPr>
              <w:t>President and Chief Operating Officer</w:t>
            </w:r>
          </w:p>
        </w:tc>
        <w:tc>
          <w:tcPr>
            <w:tcW w:w="0" w:type="dxa"/>
            <w:vAlign w:val="bottom"/>
          </w:tcPr>
          <w:p>
            <w:pPr>
              <w:spacing w:after="0"/>
              <w:rPr>
                <w:sz w:val="1"/>
                <w:szCs w:val="1"/>
                <w:color w:val="auto"/>
              </w:rPr>
            </w:pPr>
          </w:p>
        </w:tc>
      </w:tr>
      <w:tr>
        <w:trPr>
          <w:trHeight w:val="414"/>
        </w:trPr>
        <w:tc>
          <w:tcPr>
            <w:tcW w:w="4140" w:type="dxa"/>
            <w:vAlign w:val="bottom"/>
          </w:tcPr>
          <w:p>
            <w:pPr>
              <w:ind w:left="580"/>
              <w:spacing w:after="0"/>
              <w:rPr>
                <w:sz w:val="20"/>
                <w:szCs w:val="20"/>
                <w:color w:val="auto"/>
              </w:rPr>
            </w:pPr>
            <w:r>
              <w:rPr>
                <w:rFonts w:ascii="Arial" w:cs="Arial" w:eastAsia="Arial" w:hAnsi="Arial"/>
                <w:sz w:val="16"/>
                <w:szCs w:val="16"/>
                <w:color w:val="auto"/>
              </w:rPr>
              <w:t>Henry G. Van der Eb</w:t>
            </w:r>
          </w:p>
        </w:tc>
        <w:tc>
          <w:tcPr>
            <w:tcW w:w="3640" w:type="dxa"/>
            <w:vAlign w:val="bottom"/>
          </w:tcPr>
          <w:p>
            <w:pPr>
              <w:spacing w:after="0"/>
              <w:rPr>
                <w:sz w:val="20"/>
                <w:szCs w:val="20"/>
                <w:color w:val="auto"/>
              </w:rPr>
            </w:pPr>
            <w:r>
              <w:rPr>
                <w:rFonts w:ascii="Arial" w:cs="Arial" w:eastAsia="Arial" w:hAnsi="Arial"/>
                <w:sz w:val="16"/>
                <w:szCs w:val="16"/>
                <w:color w:val="auto"/>
              </w:rPr>
              <w:t>Senior Vice President</w:t>
            </w:r>
          </w:p>
        </w:tc>
        <w:tc>
          <w:tcPr>
            <w:tcW w:w="0" w:type="dxa"/>
            <w:vAlign w:val="bottom"/>
          </w:tcPr>
          <w:p>
            <w:pPr>
              <w:spacing w:after="0"/>
              <w:rPr>
                <w:sz w:val="1"/>
                <w:szCs w:val="1"/>
                <w:color w:val="auto"/>
              </w:rPr>
            </w:pPr>
          </w:p>
        </w:tc>
      </w:tr>
      <w:tr>
        <w:trPr>
          <w:trHeight w:val="414"/>
        </w:trPr>
        <w:tc>
          <w:tcPr>
            <w:tcW w:w="4140" w:type="dxa"/>
            <w:vAlign w:val="bottom"/>
          </w:tcPr>
          <w:p>
            <w:pPr>
              <w:ind w:left="580"/>
              <w:spacing w:after="0"/>
              <w:rPr>
                <w:sz w:val="20"/>
                <w:szCs w:val="20"/>
                <w:color w:val="auto"/>
              </w:rPr>
            </w:pPr>
            <w:r>
              <w:rPr>
                <w:rFonts w:ascii="Arial" w:cs="Arial" w:eastAsia="Arial" w:hAnsi="Arial"/>
                <w:sz w:val="16"/>
                <w:szCs w:val="16"/>
                <w:color w:val="auto"/>
              </w:rPr>
              <w:t>Bruce N. Alpert</w:t>
            </w:r>
          </w:p>
        </w:tc>
        <w:tc>
          <w:tcPr>
            <w:tcW w:w="3640" w:type="dxa"/>
            <w:vAlign w:val="bottom"/>
          </w:tcPr>
          <w:p>
            <w:pPr>
              <w:spacing w:after="0"/>
              <w:rPr>
                <w:sz w:val="20"/>
                <w:szCs w:val="20"/>
                <w:color w:val="auto"/>
              </w:rPr>
            </w:pPr>
            <w:r>
              <w:rPr>
                <w:rFonts w:ascii="Arial" w:cs="Arial" w:eastAsia="Arial" w:hAnsi="Arial"/>
                <w:sz w:val="16"/>
                <w:szCs w:val="16"/>
                <w:color w:val="auto"/>
              </w:rPr>
              <w:t>Senior Vice President</w:t>
            </w:r>
          </w:p>
        </w:tc>
        <w:tc>
          <w:tcPr>
            <w:tcW w:w="0" w:type="dxa"/>
            <w:vAlign w:val="bottom"/>
          </w:tcPr>
          <w:p>
            <w:pPr>
              <w:spacing w:after="0"/>
              <w:rPr>
                <w:sz w:val="1"/>
                <w:szCs w:val="1"/>
                <w:color w:val="auto"/>
              </w:rPr>
            </w:pPr>
          </w:p>
        </w:tc>
      </w:tr>
      <w:tr>
        <w:trPr>
          <w:trHeight w:val="414"/>
        </w:trPr>
        <w:tc>
          <w:tcPr>
            <w:tcW w:w="4140" w:type="dxa"/>
            <w:vAlign w:val="bottom"/>
          </w:tcPr>
          <w:p>
            <w:pPr>
              <w:ind w:left="580"/>
              <w:spacing w:after="0"/>
              <w:rPr>
                <w:sz w:val="20"/>
                <w:szCs w:val="20"/>
                <w:color w:val="auto"/>
              </w:rPr>
            </w:pPr>
            <w:r>
              <w:rPr>
                <w:rFonts w:ascii="Arial" w:cs="Arial" w:eastAsia="Arial" w:hAnsi="Arial"/>
                <w:sz w:val="16"/>
                <w:szCs w:val="16"/>
                <w:color w:val="auto"/>
              </w:rPr>
              <w:t>Jeffrey M. Farber</w:t>
            </w:r>
          </w:p>
        </w:tc>
        <w:tc>
          <w:tcPr>
            <w:tcW w:w="3640" w:type="dxa"/>
            <w:vAlign w:val="bottom"/>
          </w:tcPr>
          <w:p>
            <w:pPr>
              <w:spacing w:after="0"/>
              <w:rPr>
                <w:sz w:val="20"/>
                <w:szCs w:val="20"/>
                <w:color w:val="auto"/>
              </w:rPr>
            </w:pPr>
            <w:r>
              <w:rPr>
                <w:rFonts w:ascii="Arial" w:cs="Arial" w:eastAsia="Arial" w:hAnsi="Arial"/>
                <w:sz w:val="16"/>
                <w:szCs w:val="16"/>
                <w:color w:val="auto"/>
                <w:w w:val="97"/>
              </w:rPr>
              <w:t>Executive Vice President and Chief Financial Officer</w:t>
            </w:r>
          </w:p>
        </w:tc>
        <w:tc>
          <w:tcPr>
            <w:tcW w:w="0" w:type="dxa"/>
            <w:vAlign w:val="bottom"/>
          </w:tcPr>
          <w:p>
            <w:pPr>
              <w:spacing w:after="0"/>
              <w:rPr>
                <w:sz w:val="1"/>
                <w:szCs w:val="1"/>
                <w:color w:val="auto"/>
              </w:rPr>
            </w:pPr>
          </w:p>
        </w:tc>
      </w:tr>
      <w:tr>
        <w:trPr>
          <w:trHeight w:val="414"/>
        </w:trPr>
        <w:tc>
          <w:tcPr>
            <w:tcW w:w="4140" w:type="dxa"/>
            <w:vAlign w:val="bottom"/>
          </w:tcPr>
          <w:p>
            <w:pPr>
              <w:ind w:left="580"/>
              <w:spacing w:after="0"/>
              <w:rPr>
                <w:sz w:val="20"/>
                <w:szCs w:val="20"/>
                <w:color w:val="auto"/>
              </w:rPr>
            </w:pPr>
            <w:r>
              <w:rPr>
                <w:rFonts w:ascii="Arial" w:cs="Arial" w:eastAsia="Arial" w:hAnsi="Arial"/>
                <w:sz w:val="16"/>
                <w:szCs w:val="16"/>
                <w:color w:val="auto"/>
              </w:rPr>
              <w:t>Christopher Michailoff</w:t>
            </w:r>
          </w:p>
        </w:tc>
        <w:tc>
          <w:tcPr>
            <w:tcW w:w="3640" w:type="dxa"/>
            <w:vAlign w:val="bottom"/>
          </w:tcPr>
          <w:p>
            <w:pPr>
              <w:spacing w:after="0"/>
              <w:rPr>
                <w:sz w:val="20"/>
                <w:szCs w:val="20"/>
                <w:color w:val="auto"/>
              </w:rPr>
            </w:pPr>
            <w:r>
              <w:rPr>
                <w:rFonts w:ascii="Arial" w:cs="Arial" w:eastAsia="Arial" w:hAnsi="Arial"/>
                <w:sz w:val="16"/>
                <w:szCs w:val="16"/>
                <w:color w:val="auto"/>
              </w:rPr>
              <w:t>Acting Secretary</w:t>
            </w:r>
          </w:p>
        </w:tc>
        <w:tc>
          <w:tcPr>
            <w:tcW w:w="0" w:type="dxa"/>
            <w:vAlign w:val="bottom"/>
          </w:tcPr>
          <w:p>
            <w:pPr>
              <w:spacing w:after="0"/>
              <w:rPr>
                <w:sz w:val="1"/>
                <w:szCs w:val="1"/>
                <w:color w:val="auto"/>
              </w:rPr>
            </w:pPr>
          </w:p>
        </w:tc>
      </w:tr>
      <w:tr>
        <w:trPr>
          <w:trHeight w:val="377"/>
        </w:trPr>
        <w:tc>
          <w:tcPr>
            <w:tcW w:w="4140" w:type="dxa"/>
            <w:vAlign w:val="bottom"/>
          </w:tcPr>
          <w:p>
            <w:pPr>
              <w:spacing w:after="0"/>
              <w:rPr>
                <w:sz w:val="20"/>
                <w:szCs w:val="20"/>
                <w:color w:val="auto"/>
              </w:rPr>
            </w:pPr>
            <w:r>
              <w:rPr>
                <w:rFonts w:ascii="Arial" w:cs="Arial" w:eastAsia="Arial" w:hAnsi="Arial"/>
                <w:sz w:val="16"/>
                <w:szCs w:val="16"/>
                <w:color w:val="auto"/>
              </w:rPr>
              <w:t>GAMCO Asset Management Inc.</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Directors:</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tcBorders>
              <w:bottom w:val="single" w:sz="8" w:color="auto"/>
            </w:tcBorders>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140" w:type="dxa"/>
            <w:vAlign w:val="bottom"/>
          </w:tcPr>
          <w:p>
            <w:pPr>
              <w:spacing w:after="0" w:line="182" w:lineRule="exact"/>
              <w:rPr>
                <w:sz w:val="20"/>
                <w:szCs w:val="20"/>
                <w:color w:val="auto"/>
              </w:rPr>
            </w:pPr>
            <w:r>
              <w:rPr>
                <w:rFonts w:ascii="Arial" w:cs="Arial" w:eastAsia="Arial" w:hAnsi="Arial"/>
                <w:sz w:val="16"/>
                <w:szCs w:val="16"/>
                <w:color w:val="auto"/>
              </w:rPr>
              <w:t>Douglas R. Jamieson</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Regina M. Pitaro</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William S. Selby</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Arial" w:cs="Arial" w:eastAsia="Arial" w:hAnsi="Arial"/>
                <w:sz w:val="16"/>
                <w:szCs w:val="16"/>
                <w:color w:val="auto"/>
              </w:rPr>
              <w:t>Officers:</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Arial" w:cs="Arial" w:eastAsia="Arial" w:hAnsi="Arial"/>
                <w:sz w:val="16"/>
                <w:szCs w:val="16"/>
                <w:color w:val="auto"/>
              </w:rPr>
              <w:t>Mario J. Gabelli</w:t>
            </w:r>
          </w:p>
        </w:tc>
        <w:tc>
          <w:tcPr>
            <w:tcW w:w="3640" w:type="dxa"/>
            <w:vAlign w:val="bottom"/>
          </w:tcPr>
          <w:p>
            <w:pPr>
              <w:spacing w:after="0"/>
              <w:rPr>
                <w:sz w:val="20"/>
                <w:szCs w:val="20"/>
                <w:color w:val="auto"/>
              </w:rPr>
            </w:pPr>
            <w:r>
              <w:rPr>
                <w:rFonts w:ascii="Arial" w:cs="Arial" w:eastAsia="Arial" w:hAnsi="Arial"/>
                <w:sz w:val="16"/>
                <w:szCs w:val="16"/>
                <w:color w:val="auto"/>
              </w:rPr>
              <w:t>Chief Investment Officer – Value Portfolios</w:t>
            </w:r>
          </w:p>
        </w:tc>
        <w:tc>
          <w:tcPr>
            <w:tcW w:w="0" w:type="dxa"/>
            <w:vAlign w:val="bottom"/>
          </w:tcPr>
          <w:p>
            <w:pPr>
              <w:spacing w:after="0"/>
              <w:rPr>
                <w:sz w:val="1"/>
                <w:szCs w:val="1"/>
                <w:color w:val="auto"/>
              </w:rPr>
            </w:pPr>
          </w:p>
        </w:tc>
      </w:tr>
      <w:tr>
        <w:trPr>
          <w:trHeight w:val="608"/>
        </w:trPr>
        <w:tc>
          <w:tcPr>
            <w:tcW w:w="4140" w:type="dxa"/>
            <w:vAlign w:val="bottom"/>
          </w:tcPr>
          <w:p>
            <w:pPr>
              <w:spacing w:after="0"/>
              <w:rPr>
                <w:sz w:val="20"/>
                <w:szCs w:val="20"/>
                <w:color w:val="auto"/>
              </w:rPr>
            </w:pPr>
            <w:r>
              <w:rPr>
                <w:rFonts w:ascii="Arial" w:cs="Arial" w:eastAsia="Arial" w:hAnsi="Arial"/>
                <w:sz w:val="16"/>
                <w:szCs w:val="16"/>
                <w:color w:val="auto"/>
              </w:rPr>
              <w:t>Douglas R. Jamieson</w:t>
            </w:r>
          </w:p>
        </w:tc>
        <w:tc>
          <w:tcPr>
            <w:tcW w:w="3640" w:type="dxa"/>
            <w:vAlign w:val="bottom"/>
          </w:tcPr>
          <w:p>
            <w:pPr>
              <w:spacing w:after="0"/>
              <w:rPr>
                <w:sz w:val="20"/>
                <w:szCs w:val="20"/>
                <w:color w:val="auto"/>
              </w:rPr>
            </w:pPr>
            <w:r>
              <w:rPr>
                <w:rFonts w:ascii="Arial" w:cs="Arial" w:eastAsia="Arial" w:hAnsi="Arial"/>
                <w:sz w:val="16"/>
                <w:szCs w:val="16"/>
                <w:color w:val="auto"/>
              </w:rPr>
              <w:t>President</w:t>
            </w:r>
          </w:p>
        </w:tc>
        <w:tc>
          <w:tcPr>
            <w:tcW w:w="0" w:type="dxa"/>
            <w:vAlign w:val="bottom"/>
          </w:tcPr>
          <w:p>
            <w:pPr>
              <w:spacing w:after="0"/>
              <w:rPr>
                <w:sz w:val="1"/>
                <w:szCs w:val="1"/>
                <w:color w:val="auto"/>
              </w:rPr>
            </w:pPr>
          </w:p>
        </w:tc>
      </w:tr>
      <w:tr>
        <w:trPr>
          <w:trHeight w:val="632"/>
        </w:trPr>
        <w:tc>
          <w:tcPr>
            <w:tcW w:w="4140" w:type="dxa"/>
            <w:vAlign w:val="bottom"/>
          </w:tcPr>
          <w:p>
            <w:pPr>
              <w:ind w:left="580"/>
              <w:spacing w:after="0"/>
              <w:rPr>
                <w:sz w:val="20"/>
                <w:szCs w:val="20"/>
                <w:color w:val="auto"/>
              </w:rPr>
            </w:pPr>
            <w:r>
              <w:rPr>
                <w:rFonts w:ascii="Arial" w:cs="Arial" w:eastAsia="Arial" w:hAnsi="Arial"/>
                <w:sz w:val="16"/>
                <w:szCs w:val="16"/>
                <w:color w:val="auto"/>
              </w:rPr>
              <w:t>Jeffrey M. Farber</w:t>
            </w:r>
          </w:p>
        </w:tc>
        <w:tc>
          <w:tcPr>
            <w:tcW w:w="364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632"/>
        </w:trPr>
        <w:tc>
          <w:tcPr>
            <w:tcW w:w="4140" w:type="dxa"/>
            <w:vAlign w:val="bottom"/>
          </w:tcPr>
          <w:p>
            <w:pPr>
              <w:ind w:left="600"/>
              <w:spacing w:after="0"/>
              <w:rPr>
                <w:sz w:val="20"/>
                <w:szCs w:val="20"/>
                <w:color w:val="auto"/>
              </w:rPr>
            </w:pPr>
            <w:r>
              <w:rPr>
                <w:rFonts w:ascii="Arial" w:cs="Arial" w:eastAsia="Arial" w:hAnsi="Arial"/>
                <w:sz w:val="16"/>
                <w:szCs w:val="16"/>
                <w:color w:val="auto"/>
              </w:rPr>
              <w:t>Chistopher J. Michailoff</w:t>
            </w:r>
          </w:p>
        </w:tc>
        <w:tc>
          <w:tcPr>
            <w:tcW w:w="3640" w:type="dxa"/>
            <w:vAlign w:val="bottom"/>
          </w:tcPr>
          <w:p>
            <w:pPr>
              <w:spacing w:after="0"/>
              <w:rPr>
                <w:sz w:val="20"/>
                <w:szCs w:val="20"/>
                <w:color w:val="auto"/>
              </w:rPr>
            </w:pPr>
            <w:r>
              <w:rPr>
                <w:rFonts w:ascii="Arial" w:cs="Arial" w:eastAsia="Arial" w:hAnsi="Arial"/>
                <w:sz w:val="16"/>
                <w:szCs w:val="16"/>
                <w:color w:val="auto"/>
              </w:rPr>
              <w:t>General Counsel and Secretary</w:t>
            </w:r>
          </w:p>
        </w:tc>
        <w:tc>
          <w:tcPr>
            <w:tcW w:w="0" w:type="dxa"/>
            <w:vAlign w:val="bottom"/>
          </w:tcPr>
          <w:p>
            <w:pPr>
              <w:spacing w:after="0"/>
              <w:rPr>
                <w:sz w:val="1"/>
                <w:szCs w:val="1"/>
                <w:color w:val="auto"/>
              </w:rPr>
            </w:pPr>
          </w:p>
        </w:tc>
      </w:tr>
      <w:tr>
        <w:trPr>
          <w:trHeight w:val="402"/>
        </w:trPr>
        <w:tc>
          <w:tcPr>
            <w:tcW w:w="4140" w:type="dxa"/>
            <w:vAlign w:val="bottom"/>
          </w:tcPr>
          <w:p>
            <w:pPr>
              <w:spacing w:after="0"/>
              <w:rPr>
                <w:sz w:val="20"/>
                <w:szCs w:val="20"/>
                <w:color w:val="auto"/>
              </w:rPr>
            </w:pPr>
            <w:r>
              <w:rPr>
                <w:rFonts w:ascii="Arial" w:cs="Arial" w:eastAsia="Arial" w:hAnsi="Arial"/>
                <w:sz w:val="16"/>
                <w:szCs w:val="16"/>
                <w:color w:val="auto"/>
              </w:rPr>
              <w:t>Gabelli Funds, LLC</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Officers:</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tcBorders>
              <w:bottom w:val="single" w:sz="8" w:color="auto"/>
            </w:tcBorders>
          </w:tcPr>
          <w:p>
            <w:pPr>
              <w:spacing w:after="0"/>
              <w:rPr>
                <w:sz w:val="19"/>
                <w:szCs w:val="19"/>
                <w:color w:val="auto"/>
              </w:rPr>
            </w:pPr>
          </w:p>
        </w:tc>
        <w:tc>
          <w:tcPr>
            <w:tcW w:w="3640" w:type="dxa"/>
            <w:vAlign w:val="bottom"/>
            <w:vMerge w:val="restart"/>
          </w:tcPr>
          <w:p>
            <w:pPr>
              <w:spacing w:after="0"/>
              <w:rPr>
                <w:sz w:val="20"/>
                <w:szCs w:val="20"/>
                <w:color w:val="auto"/>
              </w:rPr>
            </w:pPr>
            <w:r>
              <w:rPr>
                <w:rFonts w:ascii="Arial" w:cs="Arial" w:eastAsia="Arial" w:hAnsi="Arial"/>
                <w:sz w:val="16"/>
                <w:szCs w:val="16"/>
                <w:color w:val="auto"/>
              </w:rPr>
              <w:t>Chief Investment Officer – Value Portfolios</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Mario J. Gabelli</w:t>
            </w:r>
          </w:p>
        </w:tc>
        <w:tc>
          <w:tcPr>
            <w:tcW w:w="3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4140" w:type="dxa"/>
            <w:vAlign w:val="bottom"/>
          </w:tcPr>
          <w:p>
            <w:pPr>
              <w:spacing w:after="0"/>
              <w:rPr>
                <w:sz w:val="20"/>
                <w:szCs w:val="20"/>
                <w:color w:val="auto"/>
              </w:rPr>
            </w:pPr>
            <w:r>
              <w:rPr>
                <w:rFonts w:ascii="Arial" w:cs="Arial" w:eastAsia="Arial" w:hAnsi="Arial"/>
                <w:sz w:val="16"/>
                <w:szCs w:val="16"/>
                <w:color w:val="auto"/>
              </w:rPr>
              <w:t>Bruce N. Alpert</w:t>
            </w:r>
          </w:p>
        </w:tc>
        <w:tc>
          <w:tcPr>
            <w:tcW w:w="3640" w:type="dxa"/>
            <w:vAlign w:val="bottom"/>
          </w:tcPr>
          <w:p>
            <w:pPr>
              <w:spacing w:after="0"/>
              <w:rPr>
                <w:sz w:val="20"/>
                <w:szCs w:val="20"/>
                <w:color w:val="auto"/>
              </w:rPr>
            </w:pPr>
            <w:r>
              <w:rPr>
                <w:rFonts w:ascii="Arial" w:cs="Arial" w:eastAsia="Arial" w:hAnsi="Arial"/>
                <w:sz w:val="16"/>
                <w:szCs w:val="16"/>
                <w:color w:val="auto"/>
                <w:w w:val="96"/>
              </w:rPr>
              <w:t>Executive Vice President and Chief Operating Officer</w:t>
            </w:r>
          </w:p>
        </w:tc>
        <w:tc>
          <w:tcPr>
            <w:tcW w:w="0" w:type="dxa"/>
            <w:vAlign w:val="bottom"/>
          </w:tcPr>
          <w:p>
            <w:pPr>
              <w:spacing w:after="0"/>
              <w:rPr>
                <w:sz w:val="1"/>
                <w:szCs w:val="1"/>
                <w:color w:val="auto"/>
              </w:rPr>
            </w:pPr>
          </w:p>
        </w:tc>
      </w:tr>
      <w:tr>
        <w:trPr>
          <w:trHeight w:val="414"/>
        </w:trPr>
        <w:tc>
          <w:tcPr>
            <w:tcW w:w="4140" w:type="dxa"/>
            <w:vAlign w:val="bottom"/>
          </w:tcPr>
          <w:p>
            <w:pPr>
              <w:ind w:left="600"/>
              <w:spacing w:after="0"/>
              <w:rPr>
                <w:sz w:val="20"/>
                <w:szCs w:val="20"/>
                <w:color w:val="auto"/>
              </w:rPr>
            </w:pPr>
            <w:r>
              <w:rPr>
                <w:rFonts w:ascii="Arial" w:cs="Arial" w:eastAsia="Arial" w:hAnsi="Arial"/>
                <w:sz w:val="16"/>
                <w:szCs w:val="16"/>
                <w:color w:val="auto"/>
              </w:rPr>
              <w:t>Agnes Mullady</w:t>
            </w:r>
          </w:p>
        </w:tc>
        <w:tc>
          <w:tcPr>
            <w:tcW w:w="3640" w:type="dxa"/>
            <w:vAlign w:val="bottom"/>
          </w:tcPr>
          <w:p>
            <w:pPr>
              <w:spacing w:after="0"/>
              <w:rPr>
                <w:sz w:val="20"/>
                <w:szCs w:val="20"/>
                <w:color w:val="auto"/>
              </w:rPr>
            </w:pPr>
            <w:r>
              <w:rPr>
                <w:rFonts w:ascii="Arial" w:cs="Arial" w:eastAsia="Arial" w:hAnsi="Arial"/>
                <w:sz w:val="16"/>
                <w:szCs w:val="16"/>
                <w:color w:val="auto"/>
                <w:w w:val="91"/>
              </w:rPr>
              <w:t>Vice President and President Closed-End Fund Division</w:t>
            </w:r>
          </w:p>
        </w:tc>
        <w:tc>
          <w:tcPr>
            <w:tcW w:w="0" w:type="dxa"/>
            <w:vAlign w:val="bottom"/>
          </w:tcPr>
          <w:p>
            <w:pPr>
              <w:spacing w:after="0"/>
              <w:rPr>
                <w:sz w:val="1"/>
                <w:szCs w:val="1"/>
                <w:color w:val="auto"/>
              </w:rPr>
            </w:pPr>
          </w:p>
        </w:tc>
      </w:tr>
      <w:tr>
        <w:trPr>
          <w:trHeight w:val="840"/>
        </w:trPr>
        <w:tc>
          <w:tcPr>
            <w:tcW w:w="4140" w:type="dxa"/>
            <w:vAlign w:val="bottom"/>
          </w:tcPr>
          <w:p>
            <w:pPr>
              <w:spacing w:after="0"/>
              <w:rPr>
                <w:sz w:val="20"/>
                <w:szCs w:val="20"/>
                <w:color w:val="auto"/>
              </w:rPr>
            </w:pPr>
            <w:r>
              <w:rPr>
                <w:rFonts w:ascii="Arial" w:cs="Arial" w:eastAsia="Arial" w:hAnsi="Arial"/>
                <w:sz w:val="16"/>
                <w:szCs w:val="16"/>
                <w:color w:val="auto"/>
              </w:rPr>
              <w:t>Teton Advisors, Inc.</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Directors:</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40" w:type="dxa"/>
            <w:vAlign w:val="bottom"/>
            <w:tcBorders>
              <w:bottom w:val="single" w:sz="8" w:color="auto"/>
            </w:tcBorders>
          </w:tcPr>
          <w:p>
            <w:pPr>
              <w:spacing w:after="0"/>
              <w:rPr>
                <w:sz w:val="19"/>
                <w:szCs w:val="19"/>
                <w:color w:val="auto"/>
              </w:rPr>
            </w:pPr>
          </w:p>
        </w:tc>
        <w:tc>
          <w:tcPr>
            <w:tcW w:w="3640" w:type="dxa"/>
            <w:vAlign w:val="bottom"/>
            <w:vMerge w:val="restart"/>
          </w:tcPr>
          <w:p>
            <w:pPr>
              <w:spacing w:after="0"/>
              <w:rPr>
                <w:sz w:val="20"/>
                <w:szCs w:val="20"/>
                <w:color w:val="auto"/>
              </w:rPr>
            </w:pPr>
            <w:r>
              <w:rPr>
                <w:rFonts w:ascii="Arial" w:cs="Arial" w:eastAsia="Arial" w:hAnsi="Arial"/>
                <w:sz w:val="16"/>
                <w:szCs w:val="16"/>
                <w:color w:val="auto"/>
              </w:rPr>
              <w:t>Chairman</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Bruce N. Alpert</w:t>
            </w:r>
          </w:p>
        </w:tc>
        <w:tc>
          <w:tcPr>
            <w:tcW w:w="3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4140" w:type="dxa"/>
            <w:vAlign w:val="bottom"/>
          </w:tcPr>
          <w:p>
            <w:pPr>
              <w:ind w:left="600"/>
              <w:spacing w:after="0"/>
              <w:rPr>
                <w:sz w:val="20"/>
                <w:szCs w:val="20"/>
                <w:color w:val="auto"/>
              </w:rPr>
            </w:pPr>
            <w:r>
              <w:rPr>
                <w:rFonts w:ascii="Arial" w:cs="Arial" w:eastAsia="Arial" w:hAnsi="Arial"/>
                <w:sz w:val="16"/>
                <w:szCs w:val="16"/>
                <w:color w:val="auto"/>
              </w:rPr>
              <w:t>Douglas R. Jamieson</w:t>
            </w:r>
          </w:p>
        </w:tc>
        <w:tc>
          <w:tcPr>
            <w:tcW w:w="3640" w:type="dxa"/>
            <w:vAlign w:val="bottom"/>
          </w:tcPr>
          <w:p>
            <w:pPr>
              <w:spacing w:after="0"/>
              <w:rPr>
                <w:sz w:val="20"/>
                <w:szCs w:val="20"/>
                <w:color w:val="auto"/>
              </w:rPr>
            </w:pPr>
            <w:r>
              <w:rPr>
                <w:rFonts w:ascii="Arial" w:cs="Arial" w:eastAsia="Arial" w:hAnsi="Arial"/>
                <w:sz w:val="16"/>
                <w:szCs w:val="16"/>
                <w:color w:val="auto"/>
              </w:rPr>
              <w:t>See above</w:t>
            </w:r>
          </w:p>
        </w:tc>
        <w:tc>
          <w:tcPr>
            <w:tcW w:w="0" w:type="dxa"/>
            <w:vAlign w:val="bottom"/>
          </w:tcPr>
          <w:p>
            <w:pPr>
              <w:spacing w:after="0"/>
              <w:rPr>
                <w:sz w:val="1"/>
                <w:szCs w:val="1"/>
                <w:color w:val="auto"/>
              </w:rPr>
            </w:pPr>
          </w:p>
        </w:tc>
      </w:tr>
      <w:tr>
        <w:trPr>
          <w:trHeight w:val="414"/>
        </w:trPr>
        <w:tc>
          <w:tcPr>
            <w:tcW w:w="4140" w:type="dxa"/>
            <w:vAlign w:val="bottom"/>
          </w:tcPr>
          <w:p>
            <w:pPr>
              <w:ind w:left="600"/>
              <w:spacing w:after="0"/>
              <w:rPr>
                <w:sz w:val="20"/>
                <w:szCs w:val="20"/>
                <w:color w:val="auto"/>
              </w:rPr>
            </w:pPr>
            <w:r>
              <w:rPr>
                <w:rFonts w:ascii="Arial" w:cs="Arial" w:eastAsia="Arial" w:hAnsi="Arial"/>
                <w:sz w:val="16"/>
                <w:szCs w:val="16"/>
                <w:color w:val="auto"/>
              </w:rPr>
              <w:t>Nicholas F. Galluccio</w:t>
            </w:r>
          </w:p>
        </w:tc>
        <w:tc>
          <w:tcPr>
            <w:tcW w:w="3640" w:type="dxa"/>
            <w:vAlign w:val="bottom"/>
          </w:tcPr>
          <w:p>
            <w:pPr>
              <w:spacing w:after="0"/>
              <w:rPr>
                <w:sz w:val="20"/>
                <w:szCs w:val="20"/>
                <w:color w:val="auto"/>
              </w:rPr>
            </w:pPr>
            <w:r>
              <w:rPr>
                <w:rFonts w:ascii="Arial" w:cs="Arial" w:eastAsia="Arial" w:hAnsi="Arial"/>
                <w:sz w:val="16"/>
                <w:szCs w:val="16"/>
                <w:color w:val="auto"/>
              </w:rPr>
              <w:t>Chief Executive Officer and President</w:t>
            </w:r>
          </w:p>
        </w:tc>
        <w:tc>
          <w:tcPr>
            <w:tcW w:w="0" w:type="dxa"/>
            <w:vAlign w:val="bottom"/>
          </w:tcPr>
          <w:p>
            <w:pPr>
              <w:spacing w:after="0"/>
              <w:rPr>
                <w:sz w:val="1"/>
                <w:szCs w:val="1"/>
                <w:color w:val="auto"/>
              </w:rPr>
            </w:pPr>
          </w:p>
        </w:tc>
      </w:tr>
      <w:tr>
        <w:trPr>
          <w:trHeight w:val="414"/>
        </w:trPr>
        <w:tc>
          <w:tcPr>
            <w:tcW w:w="4140" w:type="dxa"/>
            <w:vAlign w:val="bottom"/>
          </w:tcPr>
          <w:p>
            <w:pPr>
              <w:ind w:left="560"/>
              <w:spacing w:after="0"/>
              <w:rPr>
                <w:sz w:val="20"/>
                <w:szCs w:val="20"/>
                <w:color w:val="auto"/>
              </w:rPr>
            </w:pPr>
            <w:r>
              <w:rPr>
                <w:rFonts w:ascii="Arial" w:cs="Arial" w:eastAsia="Arial" w:hAnsi="Arial"/>
                <w:sz w:val="16"/>
                <w:szCs w:val="16"/>
                <w:color w:val="auto"/>
              </w:rPr>
              <w:t>Alfred W. Fiore</w:t>
            </w:r>
          </w:p>
        </w:tc>
        <w:tc>
          <w:tcPr>
            <w:tcW w:w="3640" w:type="dxa"/>
            <w:vAlign w:val="bottom"/>
          </w:tcPr>
          <w:p>
            <w:pPr>
              <w:spacing w:after="0"/>
              <w:rPr>
                <w:sz w:val="20"/>
                <w:szCs w:val="20"/>
                <w:color w:val="auto"/>
              </w:rPr>
            </w:pPr>
            <w:r>
              <w:rPr>
                <w:rFonts w:ascii="Arial" w:cs="Arial" w:eastAsia="Arial" w:hAnsi="Arial"/>
                <w:sz w:val="16"/>
                <w:szCs w:val="16"/>
                <w:color w:val="auto"/>
              </w:rPr>
              <w:t>See below</w:t>
            </w:r>
          </w:p>
        </w:tc>
        <w:tc>
          <w:tcPr>
            <w:tcW w:w="0" w:type="dxa"/>
            <w:vAlign w:val="bottom"/>
          </w:tcPr>
          <w:p>
            <w:pPr>
              <w:spacing w:after="0"/>
              <w:rPr>
                <w:sz w:val="1"/>
                <w:szCs w:val="1"/>
                <w:color w:val="auto"/>
              </w:rPr>
            </w:pPr>
          </w:p>
        </w:tc>
      </w:tr>
      <w:tr>
        <w:trPr>
          <w:trHeight w:val="402"/>
        </w:trPr>
        <w:tc>
          <w:tcPr>
            <w:tcW w:w="4140" w:type="dxa"/>
            <w:vAlign w:val="bottom"/>
          </w:tcPr>
          <w:p>
            <w:pPr>
              <w:ind w:left="560"/>
              <w:spacing w:after="0"/>
              <w:rPr>
                <w:sz w:val="20"/>
                <w:szCs w:val="20"/>
                <w:color w:val="auto"/>
              </w:rPr>
            </w:pPr>
            <w:r>
              <w:rPr>
                <w:rFonts w:ascii="Arial" w:cs="Arial" w:eastAsia="Arial" w:hAnsi="Arial"/>
                <w:sz w:val="16"/>
                <w:szCs w:val="16"/>
                <w:color w:val="auto"/>
              </w:rPr>
              <w:t>Edward T. Tokar</w:t>
            </w:r>
          </w:p>
        </w:tc>
        <w:tc>
          <w:tcPr>
            <w:tcW w:w="3640" w:type="dxa"/>
            <w:vAlign w:val="bottom"/>
          </w:tcPr>
          <w:p>
            <w:pPr>
              <w:spacing w:after="0"/>
              <w:rPr>
                <w:sz w:val="20"/>
                <w:szCs w:val="20"/>
                <w:color w:val="auto"/>
              </w:rPr>
            </w:pPr>
            <w:r>
              <w:rPr>
                <w:rFonts w:ascii="Arial" w:cs="Arial" w:eastAsia="Arial" w:hAnsi="Arial"/>
                <w:sz w:val="16"/>
                <w:szCs w:val="16"/>
                <w:color w:val="auto"/>
              </w:rPr>
              <w:t>Beacon Trust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Senior Managing Director</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333 Main Street</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Madison, NJ 07940</w:t>
            </w: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Arial" w:cs="Arial" w:eastAsia="Arial" w:hAnsi="Arial"/>
                <w:sz w:val="16"/>
                <w:szCs w:val="16"/>
                <w:color w:val="auto"/>
              </w:rPr>
              <w:t>Officers:</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140" w:type="dxa"/>
            <w:vAlign w:val="bottom"/>
          </w:tcPr>
          <w:p>
            <w:pPr>
              <w:spacing w:after="0"/>
              <w:rPr>
                <w:sz w:val="20"/>
                <w:szCs w:val="20"/>
                <w:color w:val="auto"/>
              </w:rPr>
            </w:pPr>
            <w:r>
              <w:rPr>
                <w:rFonts w:ascii="Arial" w:cs="Arial" w:eastAsia="Arial" w:hAnsi="Arial"/>
                <w:sz w:val="16"/>
                <w:szCs w:val="16"/>
                <w:color w:val="auto"/>
              </w:rPr>
              <w:t>Bruce N. Alpert</w:t>
            </w:r>
          </w:p>
        </w:tc>
        <w:tc>
          <w:tcPr>
            <w:tcW w:w="3640" w:type="dxa"/>
            <w:vAlign w:val="bottom"/>
          </w:tcPr>
          <w:p>
            <w:pPr>
              <w:spacing w:after="0"/>
              <w:rPr>
                <w:sz w:val="20"/>
                <w:szCs w:val="20"/>
                <w:color w:val="auto"/>
              </w:rPr>
            </w:pPr>
            <w:r>
              <w:rPr>
                <w:rFonts w:ascii="Arial" w:cs="Arial" w:eastAsia="Arial" w:hAnsi="Arial"/>
                <w:sz w:val="16"/>
                <w:szCs w:val="16"/>
                <w:color w:val="auto"/>
              </w:rPr>
              <w:t>See above</w:t>
            </w:r>
          </w:p>
        </w:tc>
        <w:tc>
          <w:tcPr>
            <w:tcW w:w="0" w:type="dxa"/>
            <w:vAlign w:val="bottom"/>
          </w:tcPr>
          <w:p>
            <w:pPr>
              <w:spacing w:after="0"/>
              <w:rPr>
                <w:sz w:val="1"/>
                <w:szCs w:val="1"/>
                <w:color w:val="auto"/>
              </w:rPr>
            </w:pPr>
          </w:p>
        </w:tc>
      </w:tr>
      <w:tr>
        <w:trPr>
          <w:trHeight w:val="414"/>
        </w:trPr>
        <w:tc>
          <w:tcPr>
            <w:tcW w:w="4140" w:type="dxa"/>
            <w:vAlign w:val="bottom"/>
          </w:tcPr>
          <w:p>
            <w:pPr>
              <w:ind w:left="600"/>
              <w:spacing w:after="0"/>
              <w:rPr>
                <w:sz w:val="20"/>
                <w:szCs w:val="20"/>
                <w:color w:val="auto"/>
              </w:rPr>
            </w:pPr>
            <w:r>
              <w:rPr>
                <w:rFonts w:ascii="Arial" w:cs="Arial" w:eastAsia="Arial" w:hAnsi="Arial"/>
                <w:sz w:val="16"/>
                <w:szCs w:val="16"/>
                <w:color w:val="auto"/>
              </w:rPr>
              <w:t>Nicholas F. Galluccio</w:t>
            </w:r>
          </w:p>
        </w:tc>
        <w:tc>
          <w:tcPr>
            <w:tcW w:w="3640" w:type="dxa"/>
            <w:vAlign w:val="bottom"/>
          </w:tcPr>
          <w:p>
            <w:pPr>
              <w:spacing w:after="0"/>
              <w:rPr>
                <w:sz w:val="20"/>
                <w:szCs w:val="20"/>
                <w:color w:val="auto"/>
              </w:rPr>
            </w:pPr>
            <w:r>
              <w:rPr>
                <w:rFonts w:ascii="Arial" w:cs="Arial" w:eastAsia="Arial" w:hAnsi="Arial"/>
                <w:sz w:val="16"/>
                <w:szCs w:val="16"/>
                <w:color w:val="auto"/>
              </w:rPr>
              <w:t>See above</w:t>
            </w:r>
          </w:p>
        </w:tc>
        <w:tc>
          <w:tcPr>
            <w:tcW w:w="0" w:type="dxa"/>
            <w:vAlign w:val="bottom"/>
          </w:tcPr>
          <w:p>
            <w:pPr>
              <w:spacing w:after="0"/>
              <w:rPr>
                <w:sz w:val="1"/>
                <w:szCs w:val="1"/>
                <w:color w:val="auto"/>
              </w:rPr>
            </w:pPr>
          </w:p>
        </w:tc>
      </w:tr>
      <w:tr>
        <w:trPr>
          <w:trHeight w:val="414"/>
        </w:trPr>
        <w:tc>
          <w:tcPr>
            <w:tcW w:w="4140" w:type="dxa"/>
            <w:vAlign w:val="bottom"/>
          </w:tcPr>
          <w:p>
            <w:pPr>
              <w:ind w:left="600"/>
              <w:spacing w:after="0"/>
              <w:rPr>
                <w:sz w:val="20"/>
                <w:szCs w:val="20"/>
                <w:color w:val="auto"/>
              </w:rPr>
            </w:pPr>
            <w:r>
              <w:rPr>
                <w:rFonts w:ascii="Arial" w:cs="Arial" w:eastAsia="Arial" w:hAnsi="Arial"/>
                <w:sz w:val="16"/>
                <w:szCs w:val="16"/>
                <w:color w:val="auto"/>
              </w:rPr>
              <w:t>Jeffrey M. Farber</w:t>
            </w:r>
          </w:p>
        </w:tc>
        <w:tc>
          <w:tcPr>
            <w:tcW w:w="364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389"/>
        </w:trPr>
        <w:tc>
          <w:tcPr>
            <w:tcW w:w="4140" w:type="dxa"/>
            <w:vAlign w:val="bottom"/>
          </w:tcPr>
          <w:p>
            <w:pPr>
              <w:spacing w:after="0"/>
              <w:rPr>
                <w:sz w:val="20"/>
                <w:szCs w:val="20"/>
                <w:color w:val="auto"/>
              </w:rPr>
            </w:pPr>
            <w:r>
              <w:rPr>
                <w:rFonts w:ascii="Arial" w:cs="Arial" w:eastAsia="Arial" w:hAnsi="Arial"/>
                <w:sz w:val="16"/>
                <w:szCs w:val="16"/>
                <w:color w:val="auto"/>
              </w:rPr>
              <w:t>Gabelli Securities, Inc.</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40" w:type="dxa"/>
            <w:vAlign w:val="bottom"/>
            <w:tcBorders>
              <w:bottom w:val="single" w:sz="8" w:color="auto"/>
            </w:tcBorders>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Directors:</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4140" w:type="dxa"/>
            <w:vAlign w:val="bottom"/>
          </w:tcPr>
          <w:p>
            <w:pPr>
              <w:spacing w:after="0"/>
              <w:rPr>
                <w:sz w:val="20"/>
                <w:szCs w:val="20"/>
                <w:color w:val="auto"/>
              </w:rPr>
            </w:pPr>
            <w:r>
              <w:rPr>
                <w:rFonts w:ascii="Arial" w:cs="Arial" w:eastAsia="Arial" w:hAnsi="Arial"/>
                <w:sz w:val="16"/>
                <w:szCs w:val="16"/>
                <w:color w:val="auto"/>
              </w:rPr>
              <w:t>Robert W. Blake</w:t>
            </w:r>
          </w:p>
        </w:tc>
        <w:tc>
          <w:tcPr>
            <w:tcW w:w="3640" w:type="dxa"/>
            <w:vAlign w:val="bottom"/>
          </w:tcPr>
          <w:p>
            <w:pPr>
              <w:spacing w:after="0"/>
              <w:rPr>
                <w:sz w:val="20"/>
                <w:szCs w:val="20"/>
                <w:color w:val="auto"/>
              </w:rPr>
            </w:pPr>
            <w:r>
              <w:rPr>
                <w:rFonts w:ascii="Arial" w:cs="Arial" w:eastAsia="Arial" w:hAnsi="Arial"/>
                <w:sz w:val="16"/>
                <w:szCs w:val="16"/>
                <w:color w:val="auto"/>
              </w:rPr>
              <w:t>President of W. R. Blake &amp; Sons, Inc.</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196-20 Northern Boulevard</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Flushing, NY  11358</w:t>
            </w:r>
          </w:p>
        </w:tc>
        <w:tc>
          <w:tcPr>
            <w:tcW w:w="0" w:type="dxa"/>
            <w:vAlign w:val="bottom"/>
          </w:tcPr>
          <w:p>
            <w:pPr>
              <w:spacing w:after="0"/>
              <w:rPr>
                <w:sz w:val="1"/>
                <w:szCs w:val="1"/>
                <w:color w:val="auto"/>
              </w:rPr>
            </w:pPr>
          </w:p>
        </w:tc>
      </w:tr>
      <w:tr>
        <w:trPr>
          <w:trHeight w:val="402"/>
        </w:trPr>
        <w:tc>
          <w:tcPr>
            <w:tcW w:w="4140" w:type="dxa"/>
            <w:vAlign w:val="bottom"/>
          </w:tcPr>
          <w:p>
            <w:pPr>
              <w:spacing w:after="0"/>
              <w:rPr>
                <w:sz w:val="20"/>
                <w:szCs w:val="20"/>
                <w:color w:val="auto"/>
              </w:rPr>
            </w:pPr>
            <w:r>
              <w:rPr>
                <w:rFonts w:ascii="Arial" w:cs="Arial" w:eastAsia="Arial" w:hAnsi="Arial"/>
                <w:sz w:val="16"/>
                <w:szCs w:val="16"/>
                <w:color w:val="auto"/>
              </w:rPr>
              <w:t>Douglas G. DeVivo</w:t>
            </w:r>
          </w:p>
        </w:tc>
        <w:tc>
          <w:tcPr>
            <w:tcW w:w="3640" w:type="dxa"/>
            <w:vAlign w:val="bottom"/>
          </w:tcPr>
          <w:p>
            <w:pPr>
              <w:spacing w:after="0"/>
              <w:rPr>
                <w:sz w:val="20"/>
                <w:szCs w:val="20"/>
                <w:color w:val="auto"/>
              </w:rPr>
            </w:pPr>
            <w:r>
              <w:rPr>
                <w:rFonts w:ascii="Arial" w:cs="Arial" w:eastAsia="Arial" w:hAnsi="Arial"/>
                <w:sz w:val="16"/>
                <w:szCs w:val="16"/>
                <w:color w:val="auto"/>
              </w:rPr>
              <w:t>General Partner of ALCE Partners, L.P.</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One First Street, Suite 16</w:t>
            </w: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Los Altos, CA  94022</w:t>
            </w:r>
          </w:p>
        </w:tc>
        <w:tc>
          <w:tcPr>
            <w:tcW w:w="0" w:type="dxa"/>
            <w:vAlign w:val="bottom"/>
          </w:tcPr>
          <w:p>
            <w:pPr>
              <w:spacing w:after="0"/>
              <w:rPr>
                <w:sz w:val="1"/>
                <w:szCs w:val="1"/>
                <w:color w:val="auto"/>
              </w:rPr>
            </w:pPr>
          </w:p>
        </w:tc>
      </w:tr>
      <w:tr>
        <w:trPr>
          <w:trHeight w:val="632"/>
        </w:trPr>
        <w:tc>
          <w:tcPr>
            <w:tcW w:w="4140" w:type="dxa"/>
            <w:vAlign w:val="bottom"/>
          </w:tcPr>
          <w:p>
            <w:pPr>
              <w:ind w:left="600"/>
              <w:spacing w:after="0"/>
              <w:rPr>
                <w:sz w:val="20"/>
                <w:szCs w:val="20"/>
                <w:color w:val="auto"/>
              </w:rPr>
            </w:pPr>
            <w:r>
              <w:rPr>
                <w:rFonts w:ascii="Arial" w:cs="Arial" w:eastAsia="Arial" w:hAnsi="Arial"/>
                <w:sz w:val="16"/>
                <w:szCs w:val="16"/>
                <w:color w:val="auto"/>
              </w:rPr>
              <w:t>Douglas R. Jamieson</w:t>
            </w:r>
          </w:p>
        </w:tc>
        <w:tc>
          <w:tcPr>
            <w:tcW w:w="3640" w:type="dxa"/>
            <w:vAlign w:val="bottom"/>
          </w:tcPr>
          <w:p>
            <w:pPr>
              <w:spacing w:after="0"/>
              <w:rPr>
                <w:sz w:val="20"/>
                <w:szCs w:val="20"/>
                <w:color w:val="auto"/>
              </w:rPr>
            </w:pPr>
            <w:r>
              <w:rPr>
                <w:rFonts w:ascii="Arial" w:cs="Arial" w:eastAsia="Arial" w:hAnsi="Arial"/>
                <w:sz w:val="16"/>
                <w:szCs w:val="16"/>
                <w:color w:val="auto"/>
              </w:rPr>
              <w:t>President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27"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80" w:type="dxa"/>
            <w:vAlign w:val="bottom"/>
          </w:tcPr>
          <w:p>
            <w:pPr>
              <w:spacing w:after="0"/>
              <w:rPr>
                <w:sz w:val="20"/>
                <w:szCs w:val="20"/>
                <w:color w:val="auto"/>
              </w:rPr>
            </w:pPr>
            <w:r>
              <w:rPr>
                <w:rFonts w:ascii="Arial" w:cs="Arial" w:eastAsia="Arial" w:hAnsi="Arial"/>
                <w:sz w:val="16"/>
                <w:szCs w:val="16"/>
                <w:color w:val="auto"/>
              </w:rPr>
              <w:t>Officers:</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4480" w:type="dxa"/>
            <w:vAlign w:val="bottom"/>
          </w:tcPr>
          <w:p>
            <w:pPr>
              <w:spacing w:after="0"/>
              <w:rPr>
                <w:sz w:val="20"/>
                <w:szCs w:val="20"/>
                <w:color w:val="auto"/>
              </w:rPr>
            </w:pPr>
            <w:r>
              <w:rPr>
                <w:rFonts w:ascii="Arial" w:cs="Arial" w:eastAsia="Arial" w:hAnsi="Arial"/>
                <w:sz w:val="16"/>
                <w:szCs w:val="16"/>
                <w:color w:val="auto"/>
              </w:rPr>
              <w:t>Douglas R. Jamieson</w:t>
            </w:r>
          </w:p>
        </w:tc>
        <w:tc>
          <w:tcPr>
            <w:tcW w:w="1980" w:type="dxa"/>
            <w:vAlign w:val="bottom"/>
          </w:tcPr>
          <w:p>
            <w:pPr>
              <w:spacing w:after="0"/>
              <w:rPr>
                <w:sz w:val="20"/>
                <w:szCs w:val="20"/>
                <w:color w:val="auto"/>
              </w:rPr>
            </w:pPr>
            <w:r>
              <w:rPr>
                <w:rFonts w:ascii="Arial" w:cs="Arial" w:eastAsia="Arial" w:hAnsi="Arial"/>
                <w:sz w:val="16"/>
                <w:szCs w:val="16"/>
                <w:color w:val="auto"/>
              </w:rPr>
              <w:t>See above</w:t>
            </w:r>
          </w:p>
        </w:tc>
        <w:tc>
          <w:tcPr>
            <w:tcW w:w="0" w:type="dxa"/>
            <w:vAlign w:val="bottom"/>
          </w:tcPr>
          <w:p>
            <w:pPr>
              <w:spacing w:after="0"/>
              <w:rPr>
                <w:sz w:val="1"/>
                <w:szCs w:val="1"/>
                <w:color w:val="auto"/>
              </w:rPr>
            </w:pPr>
          </w:p>
        </w:tc>
      </w:tr>
      <w:tr>
        <w:trPr>
          <w:trHeight w:val="414"/>
        </w:trPr>
        <w:tc>
          <w:tcPr>
            <w:tcW w:w="4480" w:type="dxa"/>
            <w:vAlign w:val="bottom"/>
          </w:tcPr>
          <w:p>
            <w:pPr>
              <w:ind w:left="600"/>
              <w:spacing w:after="0"/>
              <w:rPr>
                <w:sz w:val="20"/>
                <w:szCs w:val="20"/>
                <w:color w:val="auto"/>
              </w:rPr>
            </w:pPr>
            <w:r>
              <w:rPr>
                <w:rFonts w:ascii="Arial" w:cs="Arial" w:eastAsia="Arial" w:hAnsi="Arial"/>
                <w:sz w:val="16"/>
                <w:szCs w:val="16"/>
                <w:color w:val="auto"/>
              </w:rPr>
              <w:t>Christopher J. Michailoff</w:t>
            </w:r>
          </w:p>
        </w:tc>
        <w:tc>
          <w:tcPr>
            <w:tcW w:w="1980" w:type="dxa"/>
            <w:vAlign w:val="bottom"/>
          </w:tcPr>
          <w:p>
            <w:pPr>
              <w:spacing w:after="0"/>
              <w:rPr>
                <w:sz w:val="20"/>
                <w:szCs w:val="20"/>
                <w:color w:val="auto"/>
              </w:rPr>
            </w:pPr>
            <w:r>
              <w:rPr>
                <w:rFonts w:ascii="Arial" w:cs="Arial" w:eastAsia="Arial" w:hAnsi="Arial"/>
                <w:sz w:val="16"/>
                <w:szCs w:val="16"/>
                <w:color w:val="auto"/>
              </w:rPr>
              <w:t>Secretary</w:t>
            </w:r>
          </w:p>
        </w:tc>
        <w:tc>
          <w:tcPr>
            <w:tcW w:w="0" w:type="dxa"/>
            <w:vAlign w:val="bottom"/>
          </w:tcPr>
          <w:p>
            <w:pPr>
              <w:spacing w:after="0"/>
              <w:rPr>
                <w:sz w:val="1"/>
                <w:szCs w:val="1"/>
                <w:color w:val="auto"/>
              </w:rPr>
            </w:pPr>
          </w:p>
        </w:tc>
      </w:tr>
      <w:tr>
        <w:trPr>
          <w:trHeight w:val="414"/>
        </w:trPr>
        <w:tc>
          <w:tcPr>
            <w:tcW w:w="4480" w:type="dxa"/>
            <w:vAlign w:val="bottom"/>
          </w:tcPr>
          <w:p>
            <w:pPr>
              <w:ind w:left="600"/>
              <w:spacing w:after="0"/>
              <w:rPr>
                <w:sz w:val="20"/>
                <w:szCs w:val="20"/>
                <w:color w:val="auto"/>
              </w:rPr>
            </w:pPr>
            <w:r>
              <w:rPr>
                <w:rFonts w:ascii="Arial" w:cs="Arial" w:eastAsia="Arial" w:hAnsi="Arial"/>
                <w:sz w:val="16"/>
                <w:szCs w:val="16"/>
                <w:color w:val="auto"/>
              </w:rPr>
              <w:t>Jeffrey M. Farber</w:t>
            </w:r>
          </w:p>
        </w:tc>
        <w:tc>
          <w:tcPr>
            <w:tcW w:w="198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621"/>
        </w:trPr>
        <w:tc>
          <w:tcPr>
            <w:tcW w:w="4480" w:type="dxa"/>
            <w:vAlign w:val="bottom"/>
          </w:tcPr>
          <w:p>
            <w:pPr>
              <w:spacing w:after="0"/>
              <w:rPr>
                <w:sz w:val="20"/>
                <w:szCs w:val="20"/>
                <w:color w:val="auto"/>
              </w:rPr>
            </w:pPr>
            <w:r>
              <w:rPr>
                <w:rFonts w:ascii="Arial" w:cs="Arial" w:eastAsia="Arial" w:hAnsi="Arial"/>
                <w:sz w:val="16"/>
                <w:szCs w:val="16"/>
                <w:color w:val="auto"/>
              </w:rPr>
              <w:t>Gabelli &amp; Company, Inc.</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6"/>
                <w:szCs w:val="16"/>
                <w:color w:val="auto"/>
              </w:rPr>
              <w:t>Directors:</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80" w:type="dxa"/>
            <w:vAlign w:val="bottom"/>
            <w:tcBorders>
              <w:bottom w:val="single" w:sz="8" w:color="auto"/>
            </w:tcBorders>
          </w:tcPr>
          <w:p>
            <w:pPr>
              <w:spacing w:after="0"/>
              <w:rPr>
                <w:sz w:val="19"/>
                <w:szCs w:val="19"/>
                <w:color w:val="auto"/>
              </w:rPr>
            </w:pPr>
          </w:p>
        </w:tc>
        <w:tc>
          <w:tcPr>
            <w:tcW w:w="1980" w:type="dxa"/>
            <w:vAlign w:val="bottom"/>
            <w:vMerge w:val="restart"/>
          </w:tcPr>
          <w:p>
            <w:pPr>
              <w:spacing w:after="0"/>
              <w:rPr>
                <w:sz w:val="20"/>
                <w:szCs w:val="20"/>
                <w:color w:val="auto"/>
              </w:rPr>
            </w:pPr>
            <w:r>
              <w:rPr>
                <w:rFonts w:ascii="Arial" w:cs="Arial" w:eastAsia="Arial" w:hAnsi="Arial"/>
                <w:sz w:val="16"/>
                <w:szCs w:val="16"/>
                <w:color w:val="auto"/>
                <w:w w:val="93"/>
              </w:rPr>
              <w:t>Chairman &amp; Interim President</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6"/>
                <w:szCs w:val="16"/>
                <w:color w:val="auto"/>
              </w:rPr>
              <w:t>James G. Webster, III</w:t>
            </w: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4480" w:type="dxa"/>
            <w:vAlign w:val="bottom"/>
          </w:tcPr>
          <w:p>
            <w:pPr>
              <w:spacing w:after="0"/>
              <w:rPr>
                <w:sz w:val="20"/>
                <w:szCs w:val="20"/>
                <w:color w:val="auto"/>
              </w:rPr>
            </w:pPr>
            <w:r>
              <w:rPr>
                <w:rFonts w:ascii="Arial" w:cs="Arial" w:eastAsia="Arial" w:hAnsi="Arial"/>
                <w:sz w:val="16"/>
                <w:szCs w:val="16"/>
                <w:color w:val="auto"/>
              </w:rPr>
              <w:t>Irene Smolicz</w:t>
            </w:r>
          </w:p>
        </w:tc>
        <w:tc>
          <w:tcPr>
            <w:tcW w:w="1980" w:type="dxa"/>
            <w:vAlign w:val="bottom"/>
          </w:tcPr>
          <w:p>
            <w:pPr>
              <w:spacing w:after="0"/>
              <w:rPr>
                <w:sz w:val="20"/>
                <w:szCs w:val="20"/>
                <w:color w:val="auto"/>
              </w:rPr>
            </w:pPr>
            <w:r>
              <w:rPr>
                <w:rFonts w:ascii="Arial" w:cs="Arial" w:eastAsia="Arial" w:hAnsi="Arial"/>
                <w:sz w:val="16"/>
                <w:szCs w:val="16"/>
                <w:color w:val="auto"/>
              </w:rPr>
              <w:t>Senior Trader</w:t>
            </w:r>
          </w:p>
        </w:tc>
        <w:tc>
          <w:tcPr>
            <w:tcW w:w="0" w:type="dxa"/>
            <w:vAlign w:val="bottom"/>
          </w:tcPr>
          <w:p>
            <w:pPr>
              <w:spacing w:after="0"/>
              <w:rPr>
                <w:sz w:val="1"/>
                <w:szCs w:val="1"/>
                <w:color w:val="auto"/>
              </w:rPr>
            </w:pPr>
          </w:p>
        </w:tc>
      </w:tr>
      <w:tr>
        <w:trPr>
          <w:trHeight w:val="206"/>
        </w:trPr>
        <w:tc>
          <w:tcPr>
            <w:tcW w:w="448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Gabelli &amp; Company, Inc.</w:t>
            </w:r>
          </w:p>
        </w:tc>
        <w:tc>
          <w:tcPr>
            <w:tcW w:w="0" w:type="dxa"/>
            <w:vAlign w:val="bottom"/>
          </w:tcPr>
          <w:p>
            <w:pPr>
              <w:spacing w:after="0"/>
              <w:rPr>
                <w:sz w:val="1"/>
                <w:szCs w:val="1"/>
                <w:color w:val="auto"/>
              </w:rPr>
            </w:pPr>
          </w:p>
        </w:tc>
      </w:tr>
      <w:tr>
        <w:trPr>
          <w:trHeight w:val="621"/>
        </w:trPr>
        <w:tc>
          <w:tcPr>
            <w:tcW w:w="4480" w:type="dxa"/>
            <w:vAlign w:val="bottom"/>
          </w:tcPr>
          <w:p>
            <w:pPr>
              <w:spacing w:after="0"/>
              <w:rPr>
                <w:sz w:val="20"/>
                <w:szCs w:val="20"/>
                <w:color w:val="auto"/>
              </w:rPr>
            </w:pPr>
            <w:r>
              <w:rPr>
                <w:rFonts w:ascii="Arial" w:cs="Arial" w:eastAsia="Arial" w:hAnsi="Arial"/>
                <w:sz w:val="16"/>
                <w:szCs w:val="16"/>
                <w:color w:val="auto"/>
              </w:rPr>
              <w:t>Officers:</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80" w:type="dxa"/>
            <w:vAlign w:val="bottom"/>
          </w:tcPr>
          <w:p>
            <w:pPr>
              <w:spacing w:after="0"/>
              <w:rPr>
                <w:sz w:val="20"/>
                <w:szCs w:val="20"/>
                <w:color w:val="auto"/>
              </w:rPr>
            </w:pPr>
            <w:r>
              <w:rPr>
                <w:rFonts w:ascii="Arial" w:cs="Arial" w:eastAsia="Arial" w:hAnsi="Arial"/>
                <w:sz w:val="16"/>
                <w:szCs w:val="16"/>
                <w:color w:val="auto"/>
              </w:rPr>
              <w:t>James G. Webster, III</w:t>
            </w:r>
          </w:p>
        </w:tc>
        <w:tc>
          <w:tcPr>
            <w:tcW w:w="1980" w:type="dxa"/>
            <w:vAlign w:val="bottom"/>
          </w:tcPr>
          <w:p>
            <w:pPr>
              <w:spacing w:after="0"/>
              <w:rPr>
                <w:sz w:val="20"/>
                <w:szCs w:val="20"/>
                <w:color w:val="auto"/>
              </w:rPr>
            </w:pPr>
            <w:r>
              <w:rPr>
                <w:rFonts w:ascii="Arial" w:cs="Arial" w:eastAsia="Arial" w:hAnsi="Arial"/>
                <w:sz w:val="16"/>
                <w:szCs w:val="16"/>
                <w:color w:val="auto"/>
              </w:rPr>
              <w:t>See Above</w:t>
            </w:r>
          </w:p>
        </w:tc>
        <w:tc>
          <w:tcPr>
            <w:tcW w:w="0" w:type="dxa"/>
            <w:vAlign w:val="bottom"/>
          </w:tcPr>
          <w:p>
            <w:pPr>
              <w:spacing w:after="0"/>
              <w:rPr>
                <w:sz w:val="1"/>
                <w:szCs w:val="1"/>
                <w:color w:val="auto"/>
              </w:rPr>
            </w:pPr>
          </w:p>
        </w:tc>
      </w:tr>
      <w:tr>
        <w:trPr>
          <w:trHeight w:val="414"/>
        </w:trPr>
        <w:tc>
          <w:tcPr>
            <w:tcW w:w="4480" w:type="dxa"/>
            <w:vAlign w:val="bottom"/>
          </w:tcPr>
          <w:p>
            <w:pPr>
              <w:spacing w:after="0"/>
              <w:rPr>
                <w:sz w:val="20"/>
                <w:szCs w:val="20"/>
                <w:color w:val="auto"/>
              </w:rPr>
            </w:pPr>
            <w:r>
              <w:rPr>
                <w:rFonts w:ascii="Arial" w:cs="Arial" w:eastAsia="Arial" w:hAnsi="Arial"/>
                <w:sz w:val="16"/>
                <w:szCs w:val="16"/>
                <w:color w:val="auto"/>
              </w:rPr>
              <w:t>Bruce N. Alpert</w:t>
            </w:r>
          </w:p>
        </w:tc>
        <w:tc>
          <w:tcPr>
            <w:tcW w:w="1980" w:type="dxa"/>
            <w:vAlign w:val="bottom"/>
          </w:tcPr>
          <w:p>
            <w:pPr>
              <w:spacing w:after="0"/>
              <w:rPr>
                <w:sz w:val="20"/>
                <w:szCs w:val="20"/>
                <w:color w:val="auto"/>
              </w:rPr>
            </w:pPr>
            <w:r>
              <w:rPr>
                <w:rFonts w:ascii="Arial" w:cs="Arial" w:eastAsia="Arial" w:hAnsi="Arial"/>
                <w:sz w:val="16"/>
                <w:szCs w:val="16"/>
                <w:color w:val="auto"/>
                <w:w w:val="91"/>
              </w:rPr>
              <w:t>Vice President - Mutual Funds</w:t>
            </w:r>
          </w:p>
        </w:tc>
        <w:tc>
          <w:tcPr>
            <w:tcW w:w="0" w:type="dxa"/>
            <w:vAlign w:val="bottom"/>
          </w:tcPr>
          <w:p>
            <w:pPr>
              <w:spacing w:after="0"/>
              <w:rPr>
                <w:sz w:val="1"/>
                <w:szCs w:val="1"/>
                <w:color w:val="auto"/>
              </w:rPr>
            </w:pPr>
          </w:p>
        </w:tc>
      </w:tr>
      <w:tr>
        <w:trPr>
          <w:trHeight w:val="414"/>
        </w:trPr>
        <w:tc>
          <w:tcPr>
            <w:tcW w:w="4480" w:type="dxa"/>
            <w:vAlign w:val="bottom"/>
          </w:tcPr>
          <w:p>
            <w:pPr>
              <w:ind w:left="600"/>
              <w:spacing w:after="0"/>
              <w:rPr>
                <w:sz w:val="20"/>
                <w:szCs w:val="20"/>
                <w:color w:val="auto"/>
              </w:rPr>
            </w:pPr>
            <w:r>
              <w:rPr>
                <w:rFonts w:ascii="Arial" w:cs="Arial" w:eastAsia="Arial" w:hAnsi="Arial"/>
                <w:sz w:val="16"/>
                <w:szCs w:val="16"/>
                <w:color w:val="auto"/>
              </w:rPr>
              <w:t>Diane M. LaPointe</w:t>
            </w:r>
          </w:p>
        </w:tc>
        <w:tc>
          <w:tcPr>
            <w:tcW w:w="1980" w:type="dxa"/>
            <w:vAlign w:val="bottom"/>
          </w:tcPr>
          <w:p>
            <w:pPr>
              <w:spacing w:after="0"/>
              <w:rPr>
                <w:sz w:val="20"/>
                <w:szCs w:val="20"/>
                <w:color w:val="auto"/>
              </w:rPr>
            </w:pPr>
            <w:r>
              <w:rPr>
                <w:rFonts w:ascii="Arial" w:cs="Arial" w:eastAsia="Arial" w:hAnsi="Arial"/>
                <w:sz w:val="16"/>
                <w:szCs w:val="16"/>
                <w:color w:val="auto"/>
              </w:rPr>
              <w:t>Treasurer</w:t>
            </w:r>
          </w:p>
        </w:tc>
        <w:tc>
          <w:tcPr>
            <w:tcW w:w="0" w:type="dxa"/>
            <w:vAlign w:val="bottom"/>
          </w:tcPr>
          <w:p>
            <w:pPr>
              <w:spacing w:after="0"/>
              <w:rPr>
                <w:sz w:val="1"/>
                <w:szCs w:val="1"/>
                <w:color w:val="auto"/>
              </w:rPr>
            </w:pPr>
          </w:p>
        </w:tc>
      </w:tr>
      <w:tr>
        <w:trPr>
          <w:trHeight w:val="414"/>
        </w:trPr>
        <w:tc>
          <w:tcPr>
            <w:tcW w:w="4480" w:type="dxa"/>
            <w:vAlign w:val="bottom"/>
          </w:tcPr>
          <w:p>
            <w:pPr>
              <w:ind w:left="600"/>
              <w:spacing w:after="0"/>
              <w:rPr>
                <w:sz w:val="20"/>
                <w:szCs w:val="20"/>
                <w:color w:val="auto"/>
              </w:rPr>
            </w:pPr>
            <w:r>
              <w:rPr>
                <w:rFonts w:ascii="Arial" w:cs="Arial" w:eastAsia="Arial" w:hAnsi="Arial"/>
                <w:sz w:val="16"/>
                <w:szCs w:val="16"/>
                <w:color w:val="auto"/>
              </w:rPr>
              <w:t>Douglas R. Jamieson</w:t>
            </w:r>
          </w:p>
        </w:tc>
        <w:tc>
          <w:tcPr>
            <w:tcW w:w="1980" w:type="dxa"/>
            <w:vAlign w:val="bottom"/>
          </w:tcPr>
          <w:p>
            <w:pPr>
              <w:spacing w:after="0"/>
              <w:rPr>
                <w:sz w:val="20"/>
                <w:szCs w:val="20"/>
                <w:color w:val="auto"/>
              </w:rPr>
            </w:pPr>
            <w:r>
              <w:rPr>
                <w:rFonts w:ascii="Arial" w:cs="Arial" w:eastAsia="Arial" w:hAnsi="Arial"/>
                <w:sz w:val="16"/>
                <w:szCs w:val="16"/>
                <w:color w:val="auto"/>
              </w:rPr>
              <w:t>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265035"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46" w:right="1440" w:bottom="1440" w:gutter="0" w:footer="0" w:header="0"/>
        </w:sectPr>
      </w:pPr>
    </w:p>
    <w:bookmarkStart w:id="15" w:name="page16"/>
    <w:bookmarkEnd w:id="15"/>
    <w:p>
      <w:pPr>
        <w:ind w:left="1463"/>
        <w:spacing w:after="0"/>
        <w:rPr>
          <w:sz w:val="20"/>
          <w:szCs w:val="20"/>
          <w:color w:val="auto"/>
        </w:rPr>
      </w:pPr>
      <w:r>
        <w:rPr>
          <w:rFonts w:ascii="Arial" w:cs="Arial" w:eastAsia="Arial" w:hAnsi="Arial"/>
          <w:sz w:val="16"/>
          <w:szCs w:val="16"/>
          <w:color w:val="auto"/>
        </w:rPr>
        <w:t>SCHEDULE II</w:t>
      </w:r>
    </w:p>
    <w:p>
      <w:pPr>
        <w:spacing w:after="0" w:line="22" w:lineRule="exact"/>
        <w:rPr>
          <w:sz w:val="20"/>
          <w:szCs w:val="20"/>
          <w:color w:val="auto"/>
        </w:rPr>
      </w:pPr>
    </w:p>
    <w:p>
      <w:pPr>
        <w:ind w:left="1143"/>
        <w:spacing w:after="0"/>
        <w:rPr>
          <w:sz w:val="20"/>
          <w:szCs w:val="20"/>
          <w:color w:val="auto"/>
        </w:rPr>
      </w:pPr>
      <w:r>
        <w:rPr>
          <w:rFonts w:ascii="Arial" w:cs="Arial" w:eastAsia="Arial" w:hAnsi="Arial"/>
          <w:sz w:val="16"/>
          <w:szCs w:val="16"/>
          <w:color w:val="auto"/>
        </w:rPr>
        <w:t>INFORMATION WITH RESPECT TO</w:t>
      </w:r>
    </w:p>
    <w:p>
      <w:pPr>
        <w:spacing w:after="0" w:line="11" w:lineRule="exact"/>
        <w:rPr>
          <w:sz w:val="20"/>
          <w:szCs w:val="20"/>
          <w:color w:val="auto"/>
        </w:rPr>
      </w:pPr>
    </w:p>
    <w:p>
      <w:pPr>
        <w:ind w:left="683"/>
        <w:spacing w:after="0"/>
        <w:rPr>
          <w:sz w:val="20"/>
          <w:szCs w:val="20"/>
          <w:color w:val="auto"/>
        </w:rPr>
      </w:pPr>
      <w:r>
        <w:rPr>
          <w:rFonts w:ascii="Arial" w:cs="Arial" w:eastAsia="Arial" w:hAnsi="Arial"/>
          <w:sz w:val="15"/>
          <w:szCs w:val="15"/>
          <w:color w:val="auto"/>
        </w:rPr>
        <w:t>TRANSACTIONS EFFECTED DURING THE PAST SIXTY DAYS OR</w:t>
      </w:r>
    </w:p>
    <w:p>
      <w:pPr>
        <w:spacing w:after="0" w:line="22" w:lineRule="exact"/>
        <w:rPr>
          <w:sz w:val="20"/>
          <w:szCs w:val="20"/>
          <w:color w:val="auto"/>
        </w:rPr>
      </w:pPr>
    </w:p>
    <w:p>
      <w:pPr>
        <w:ind w:left="683"/>
        <w:spacing w:after="0"/>
        <w:rPr>
          <w:sz w:val="20"/>
          <w:szCs w:val="20"/>
          <w:color w:val="auto"/>
        </w:rPr>
      </w:pPr>
      <w:r>
        <w:rPr>
          <w:rFonts w:ascii="Arial" w:cs="Arial" w:eastAsia="Arial" w:hAnsi="Arial"/>
          <w:sz w:val="16"/>
          <w:szCs w:val="16"/>
          <w:color w:val="auto"/>
        </w:rPr>
        <w:t>SINCE THE MOST RECENT FILING ON SCHEDULE 13D (1)</w:t>
      </w:r>
    </w:p>
    <w:p>
      <w:pPr>
        <w:sectPr>
          <w:pgSz w:w="11900" w:h="16838" w:orient="portrait"/>
          <w:cols w:equalWidth="0" w:num="1">
            <w:col w:w="10222"/>
          </w:cols>
          <w:pgMar w:left="237" w:top="1222" w:right="1440" w:bottom="1440" w:gutter="0" w:footer="0" w:header="0"/>
        </w:sectPr>
      </w:pPr>
    </w:p>
    <w:p>
      <w:pPr>
        <w:spacing w:after="0" w:line="193" w:lineRule="exact"/>
        <w:rPr>
          <w:sz w:val="20"/>
          <w:szCs w:val="20"/>
          <w:color w:val="auto"/>
        </w:rPr>
      </w:pPr>
    </w:p>
    <w:p>
      <w:pPr>
        <w:ind w:left="983"/>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br w:type="column"/>
      </w:r>
    </w:p>
    <w:p>
      <w:pPr>
        <w:jc w:val="center"/>
        <w:ind w:right="6099"/>
        <w:spacing w:after="0"/>
        <w:tabs>
          <w:tab w:leader="none" w:pos="300" w:val="left"/>
        </w:tabs>
        <w:rPr>
          <w:sz w:val="20"/>
          <w:szCs w:val="20"/>
          <w:color w:val="auto"/>
        </w:rPr>
      </w:pPr>
      <w:r>
        <w:rPr>
          <w:rFonts w:ascii="Arial" w:cs="Arial" w:eastAsia="Arial" w:hAnsi="Arial"/>
          <w:sz w:val="16"/>
          <w:szCs w:val="16"/>
          <w:color w:val="auto"/>
        </w:rPr>
        <w:t>SHARES PURCHASED</w:t>
      </w:r>
      <w:r>
        <w:rPr>
          <w:sz w:val="20"/>
          <w:szCs w:val="20"/>
          <w:color w:val="auto"/>
        </w:rPr>
        <w:tab/>
      </w:r>
      <w:r>
        <w:rPr>
          <w:rFonts w:ascii="Arial" w:cs="Arial" w:eastAsia="Arial" w:hAnsi="Arial"/>
          <w:sz w:val="15"/>
          <w:szCs w:val="15"/>
          <w:color w:val="auto"/>
        </w:rPr>
        <w:t>AVERAGE</w:t>
      </w:r>
    </w:p>
    <w:p>
      <w:pPr>
        <w:spacing w:after="0" w:line="11" w:lineRule="exact"/>
        <w:rPr>
          <w:sz w:val="20"/>
          <w:szCs w:val="20"/>
          <w:color w:val="auto"/>
        </w:rPr>
      </w:pPr>
    </w:p>
    <w:p>
      <w:pPr>
        <w:jc w:val="center"/>
        <w:ind w:right="6119"/>
        <w:spacing w:after="0"/>
        <w:tabs>
          <w:tab w:leader="none" w:pos="500" w:val="left"/>
        </w:tabs>
        <w:rPr>
          <w:sz w:val="20"/>
          <w:szCs w:val="20"/>
          <w:color w:val="auto"/>
        </w:rPr>
      </w:pPr>
      <w:r>
        <w:rPr>
          <w:rFonts w:ascii="Arial" w:cs="Arial" w:eastAsia="Arial" w:hAnsi="Arial"/>
          <w:sz w:val="16"/>
          <w:szCs w:val="16"/>
          <w:color w:val="auto"/>
        </w:rPr>
        <w:t>SOLD(-)</w:t>
      </w:r>
      <w:r>
        <w:rPr>
          <w:sz w:val="20"/>
          <w:szCs w:val="20"/>
          <w:color w:val="auto"/>
        </w:rPr>
        <w:tab/>
      </w:r>
      <w:r>
        <w:rPr>
          <w:rFonts w:ascii="Arial" w:cs="Arial" w:eastAsia="Arial" w:hAnsi="Arial"/>
          <w:sz w:val="15"/>
          <w:szCs w:val="15"/>
          <w:color w:val="auto"/>
        </w:rPr>
        <w:t>PRICE(2)</w:t>
      </w:r>
    </w:p>
    <w:p>
      <w:pPr>
        <w:spacing w:after="0" w:line="193" w:lineRule="exact"/>
        <w:rPr>
          <w:sz w:val="20"/>
          <w:szCs w:val="20"/>
          <w:color w:val="auto"/>
        </w:rPr>
      </w:pPr>
    </w:p>
    <w:p>
      <w:pPr>
        <w:sectPr>
          <w:pgSz w:w="11900" w:h="16838" w:orient="portrait"/>
          <w:cols w:equalWidth="0" w:num="2">
            <w:col w:w="1383" w:space="40"/>
            <w:col w:w="8799"/>
          </w:cols>
          <w:pgMar w:left="237" w:top="1222" w:right="1440" w:bottom="1440" w:gutter="0" w:footer="0" w:header="0"/>
          <w:type w:val="continuous"/>
        </w:sectPr>
      </w:pPr>
    </w:p>
    <w:p>
      <w:pPr>
        <w:ind w:left="43"/>
        <w:spacing w:after="0"/>
        <w:rPr>
          <w:sz w:val="20"/>
          <w:szCs w:val="20"/>
          <w:color w:val="auto"/>
        </w:rPr>
      </w:pPr>
      <w:r>
        <w:rPr>
          <w:rFonts w:ascii="Arial" w:cs="Arial" w:eastAsia="Arial" w:hAnsi="Arial"/>
          <w:sz w:val="16"/>
          <w:szCs w:val="16"/>
          <w:color w:val="auto"/>
        </w:rPr>
        <w:t>COMMON STOCK-HAWKINS, INC.</w:t>
      </w:r>
    </w:p>
    <w:p>
      <w:pPr>
        <w:spacing w:after="0" w:line="205" w:lineRule="exact"/>
        <w:rPr>
          <w:sz w:val="20"/>
          <w:szCs w:val="20"/>
          <w:color w:val="auto"/>
        </w:rPr>
      </w:pPr>
    </w:p>
    <w:p>
      <w:pPr>
        <w:ind w:left="403"/>
        <w:spacing w:after="0"/>
        <w:rPr>
          <w:sz w:val="20"/>
          <w:szCs w:val="20"/>
          <w:color w:val="auto"/>
        </w:rPr>
      </w:pPr>
      <w:r>
        <w:rPr>
          <w:rFonts w:ascii="Arial" w:cs="Arial" w:eastAsia="Arial" w:hAnsi="Arial"/>
          <w:sz w:val="16"/>
          <w:szCs w:val="16"/>
          <w:color w:val="auto"/>
        </w:rPr>
        <w:t>GAMCO ASSET MANAGEMENT INC.</w:t>
      </w:r>
    </w:p>
    <w:p>
      <w:pPr>
        <w:spacing w:after="0" w:line="21" w:lineRule="exact"/>
        <w:rPr>
          <w:sz w:val="20"/>
          <w:szCs w:val="20"/>
          <w:color w:val="auto"/>
        </w:rPr>
      </w:pPr>
    </w:p>
    <w:tbl>
      <w:tblPr>
        <w:tblLayout w:type="fixed"/>
        <w:tblInd w:w="923" w:type="dxa"/>
        <w:tblCellMar>
          <w:top w:w="0" w:type="dxa"/>
          <w:left w:w="0" w:type="dxa"/>
          <w:bottom w:w="0" w:type="dxa"/>
          <w:right w:w="0" w:type="dxa"/>
        </w:tblCellMar>
      </w:tblPr>
      <w:tr>
        <w:trPr>
          <w:trHeight w:val="184"/>
        </w:trPr>
        <w:tc>
          <w:tcPr>
            <w:tcW w:w="740" w:type="dxa"/>
            <w:vAlign w:val="bottom"/>
          </w:tcPr>
          <w:p>
            <w:pPr>
              <w:jc w:val="right"/>
              <w:ind w:right="159"/>
              <w:spacing w:after="0"/>
              <w:rPr>
                <w:sz w:val="20"/>
                <w:szCs w:val="20"/>
                <w:color w:val="auto"/>
              </w:rPr>
            </w:pPr>
            <w:r>
              <w:rPr>
                <w:rFonts w:ascii="Arial" w:cs="Arial" w:eastAsia="Arial" w:hAnsi="Arial"/>
                <w:sz w:val="16"/>
                <w:szCs w:val="16"/>
                <w:color w:val="auto"/>
                <w:w w:val="89"/>
              </w:rPr>
              <w:t>3/09/09</w:t>
            </w:r>
          </w:p>
        </w:tc>
        <w:tc>
          <w:tcPr>
            <w:tcW w:w="860" w:type="dxa"/>
            <w:vAlign w:val="bottom"/>
          </w:tcPr>
          <w:p>
            <w:pPr>
              <w:ind w:left="260"/>
              <w:spacing w:after="0"/>
              <w:rPr>
                <w:sz w:val="20"/>
                <w:szCs w:val="20"/>
                <w:color w:val="auto"/>
              </w:rPr>
            </w:pPr>
            <w:r>
              <w:rPr>
                <w:rFonts w:ascii="Arial" w:cs="Arial" w:eastAsia="Arial" w:hAnsi="Arial"/>
                <w:sz w:val="16"/>
                <w:szCs w:val="16"/>
                <w:color w:val="auto"/>
              </w:rPr>
              <w:t>1,500-</w:t>
            </w:r>
          </w:p>
        </w:tc>
        <w:tc>
          <w:tcPr>
            <w:tcW w:w="740" w:type="dxa"/>
            <w:vAlign w:val="bottom"/>
          </w:tcPr>
          <w:p>
            <w:pPr>
              <w:jc w:val="right"/>
              <w:spacing w:after="0"/>
              <w:rPr>
                <w:sz w:val="20"/>
                <w:szCs w:val="20"/>
                <w:color w:val="auto"/>
              </w:rPr>
            </w:pPr>
            <w:r>
              <w:rPr>
                <w:rFonts w:ascii="Arial" w:cs="Arial" w:eastAsia="Arial" w:hAnsi="Arial"/>
                <w:sz w:val="16"/>
                <w:szCs w:val="16"/>
                <w:color w:val="auto"/>
              </w:rPr>
              <w:t>12.8920</w:t>
            </w:r>
          </w:p>
        </w:tc>
      </w:tr>
      <w:tr>
        <w:trPr>
          <w:trHeight w:val="195"/>
        </w:trPr>
        <w:tc>
          <w:tcPr>
            <w:tcW w:w="740" w:type="dxa"/>
            <w:vAlign w:val="bottom"/>
          </w:tcPr>
          <w:p>
            <w:pPr>
              <w:jc w:val="right"/>
              <w:ind w:right="159"/>
              <w:spacing w:after="0"/>
              <w:rPr>
                <w:sz w:val="20"/>
                <w:szCs w:val="20"/>
                <w:color w:val="auto"/>
              </w:rPr>
            </w:pPr>
            <w:r>
              <w:rPr>
                <w:rFonts w:ascii="Arial" w:cs="Arial" w:eastAsia="Arial" w:hAnsi="Arial"/>
                <w:sz w:val="16"/>
                <w:szCs w:val="16"/>
                <w:color w:val="auto"/>
                <w:w w:val="89"/>
              </w:rPr>
              <w:t>2/24/09</w:t>
            </w:r>
          </w:p>
        </w:tc>
        <w:tc>
          <w:tcPr>
            <w:tcW w:w="860" w:type="dxa"/>
            <w:vAlign w:val="bottom"/>
          </w:tcPr>
          <w:p>
            <w:pPr>
              <w:ind w:left="340"/>
              <w:spacing w:after="0"/>
              <w:rPr>
                <w:sz w:val="20"/>
                <w:szCs w:val="20"/>
                <w:color w:val="auto"/>
              </w:rPr>
            </w:pPr>
            <w:r>
              <w:rPr>
                <w:rFonts w:ascii="Arial" w:cs="Arial" w:eastAsia="Arial" w:hAnsi="Arial"/>
                <w:sz w:val="16"/>
                <w:szCs w:val="16"/>
                <w:color w:val="auto"/>
              </w:rPr>
              <w:t>200-</w:t>
            </w:r>
          </w:p>
        </w:tc>
        <w:tc>
          <w:tcPr>
            <w:tcW w:w="740" w:type="dxa"/>
            <w:vAlign w:val="bottom"/>
          </w:tcPr>
          <w:p>
            <w:pPr>
              <w:jc w:val="right"/>
              <w:spacing w:after="0"/>
              <w:rPr>
                <w:sz w:val="20"/>
                <w:szCs w:val="20"/>
                <w:color w:val="auto"/>
              </w:rPr>
            </w:pPr>
            <w:r>
              <w:rPr>
                <w:rFonts w:ascii="Arial" w:cs="Arial" w:eastAsia="Arial" w:hAnsi="Arial"/>
                <w:sz w:val="16"/>
                <w:szCs w:val="16"/>
                <w:color w:val="auto"/>
              </w:rPr>
              <w:t>13.2000</w:t>
            </w:r>
          </w:p>
        </w:tc>
      </w:tr>
      <w:tr>
        <w:trPr>
          <w:trHeight w:val="195"/>
        </w:trPr>
        <w:tc>
          <w:tcPr>
            <w:tcW w:w="740" w:type="dxa"/>
            <w:vAlign w:val="bottom"/>
          </w:tcPr>
          <w:p>
            <w:pPr>
              <w:jc w:val="right"/>
              <w:ind w:right="159"/>
              <w:spacing w:after="0"/>
              <w:rPr>
                <w:sz w:val="20"/>
                <w:szCs w:val="20"/>
                <w:color w:val="auto"/>
              </w:rPr>
            </w:pPr>
            <w:r>
              <w:rPr>
                <w:rFonts w:ascii="Arial" w:cs="Arial" w:eastAsia="Arial" w:hAnsi="Arial"/>
                <w:sz w:val="16"/>
                <w:szCs w:val="16"/>
                <w:color w:val="auto"/>
                <w:w w:val="89"/>
              </w:rPr>
              <w:t>2/23/09</w:t>
            </w:r>
          </w:p>
        </w:tc>
        <w:tc>
          <w:tcPr>
            <w:tcW w:w="860" w:type="dxa"/>
            <w:vAlign w:val="bottom"/>
          </w:tcPr>
          <w:p>
            <w:pPr>
              <w:ind w:left="340"/>
              <w:spacing w:after="0"/>
              <w:rPr>
                <w:sz w:val="20"/>
                <w:szCs w:val="20"/>
                <w:color w:val="auto"/>
              </w:rPr>
            </w:pPr>
            <w:r>
              <w:rPr>
                <w:rFonts w:ascii="Arial" w:cs="Arial" w:eastAsia="Arial" w:hAnsi="Arial"/>
                <w:sz w:val="16"/>
                <w:szCs w:val="16"/>
                <w:color w:val="auto"/>
              </w:rPr>
              <w:t>800-</w:t>
            </w:r>
          </w:p>
        </w:tc>
        <w:tc>
          <w:tcPr>
            <w:tcW w:w="740" w:type="dxa"/>
            <w:vAlign w:val="bottom"/>
          </w:tcPr>
          <w:p>
            <w:pPr>
              <w:jc w:val="right"/>
              <w:spacing w:after="0"/>
              <w:rPr>
                <w:sz w:val="20"/>
                <w:szCs w:val="20"/>
                <w:color w:val="auto"/>
              </w:rPr>
            </w:pPr>
            <w:r>
              <w:rPr>
                <w:rFonts w:ascii="Arial" w:cs="Arial" w:eastAsia="Arial" w:hAnsi="Arial"/>
                <w:sz w:val="16"/>
                <w:szCs w:val="16"/>
                <w:color w:val="auto"/>
              </w:rPr>
              <w:t>14.3125</w:t>
            </w:r>
          </w:p>
        </w:tc>
      </w:tr>
      <w:tr>
        <w:trPr>
          <w:trHeight w:val="195"/>
        </w:trPr>
        <w:tc>
          <w:tcPr>
            <w:tcW w:w="740" w:type="dxa"/>
            <w:vAlign w:val="bottom"/>
          </w:tcPr>
          <w:p>
            <w:pPr>
              <w:jc w:val="right"/>
              <w:ind w:right="159"/>
              <w:spacing w:after="0"/>
              <w:rPr>
                <w:sz w:val="20"/>
                <w:szCs w:val="20"/>
                <w:color w:val="auto"/>
              </w:rPr>
            </w:pPr>
            <w:r>
              <w:rPr>
                <w:rFonts w:ascii="Arial" w:cs="Arial" w:eastAsia="Arial" w:hAnsi="Arial"/>
                <w:sz w:val="16"/>
                <w:szCs w:val="16"/>
                <w:color w:val="auto"/>
                <w:w w:val="89"/>
              </w:rPr>
              <w:t>2/19/09</w:t>
            </w:r>
          </w:p>
        </w:tc>
        <w:tc>
          <w:tcPr>
            <w:tcW w:w="860" w:type="dxa"/>
            <w:vAlign w:val="bottom"/>
          </w:tcPr>
          <w:p>
            <w:pPr>
              <w:ind w:left="340"/>
              <w:spacing w:after="0"/>
              <w:rPr>
                <w:sz w:val="20"/>
                <w:szCs w:val="20"/>
                <w:color w:val="auto"/>
              </w:rPr>
            </w:pPr>
            <w:r>
              <w:rPr>
                <w:rFonts w:ascii="Arial" w:cs="Arial" w:eastAsia="Arial" w:hAnsi="Arial"/>
                <w:sz w:val="16"/>
                <w:szCs w:val="16"/>
                <w:color w:val="auto"/>
              </w:rPr>
              <w:t>500-</w:t>
            </w:r>
          </w:p>
        </w:tc>
        <w:tc>
          <w:tcPr>
            <w:tcW w:w="740" w:type="dxa"/>
            <w:vAlign w:val="bottom"/>
          </w:tcPr>
          <w:p>
            <w:pPr>
              <w:jc w:val="right"/>
              <w:spacing w:after="0"/>
              <w:rPr>
                <w:sz w:val="20"/>
                <w:szCs w:val="20"/>
                <w:color w:val="auto"/>
              </w:rPr>
            </w:pPr>
            <w:r>
              <w:rPr>
                <w:rFonts w:ascii="Arial" w:cs="Arial" w:eastAsia="Arial" w:hAnsi="Arial"/>
                <w:sz w:val="16"/>
                <w:szCs w:val="16"/>
                <w:color w:val="auto"/>
              </w:rPr>
              <w:t>14.8430</w:t>
            </w:r>
          </w:p>
        </w:tc>
      </w:tr>
      <w:tr>
        <w:trPr>
          <w:trHeight w:val="195"/>
        </w:trPr>
        <w:tc>
          <w:tcPr>
            <w:tcW w:w="740" w:type="dxa"/>
            <w:vAlign w:val="bottom"/>
          </w:tcPr>
          <w:p>
            <w:pPr>
              <w:jc w:val="right"/>
              <w:ind w:right="159"/>
              <w:spacing w:after="0"/>
              <w:rPr>
                <w:sz w:val="20"/>
                <w:szCs w:val="20"/>
                <w:color w:val="auto"/>
              </w:rPr>
            </w:pPr>
            <w:r>
              <w:rPr>
                <w:rFonts w:ascii="Arial" w:cs="Arial" w:eastAsia="Arial" w:hAnsi="Arial"/>
                <w:sz w:val="16"/>
                <w:szCs w:val="16"/>
                <w:color w:val="auto"/>
                <w:w w:val="89"/>
              </w:rPr>
              <w:t>2/17/09</w:t>
            </w:r>
          </w:p>
        </w:tc>
        <w:tc>
          <w:tcPr>
            <w:tcW w:w="860" w:type="dxa"/>
            <w:vAlign w:val="bottom"/>
          </w:tcPr>
          <w:p>
            <w:pPr>
              <w:ind w:left="340"/>
              <w:spacing w:after="0"/>
              <w:rPr>
                <w:sz w:val="20"/>
                <w:szCs w:val="20"/>
                <w:color w:val="auto"/>
              </w:rPr>
            </w:pPr>
            <w:r>
              <w:rPr>
                <w:rFonts w:ascii="Arial" w:cs="Arial" w:eastAsia="Arial" w:hAnsi="Arial"/>
                <w:sz w:val="16"/>
                <w:szCs w:val="16"/>
                <w:color w:val="auto"/>
              </w:rPr>
              <w:t>600-</w:t>
            </w:r>
          </w:p>
        </w:tc>
        <w:tc>
          <w:tcPr>
            <w:tcW w:w="740" w:type="dxa"/>
            <w:vAlign w:val="bottom"/>
          </w:tcPr>
          <w:p>
            <w:pPr>
              <w:jc w:val="right"/>
              <w:spacing w:after="0"/>
              <w:rPr>
                <w:sz w:val="20"/>
                <w:szCs w:val="20"/>
                <w:color w:val="auto"/>
              </w:rPr>
            </w:pPr>
            <w:r>
              <w:rPr>
                <w:rFonts w:ascii="Arial" w:cs="Arial" w:eastAsia="Arial" w:hAnsi="Arial"/>
                <w:sz w:val="16"/>
                <w:szCs w:val="16"/>
                <w:color w:val="auto"/>
              </w:rPr>
              <w:t>16.0600</w:t>
            </w:r>
          </w:p>
        </w:tc>
      </w:tr>
      <w:tr>
        <w:trPr>
          <w:trHeight w:val="195"/>
        </w:trPr>
        <w:tc>
          <w:tcPr>
            <w:tcW w:w="740" w:type="dxa"/>
            <w:vAlign w:val="bottom"/>
          </w:tcPr>
          <w:p>
            <w:pPr>
              <w:jc w:val="right"/>
              <w:ind w:right="159"/>
              <w:spacing w:after="0"/>
              <w:rPr>
                <w:sz w:val="20"/>
                <w:szCs w:val="20"/>
                <w:color w:val="auto"/>
              </w:rPr>
            </w:pPr>
            <w:r>
              <w:rPr>
                <w:rFonts w:ascii="Arial" w:cs="Arial" w:eastAsia="Arial" w:hAnsi="Arial"/>
                <w:sz w:val="16"/>
                <w:szCs w:val="16"/>
                <w:color w:val="auto"/>
                <w:w w:val="89"/>
              </w:rPr>
              <w:t>2/09/09</w:t>
            </w:r>
          </w:p>
        </w:tc>
        <w:tc>
          <w:tcPr>
            <w:tcW w:w="860" w:type="dxa"/>
            <w:vAlign w:val="bottom"/>
          </w:tcPr>
          <w:p>
            <w:pPr>
              <w:ind w:left="340"/>
              <w:spacing w:after="0"/>
              <w:rPr>
                <w:sz w:val="20"/>
                <w:szCs w:val="20"/>
                <w:color w:val="auto"/>
              </w:rPr>
            </w:pPr>
            <w:r>
              <w:rPr>
                <w:rFonts w:ascii="Arial" w:cs="Arial" w:eastAsia="Arial" w:hAnsi="Arial"/>
                <w:sz w:val="16"/>
                <w:szCs w:val="16"/>
                <w:color w:val="auto"/>
              </w:rPr>
              <w:t>200</w:t>
            </w:r>
          </w:p>
        </w:tc>
        <w:tc>
          <w:tcPr>
            <w:tcW w:w="740" w:type="dxa"/>
            <w:vAlign w:val="bottom"/>
          </w:tcPr>
          <w:p>
            <w:pPr>
              <w:jc w:val="right"/>
              <w:spacing w:after="0"/>
              <w:rPr>
                <w:sz w:val="20"/>
                <w:szCs w:val="20"/>
                <w:color w:val="auto"/>
              </w:rPr>
            </w:pPr>
            <w:r>
              <w:rPr>
                <w:rFonts w:ascii="Arial" w:cs="Arial" w:eastAsia="Arial" w:hAnsi="Arial"/>
                <w:sz w:val="16"/>
                <w:szCs w:val="16"/>
                <w:color w:val="auto"/>
              </w:rPr>
              <w:t>14.8200</w:t>
            </w:r>
          </w:p>
        </w:tc>
      </w:tr>
      <w:tr>
        <w:trPr>
          <w:trHeight w:val="195"/>
        </w:trPr>
        <w:tc>
          <w:tcPr>
            <w:tcW w:w="740" w:type="dxa"/>
            <w:vAlign w:val="bottom"/>
          </w:tcPr>
          <w:p>
            <w:pPr>
              <w:jc w:val="right"/>
              <w:ind w:right="159"/>
              <w:spacing w:after="0"/>
              <w:rPr>
                <w:sz w:val="20"/>
                <w:szCs w:val="20"/>
                <w:color w:val="auto"/>
              </w:rPr>
            </w:pPr>
            <w:r>
              <w:rPr>
                <w:rFonts w:ascii="Arial" w:cs="Arial" w:eastAsia="Arial" w:hAnsi="Arial"/>
                <w:sz w:val="16"/>
                <w:szCs w:val="16"/>
                <w:color w:val="auto"/>
                <w:w w:val="89"/>
              </w:rPr>
              <w:t>2/06/09</w:t>
            </w:r>
          </w:p>
        </w:tc>
        <w:tc>
          <w:tcPr>
            <w:tcW w:w="860" w:type="dxa"/>
            <w:vAlign w:val="bottom"/>
          </w:tcPr>
          <w:p>
            <w:pPr>
              <w:ind w:left="260"/>
              <w:spacing w:after="0"/>
              <w:rPr>
                <w:sz w:val="20"/>
                <w:szCs w:val="20"/>
                <w:color w:val="auto"/>
              </w:rPr>
            </w:pPr>
            <w:r>
              <w:rPr>
                <w:rFonts w:ascii="Arial" w:cs="Arial" w:eastAsia="Arial" w:hAnsi="Arial"/>
                <w:sz w:val="16"/>
                <w:szCs w:val="16"/>
                <w:color w:val="auto"/>
              </w:rPr>
              <w:t>4,000</w:t>
            </w:r>
          </w:p>
        </w:tc>
        <w:tc>
          <w:tcPr>
            <w:tcW w:w="740" w:type="dxa"/>
            <w:vAlign w:val="bottom"/>
          </w:tcPr>
          <w:p>
            <w:pPr>
              <w:jc w:val="right"/>
              <w:spacing w:after="0"/>
              <w:rPr>
                <w:sz w:val="20"/>
                <w:szCs w:val="20"/>
                <w:color w:val="auto"/>
              </w:rPr>
            </w:pPr>
            <w:r>
              <w:rPr>
                <w:rFonts w:ascii="Arial" w:cs="Arial" w:eastAsia="Arial" w:hAnsi="Arial"/>
                <w:sz w:val="16"/>
                <w:szCs w:val="16"/>
                <w:color w:val="auto"/>
              </w:rPr>
              <w:t>14.8735</w:t>
            </w:r>
          </w:p>
        </w:tc>
      </w:tr>
      <w:tr>
        <w:trPr>
          <w:trHeight w:val="206"/>
        </w:trPr>
        <w:tc>
          <w:tcPr>
            <w:tcW w:w="740" w:type="dxa"/>
            <w:vAlign w:val="bottom"/>
          </w:tcPr>
          <w:p>
            <w:pPr>
              <w:jc w:val="right"/>
              <w:ind w:right="159"/>
              <w:spacing w:after="0"/>
              <w:rPr>
                <w:sz w:val="20"/>
                <w:szCs w:val="20"/>
                <w:color w:val="auto"/>
              </w:rPr>
            </w:pPr>
            <w:r>
              <w:rPr>
                <w:rFonts w:ascii="Arial" w:cs="Arial" w:eastAsia="Arial" w:hAnsi="Arial"/>
                <w:sz w:val="16"/>
                <w:szCs w:val="16"/>
                <w:color w:val="auto"/>
                <w:w w:val="89"/>
              </w:rPr>
              <w:t>1/16/09</w:t>
            </w:r>
          </w:p>
        </w:tc>
        <w:tc>
          <w:tcPr>
            <w:tcW w:w="860" w:type="dxa"/>
            <w:vAlign w:val="bottom"/>
          </w:tcPr>
          <w:p>
            <w:pPr>
              <w:ind w:left="340"/>
              <w:spacing w:after="0"/>
              <w:rPr>
                <w:sz w:val="20"/>
                <w:szCs w:val="20"/>
                <w:color w:val="auto"/>
              </w:rPr>
            </w:pPr>
            <w:r>
              <w:rPr>
                <w:rFonts w:ascii="Arial" w:cs="Arial" w:eastAsia="Arial" w:hAnsi="Arial"/>
                <w:sz w:val="16"/>
                <w:szCs w:val="16"/>
                <w:color w:val="auto"/>
              </w:rPr>
              <w:t>300-</w:t>
            </w:r>
          </w:p>
        </w:tc>
        <w:tc>
          <w:tcPr>
            <w:tcW w:w="740" w:type="dxa"/>
            <w:vAlign w:val="bottom"/>
          </w:tcPr>
          <w:p>
            <w:pPr>
              <w:jc w:val="right"/>
              <w:spacing w:after="0"/>
              <w:rPr>
                <w:sz w:val="20"/>
                <w:szCs w:val="20"/>
                <w:color w:val="auto"/>
              </w:rPr>
            </w:pPr>
            <w:r>
              <w:rPr>
                <w:rFonts w:ascii="Arial" w:cs="Arial" w:eastAsia="Arial" w:hAnsi="Arial"/>
                <w:sz w:val="16"/>
                <w:szCs w:val="16"/>
                <w:color w:val="auto"/>
              </w:rPr>
              <w:t>15.3067</w:t>
            </w:r>
          </w:p>
        </w:tc>
      </w:tr>
    </w:tbl>
    <w:p>
      <w:pPr>
        <w:spacing w:after="0" w:line="183" w:lineRule="exact"/>
        <w:rPr>
          <w:sz w:val="20"/>
          <w:szCs w:val="20"/>
          <w:color w:val="auto"/>
        </w:rPr>
      </w:pPr>
    </w:p>
    <w:p>
      <w:pPr>
        <w:ind w:left="163" w:right="4499" w:hanging="163"/>
        <w:spacing w:after="0" w:line="283" w:lineRule="auto"/>
        <w:tabs>
          <w:tab w:leader="none" w:pos="23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UNLESS OTHERWISE INDICATED, ALL TRANSACTIONS WERE EFFECTED ON THE NASDAQ GLOBAL MARKET.</w:t>
      </w:r>
    </w:p>
    <w:p>
      <w:pPr>
        <w:spacing w:after="0" w:line="149" w:lineRule="exact"/>
        <w:rPr>
          <w:rFonts w:ascii="Arial" w:cs="Arial" w:eastAsia="Arial" w:hAnsi="Arial"/>
          <w:sz w:val="16"/>
          <w:szCs w:val="16"/>
          <w:color w:val="auto"/>
        </w:rPr>
      </w:pPr>
    </w:p>
    <w:p>
      <w:pPr>
        <w:ind w:left="223" w:hanging="223"/>
        <w:spacing w:after="0"/>
        <w:tabs>
          <w:tab w:leader="none" w:pos="223"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PRICE EXCLUDES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5035"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22"/>
          </w:cols>
          <w:pgMar w:left="237" w:top="1222" w:right="1440" w:bottom="1440" w:gutter="0" w:footer="0" w:header="0"/>
          <w:type w:val="continuous"/>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bullet"/>
      <w:start w:val="1"/>
    </w:lvl>
  </w:abstractNum>
  <w:abstractNum w:abstractNumId="1">
    <w:nsid w:val="6CEAF087"/>
    <w:multiLevelType w:val="hybridMultilevel"/>
    <w:lvl w:ilvl="0">
      <w:lvlJc w:val="left"/>
      <w:lvlText w:val="2"/>
      <w:numFmt w:val="bullet"/>
      <w:start w:val="1"/>
    </w:lvl>
  </w:abstractNum>
  <w:abstractNum w:abstractNumId="2">
    <w:nsid w:val="22221A70"/>
    <w:multiLevelType w:val="hybridMultilevel"/>
    <w:lvl w:ilvl="0">
      <w:lvlJc w:val="left"/>
      <w:lvlText w:val="3"/>
      <w:numFmt w:val="bullet"/>
      <w:start w:val="1"/>
    </w:lvl>
  </w:abstractNum>
  <w:abstractNum w:abstractNumId="3">
    <w:nsid w:val="4516DDE9"/>
    <w:multiLevelType w:val="hybridMultilevel"/>
    <w:lvl w:ilvl="0">
      <w:lvlJc w:val="left"/>
      <w:lvlText w:val="4"/>
      <w:numFmt w:val="bullet"/>
      <w:start w:val="1"/>
    </w:lvl>
  </w:abstractNum>
  <w:abstractNum w:abstractNumId="4">
    <w:nsid w:val="3006C83E"/>
    <w:multiLevelType w:val="hybridMultilevel"/>
    <w:lvl w:ilvl="0">
      <w:lvlJc w:val="left"/>
      <w:lvlText w:val="5"/>
      <w:numFmt w:val="bullet"/>
      <w:start w:val="1"/>
    </w:lvl>
  </w:abstractNum>
  <w:abstractNum w:abstractNumId="5">
    <w:nsid w:val="614FD4A1"/>
    <w:multiLevelType w:val="hybridMultilevel"/>
    <w:lvl w:ilvl="0">
      <w:lvlJc w:val="left"/>
      <w:lvlText w:val="6"/>
      <w:numFmt w:val="bullet"/>
      <w:start w:val="1"/>
    </w:lvl>
  </w:abstractNum>
  <w:abstractNum w:abstractNumId="6">
    <w:nsid w:val="419AC241"/>
    <w:multiLevelType w:val="hybridMultilevel"/>
    <w:lvl w:ilvl="0">
      <w:lvlJc w:val="left"/>
      <w:lvlText w:val="%1"/>
      <w:numFmt w:val="decimal"/>
      <w:start w:val="11"/>
    </w:lvl>
  </w:abstractNum>
  <w:abstractNum w:abstractNumId="7">
    <w:nsid w:val="5577F8E1"/>
    <w:multiLevelType w:val="hybridMultilevel"/>
    <w:lvl w:ilvl="0">
      <w:lvlJc w:val="left"/>
      <w:lvlText w:val="%1"/>
      <w:numFmt w:val="decimal"/>
      <w:start w:val="12"/>
    </w:lvl>
  </w:abstractNum>
  <w:abstractNum w:abstractNumId="8">
    <w:nsid w:val="440BADFC"/>
    <w:multiLevelType w:val="hybridMultilevel"/>
    <w:lvl w:ilvl="0">
      <w:lvlJc w:val="left"/>
      <w:lvlText w:val="%1"/>
      <w:numFmt w:val="decimal"/>
      <w:start w:val="13"/>
    </w:lvl>
  </w:abstractNum>
  <w:abstractNum w:abstractNumId="9">
    <w:nsid w:val="5072367"/>
    <w:multiLevelType w:val="hybridMultilevel"/>
    <w:lvl w:ilvl="0">
      <w:lvlJc w:val="left"/>
      <w:lvlText w:val="%1"/>
      <w:numFmt w:val="decimal"/>
      <w:start w:val="14"/>
    </w:lvl>
  </w:abstractNum>
  <w:abstractNum w:abstractNumId="10">
    <w:nsid w:val="3804823E"/>
    <w:multiLevelType w:val="hybridMultilevel"/>
    <w:lvl w:ilvl="0">
      <w:lvlJc w:val="left"/>
      <w:lvlText w:val="1"/>
      <w:numFmt w:val="bullet"/>
      <w:start w:val="1"/>
    </w:lvl>
  </w:abstractNum>
  <w:abstractNum w:abstractNumId="11">
    <w:nsid w:val="77465F01"/>
    <w:multiLevelType w:val="hybridMultilevel"/>
    <w:lvl w:ilvl="0">
      <w:lvlJc w:val="left"/>
      <w:lvlText w:val="2"/>
      <w:numFmt w:val="bullet"/>
      <w:start w:val="1"/>
    </w:lvl>
  </w:abstractNum>
  <w:abstractNum w:abstractNumId="12">
    <w:nsid w:val="7724C67E"/>
    <w:multiLevelType w:val="hybridMultilevel"/>
    <w:lvl w:ilvl="0">
      <w:lvlJc w:val="left"/>
      <w:lvlText w:val="3"/>
      <w:numFmt w:val="bullet"/>
      <w:start w:val="1"/>
    </w:lvl>
  </w:abstractNum>
  <w:abstractNum w:abstractNumId="13">
    <w:nsid w:val="5C482A97"/>
    <w:multiLevelType w:val="hybridMultilevel"/>
    <w:lvl w:ilvl="0">
      <w:lvlJc w:val="left"/>
      <w:lvlText w:val="4"/>
      <w:numFmt w:val="bullet"/>
      <w:start w:val="1"/>
    </w:lvl>
  </w:abstractNum>
  <w:abstractNum w:abstractNumId="14">
    <w:nsid w:val="2463B9EA"/>
    <w:multiLevelType w:val="hybridMultilevel"/>
    <w:lvl w:ilvl="0">
      <w:lvlJc w:val="left"/>
      <w:lvlText w:val="5"/>
      <w:numFmt w:val="bullet"/>
      <w:start w:val="1"/>
    </w:lvl>
  </w:abstractNum>
  <w:abstractNum w:abstractNumId="15">
    <w:nsid w:val="5E884ADC"/>
    <w:multiLevelType w:val="hybridMultilevel"/>
    <w:lvl w:ilvl="0">
      <w:lvlJc w:val="left"/>
      <w:lvlText w:val="6"/>
      <w:numFmt w:val="bullet"/>
      <w:start w:val="1"/>
    </w:lvl>
  </w:abstractNum>
  <w:abstractNum w:abstractNumId="16">
    <w:nsid w:val="51EAD36B"/>
    <w:multiLevelType w:val="hybridMultilevel"/>
    <w:lvl w:ilvl="0">
      <w:lvlJc w:val="left"/>
      <w:lvlText w:val="%1"/>
      <w:numFmt w:val="decimal"/>
      <w:start w:val="11"/>
    </w:lvl>
  </w:abstractNum>
  <w:abstractNum w:abstractNumId="17">
    <w:nsid w:val="2D517796"/>
    <w:multiLevelType w:val="hybridMultilevel"/>
    <w:lvl w:ilvl="0">
      <w:lvlJc w:val="left"/>
      <w:lvlText w:val="%1"/>
      <w:numFmt w:val="decimal"/>
      <w:start w:val="12"/>
    </w:lvl>
  </w:abstractNum>
  <w:abstractNum w:abstractNumId="18">
    <w:nsid w:val="580BD78F"/>
    <w:multiLevelType w:val="hybridMultilevel"/>
    <w:lvl w:ilvl="0">
      <w:lvlJc w:val="left"/>
      <w:lvlText w:val="%1"/>
      <w:numFmt w:val="decimal"/>
      <w:start w:val="13"/>
    </w:lvl>
  </w:abstractNum>
  <w:abstractNum w:abstractNumId="19">
    <w:nsid w:val="153EA438"/>
    <w:multiLevelType w:val="hybridMultilevel"/>
    <w:lvl w:ilvl="0">
      <w:lvlJc w:val="left"/>
      <w:lvlText w:val="%1"/>
      <w:numFmt w:val="decimal"/>
      <w:start w:val="14"/>
    </w:lvl>
  </w:abstractNum>
  <w:abstractNum w:abstractNumId="20">
    <w:nsid w:val="3855585C"/>
    <w:multiLevelType w:val="hybridMultilevel"/>
    <w:lvl w:ilvl="0">
      <w:lvlJc w:val="left"/>
      <w:lvlText w:val="1"/>
      <w:numFmt w:val="bullet"/>
      <w:start w:val="1"/>
    </w:lvl>
  </w:abstractNum>
  <w:abstractNum w:abstractNumId="21">
    <w:nsid w:val="70A64E2A"/>
    <w:multiLevelType w:val="hybridMultilevel"/>
    <w:lvl w:ilvl="0">
      <w:lvlJc w:val="left"/>
      <w:lvlText w:val="2"/>
      <w:numFmt w:val="bullet"/>
      <w:start w:val="1"/>
    </w:lvl>
  </w:abstractNum>
  <w:abstractNum w:abstractNumId="22">
    <w:nsid w:val="6A2342EC"/>
    <w:multiLevelType w:val="hybridMultilevel"/>
    <w:lvl w:ilvl="0">
      <w:lvlJc w:val="left"/>
      <w:lvlText w:val="3"/>
      <w:numFmt w:val="bullet"/>
      <w:start w:val="1"/>
    </w:lvl>
  </w:abstractNum>
  <w:abstractNum w:abstractNumId="23">
    <w:nsid w:val="2A487CB0"/>
    <w:multiLevelType w:val="hybridMultilevel"/>
    <w:lvl w:ilvl="0">
      <w:lvlJc w:val="left"/>
      <w:lvlText w:val="4"/>
      <w:numFmt w:val="bullet"/>
      <w:start w:val="1"/>
    </w:lvl>
  </w:abstractNum>
  <w:abstractNum w:abstractNumId="24">
    <w:nsid w:val="1D4ED43B"/>
    <w:multiLevelType w:val="hybridMultilevel"/>
    <w:lvl w:ilvl="0">
      <w:lvlJc w:val="left"/>
      <w:lvlText w:val="5"/>
      <w:numFmt w:val="bullet"/>
      <w:start w:val="1"/>
    </w:lvl>
  </w:abstractNum>
  <w:abstractNum w:abstractNumId="25">
    <w:nsid w:val="725A06FB"/>
    <w:multiLevelType w:val="hybridMultilevel"/>
    <w:lvl w:ilvl="0">
      <w:lvlJc w:val="left"/>
      <w:lvlText w:val="6"/>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1"/>
      <w:numFmt w:val="decimal"/>
      <w:start w:val="11"/>
    </w:lvl>
  </w:abstractNum>
  <w:abstractNum w:abstractNumId="29">
    <w:nsid w:val="4B588F54"/>
    <w:multiLevelType w:val="hybridMultilevel"/>
    <w:lvl w:ilvl="0">
      <w:lvlJc w:val="left"/>
      <w:lvlText w:val="%1"/>
      <w:numFmt w:val="decimal"/>
      <w:start w:val="12"/>
    </w:lvl>
  </w:abstractNum>
  <w:abstractNum w:abstractNumId="30">
    <w:nsid w:val="542289EC"/>
    <w:multiLevelType w:val="hybridMultilevel"/>
    <w:lvl w:ilvl="0">
      <w:lvlJc w:val="left"/>
      <w:lvlText w:val="%1"/>
      <w:numFmt w:val="decimal"/>
      <w:start w:val="13"/>
    </w:lvl>
  </w:abstractNum>
  <w:abstractNum w:abstractNumId="31">
    <w:nsid w:val="6DE91B18"/>
    <w:multiLevelType w:val="hybridMultilevel"/>
    <w:lvl w:ilvl="0">
      <w:lvlJc w:val="left"/>
      <w:lvlText w:val="%1"/>
      <w:numFmt w:val="decimal"/>
      <w:start w:val="14"/>
    </w:lvl>
  </w:abstractNum>
  <w:abstractNum w:abstractNumId="32">
    <w:nsid w:val="38437FDB"/>
    <w:multiLevelType w:val="hybridMultilevel"/>
    <w:lvl w:ilvl="0">
      <w:lvlJc w:val="left"/>
      <w:lvlText w:val="1"/>
      <w:numFmt w:val="bullet"/>
      <w:start w:val="1"/>
    </w:lvl>
  </w:abstractNum>
  <w:abstractNum w:abstractNumId="33">
    <w:nsid w:val="7644A45C"/>
    <w:multiLevelType w:val="hybridMultilevel"/>
    <w:lvl w:ilvl="0">
      <w:lvlJc w:val="left"/>
      <w:lvlText w:val="2"/>
      <w:numFmt w:val="bullet"/>
      <w:start w:val="1"/>
    </w:lvl>
  </w:abstractNum>
  <w:abstractNum w:abstractNumId="34">
    <w:nsid w:val="32FFF902"/>
    <w:multiLevelType w:val="hybridMultilevel"/>
    <w:lvl w:ilvl="0">
      <w:lvlJc w:val="left"/>
      <w:lvlText w:val="3"/>
      <w:numFmt w:val="bullet"/>
      <w:start w:val="1"/>
    </w:lvl>
  </w:abstractNum>
  <w:abstractNum w:abstractNumId="35">
    <w:nsid w:val="684A481A"/>
    <w:multiLevelType w:val="hybridMultilevel"/>
    <w:lvl w:ilvl="0">
      <w:lvlJc w:val="left"/>
      <w:lvlText w:val="4"/>
      <w:numFmt w:val="bullet"/>
      <w:start w:val="1"/>
    </w:lvl>
  </w:abstractNum>
  <w:abstractNum w:abstractNumId="36">
    <w:nsid w:val="579478FE"/>
    <w:multiLevelType w:val="hybridMultilevel"/>
    <w:lvl w:ilvl="0">
      <w:lvlJc w:val="left"/>
      <w:lvlText w:val="5"/>
      <w:numFmt w:val="bullet"/>
      <w:start w:val="1"/>
    </w:lvl>
  </w:abstractNum>
  <w:abstractNum w:abstractNumId="37">
    <w:nsid w:val="749ABB43"/>
    <w:multiLevelType w:val="hybridMultilevel"/>
    <w:lvl w:ilvl="0">
      <w:lvlJc w:val="left"/>
      <w:lvlText w:val="6"/>
      <w:numFmt w:val="bullet"/>
      <w:start w:val="1"/>
    </w:lvl>
  </w:abstractNum>
  <w:abstractNum w:abstractNumId="38">
    <w:nsid w:val="3DC240FB"/>
    <w:multiLevelType w:val="hybridMultilevel"/>
    <w:lvl w:ilvl="0">
      <w:lvlJc w:val="left"/>
      <w:lvlText w:val="%1"/>
      <w:numFmt w:val="decimal"/>
      <w:start w:val="11"/>
    </w:lvl>
  </w:abstractNum>
  <w:abstractNum w:abstractNumId="39">
    <w:nsid w:val="1BA026FA"/>
    <w:multiLevelType w:val="hybridMultilevel"/>
    <w:lvl w:ilvl="0">
      <w:lvlJc w:val="left"/>
      <w:lvlText w:val="%1"/>
      <w:numFmt w:val="decimal"/>
      <w:start w:val="13"/>
    </w:lvl>
  </w:abstractNum>
  <w:abstractNum w:abstractNumId="40">
    <w:nsid w:val="79A1DEAA"/>
    <w:multiLevelType w:val="hybridMultilevel"/>
    <w:lvl w:ilvl="0">
      <w:lvlJc w:val="left"/>
      <w:lvlText w:val="%1"/>
      <w:numFmt w:val="decimal"/>
      <w:start w:val="14"/>
    </w:lvl>
  </w:abstractNum>
  <w:abstractNum w:abstractNumId="41">
    <w:nsid w:val="75C6C33A"/>
    <w:multiLevelType w:val="hybridMultilevel"/>
    <w:lvl w:ilvl="0">
      <w:lvlJc w:val="left"/>
      <w:lvlText w:val="3"/>
      <w:numFmt w:val="bullet"/>
      <w:start w:val="1"/>
    </w:lvl>
  </w:abstractNum>
  <w:abstractNum w:abstractNumId="42">
    <w:nsid w:val="12E685FB"/>
    <w:multiLevelType w:val="hybridMultilevel"/>
    <w:lvl w:ilvl="0">
      <w:lvlJc w:val="left"/>
      <w:lvlText w:val="4"/>
      <w:numFmt w:val="bullet"/>
      <w:start w:val="1"/>
    </w:lvl>
  </w:abstractNum>
  <w:abstractNum w:abstractNumId="43">
    <w:nsid w:val="70C6A529"/>
    <w:multiLevelType w:val="hybridMultilevel"/>
    <w:lvl w:ilvl="0">
      <w:lvlJc w:val="left"/>
      <w:lvlText w:val="5"/>
      <w:numFmt w:val="bullet"/>
      <w:start w:val="1"/>
    </w:lvl>
  </w:abstractNum>
  <w:abstractNum w:abstractNumId="44">
    <w:nsid w:val="520EEDD1"/>
    <w:multiLevelType w:val="hybridMultilevel"/>
    <w:lvl w:ilvl="0">
      <w:lvlJc w:val="left"/>
      <w:lvlText w:val="6"/>
      <w:numFmt w:val="bullet"/>
      <w:start w:val="1"/>
    </w:lvl>
  </w:abstractNum>
  <w:abstractNum w:abstractNumId="45">
    <w:nsid w:val="374A3FE6"/>
    <w:multiLevelType w:val="hybridMultilevel"/>
    <w:lvl w:ilvl="0">
      <w:lvlJc w:val="left"/>
      <w:lvlText w:val="%1"/>
      <w:numFmt w:val="decimal"/>
      <w:start w:val="11"/>
    </w:lvl>
  </w:abstractNum>
  <w:abstractNum w:abstractNumId="46">
    <w:nsid w:val="4F4EF005"/>
    <w:multiLevelType w:val="hybridMultilevel"/>
    <w:lvl w:ilvl="0">
      <w:lvlJc w:val="left"/>
      <w:lvlText w:val="%1"/>
      <w:numFmt w:val="decimal"/>
      <w:start w:val="13"/>
    </w:lvl>
  </w:abstractNum>
  <w:abstractNum w:abstractNumId="47">
    <w:nsid w:val="23F9C13C"/>
    <w:multiLevelType w:val="hybridMultilevel"/>
    <w:lvl w:ilvl="0">
      <w:lvlJc w:val="left"/>
      <w:lvlText w:val="%1"/>
      <w:numFmt w:val="decimal"/>
      <w:start w:val="14"/>
    </w:lvl>
  </w:abstractNum>
  <w:abstractNum w:abstractNumId="48">
    <w:nsid w:val="649BB77C"/>
    <w:multiLevelType w:val="hybridMultilevel"/>
    <w:lvl w:ilvl="0">
      <w:lvlJc w:val="left"/>
      <w:lvlText w:val="1"/>
      <w:numFmt w:val="bullet"/>
      <w:start w:val="1"/>
    </w:lvl>
  </w:abstractNum>
  <w:abstractNum w:abstractNumId="49">
    <w:nsid w:val="275AC794"/>
    <w:multiLevelType w:val="hybridMultilevel"/>
    <w:lvl w:ilvl="0">
      <w:lvlJc w:val="left"/>
      <w:lvlText w:val="2"/>
      <w:numFmt w:val="bullet"/>
      <w:start w:val="1"/>
    </w:lvl>
  </w:abstractNum>
  <w:abstractNum w:abstractNumId="50">
    <w:nsid w:val="39386575"/>
    <w:multiLevelType w:val="hybridMultilevel"/>
    <w:lvl w:ilvl="0">
      <w:lvlJc w:val="left"/>
      <w:lvlText w:val="3"/>
      <w:numFmt w:val="bullet"/>
      <w:start w:val="1"/>
    </w:lvl>
  </w:abstractNum>
  <w:abstractNum w:abstractNumId="51">
    <w:nsid w:val="1CF10FD8"/>
    <w:multiLevelType w:val="hybridMultilevel"/>
    <w:lvl w:ilvl="0">
      <w:lvlJc w:val="left"/>
      <w:lvlText w:val="4"/>
      <w:numFmt w:val="bullet"/>
      <w:start w:val="1"/>
    </w:lvl>
  </w:abstractNum>
  <w:abstractNum w:abstractNumId="52">
    <w:nsid w:val="180115BE"/>
    <w:multiLevelType w:val="hybridMultilevel"/>
    <w:lvl w:ilvl="0">
      <w:lvlJc w:val="left"/>
      <w:lvlText w:val="5"/>
      <w:numFmt w:val="bullet"/>
      <w:start w:val="1"/>
    </w:lvl>
  </w:abstractNum>
  <w:abstractNum w:abstractNumId="53">
    <w:nsid w:val="235BA861"/>
    <w:multiLevelType w:val="hybridMultilevel"/>
    <w:lvl w:ilvl="0">
      <w:lvlJc w:val="left"/>
      <w:lvlText w:val="6"/>
      <w:numFmt w:val="bullet"/>
      <w:start w:val="1"/>
    </w:lvl>
  </w:abstractNum>
  <w:abstractNum w:abstractNumId="54">
    <w:nsid w:val="47398C89"/>
    <w:multiLevelType w:val="hybridMultilevel"/>
    <w:lvl w:ilvl="0">
      <w:lvlJc w:val="left"/>
      <w:lvlText w:val="%1"/>
      <w:numFmt w:val="decimal"/>
      <w:start w:val="11"/>
    </w:lvl>
  </w:abstractNum>
  <w:abstractNum w:abstractNumId="55">
    <w:nsid w:val="354FE9F9"/>
    <w:multiLevelType w:val="hybridMultilevel"/>
    <w:lvl w:ilvl="0">
      <w:lvlJc w:val="left"/>
      <w:lvlText w:val="%1"/>
      <w:numFmt w:val="decimal"/>
      <w:start w:val="13"/>
    </w:lvl>
  </w:abstractNum>
  <w:abstractNum w:abstractNumId="56">
    <w:nsid w:val="15B5AF5C"/>
    <w:multiLevelType w:val="hybridMultilevel"/>
    <w:lvl w:ilvl="0">
      <w:lvlJc w:val="left"/>
      <w:lvlText w:val="%1"/>
      <w:numFmt w:val="decimal"/>
      <w:start w:val="14"/>
    </w:lvl>
  </w:abstractNum>
  <w:abstractNum w:abstractNumId="57">
    <w:nsid w:val="741226BB"/>
    <w:multiLevelType w:val="hybridMultilevel"/>
    <w:lvl w:ilvl="0">
      <w:lvlJc w:val="left"/>
      <w:lvlText w:val="(%1)"/>
      <w:numFmt w:val="lowerLetter"/>
      <w:start w:val="5"/>
    </w:lvl>
    <w:lvl w:ilvl="1">
      <w:lvlJc w:val="left"/>
      <w:lvlText w:val="(%2)"/>
      <w:numFmt w:val="lowerLetter"/>
      <w:start w:val="6"/>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lowerLetter"/>
      <w:start w:val="1"/>
    </w:lvl>
    <w:lvl w:ilvl="1">
      <w:lvlJc w:val="left"/>
      <w:lvlText w:val="(%2)"/>
      <w:numFmt w:val="lowerLetter"/>
      <w:start w:val="2"/>
    </w:lvl>
  </w:abstractNum>
  <w:abstractNum w:abstractNumId="60">
    <w:nsid w:val="3F6AB60F"/>
    <w:multiLevelType w:val="hybridMultilevel"/>
    <w:lvl w:ilvl="0">
      <w:lvlJc w:val="left"/>
      <w:lvlText w:val="(%1)"/>
      <w:numFmt w:val="lowerLetter"/>
      <w:start w:val="3"/>
    </w:lvl>
    <w:lvl w:ilvl="1">
      <w:lvlJc w:val="left"/>
      <w:lvlText w:val="(%2)"/>
      <w:numFmt w:val="lowerLetter"/>
      <w:start w:val="5"/>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2019-12-10T00:49:49Z</dcterms:created>
  <dcterms:modified xsi:type="dcterms:W3CDTF">2019-12-10T00:49:49Z</dcterms:modified>
</cp:coreProperties>
</file>