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December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31" w:lineRule="exact"/>
        <w:rPr>
          <w:sz w:val="24"/>
          <w:szCs w:val="24"/>
          <w:color w:val="auto"/>
        </w:rPr>
      </w:pPr>
    </w:p>
    <w:p>
      <w:pPr>
        <w:sectPr>
          <w:pgSz w:w="11900" w:h="16838" w:orient="portrait"/>
          <w:cols w:equalWidth="0" w:num="3">
            <w:col w:w="4860" w:space="720"/>
            <w:col w:w="2860" w:space="720"/>
            <w:col w:w="2140"/>
          </w:cols>
          <w:pgMar w:left="240" w:top="368" w:right="359" w:bottom="1440" w:gutter="0" w:footer="0" w:header="0"/>
          <w:type w:val="continuous"/>
        </w:sectPr>
      </w:pPr>
    </w:p>
    <w:p>
      <w:pPr>
        <w:spacing w:after="0" w:line="19" w:lineRule="exact"/>
        <w:rPr>
          <w:sz w:val="24"/>
          <w:szCs w:val="24"/>
          <w:color w:val="auto"/>
        </w:rPr>
      </w:pPr>
    </w:p>
    <w:p>
      <w:pPr>
        <w:ind w:left="12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2381 Rosegate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Roseville, MN 55113</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(612) 331-6910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Stauber Performance Ingredients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December 23, 2015, Hawkins, Inc. (the “Company”) completed the acquisition of all of the outstanding equity interests of SPH Holdings, Inc. (“SPH”) from an investor group led by ICV Partners II, L.P. The acquisition was consummated in accordance with the terms and conditions of the previously announced Stock Purchase Agreement by and among the Company, the selling shareholders named therein and ICV Manager, LLC. SPH is the parent company of Stauber Performance Ingredients, a supplier of specialty products and ingredients to the nutritional, food, pharmaceutical, cosmetic and pet care industries.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total consideration for the acquisition was approximately $157.0 million in cash, subject to certain adjustments (including pursuant to a customary working capital adjustment). The Company funded the cash closing payments with cash on hand and $131.0 million in proceeds from the Credit Facility (defined below).</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terms of the Stock Purchase Agreement pursuant to which the acquisition was completed were previously disclosed in the Form 8-K filed on November 23, 2015 (file no. 0-7647), Item 1.01 of which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December 23, 2015, the Company entered into a credit agreement (the “Credit Agreement”) with U.S. Bank National Association (“U.S. Bank”) as Sole Lead Arranger and Sole Book Runner, other lenders from time to time party thereto (collectively, the “Lenders”), whereby U.S. Bank is also serving as Administrative Agent. The Credit Agreement provides the Company with senior secured credit facilities (the “Credit Facility”) totaling $165.0 million, consisting of (i) a $100.0 million senior secured term loan credit facility (the “Term Loan Facility”) and (ii) a $65.0 million senior secured revolving loan credit facility (the “Revolving Loan Facility”). The Revolving Loan Facility includes a $5.0 million letter of credit subfacility and $8.0 million swingline subfacility. U.S. Bank and JP Morgan Chase Bank, N.A., have each agreed to serve as initial lenders under the Credit Agreement.</w:t>
      </w:r>
    </w:p>
    <w:p>
      <w:pPr>
        <w:spacing w:after="0" w:line="17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Company used $131.0 million of the proceeds from the Credit Facility to fund its acquisition of Stauber Performance Ingredients. The Company may use the remaining $34.0 million for working capital, capital expenditures, restricted payments and acquisitions permitted under the Credit Agreement, and other general corporate purposes.</w:t>
      </w:r>
    </w:p>
    <w:p>
      <w:pPr>
        <w:spacing w:after="0" w:line="181"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Borrowings under the Credit Facility bear interest at a rate per annum equal to one of the following, plus, in both cases, an applicable margin based upon the Company’s leverage ratio: (a) LIBOR for an interest period of one, two, three or six months as selected by the Company, reset at the end of the selected interest period, or (b) a base rate determined by reference to the highest of (1) U. S. Bank’s prime rate, (2) the Federal Funds Effective Rate plus</w:t>
      </w:r>
    </w:p>
    <w:p>
      <w:pPr>
        <w:ind w:right="120"/>
        <w:spacing w:after="0" w:line="261" w:lineRule="auto"/>
        <w:rPr>
          <w:sz w:val="20"/>
          <w:szCs w:val="20"/>
          <w:color w:val="auto"/>
        </w:rPr>
      </w:pPr>
      <w:r>
        <w:rPr>
          <w:rFonts w:ascii="Arial" w:cs="Arial" w:eastAsia="Arial" w:hAnsi="Arial"/>
          <w:sz w:val="18"/>
          <w:szCs w:val="18"/>
          <w:color w:val="auto"/>
        </w:rPr>
        <w:t>0.5%, or (3) one-month LIBOR for U.S. dollars plus 1.0%. The LIBOR margin is 1.125%, 1.25% or 1.5%, depending on the Company’s leverage ratio. The base rate margin is either 0.125%, 0.25% or 0.5%, depending on the Company’s leverage ratio.</w:t>
      </w:r>
    </w:p>
    <w:p>
      <w:pPr>
        <w:spacing w:after="0" w:line="18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the Company is required to pay a commitment fee on the unutilized commitments thereunder. The commitment fee is either 0.25% or 0.3%, depending on the Company’s leverage ratio.</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Loans under the Term Loan Facility will be repaid in quarterly installments on the last day of each fiscal quarter, with $5.0 million to be paid in year one, $7.5 million to be paid in year two, and $10.0 million to be paid in years three through five. The remaining outstanding balance will be repaid in full after five years.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Facility is secured by substantially all of the personal property assets of the Company and its subsidiaries.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0" w:right="299" w:bottom="1440" w:gutter="0" w:footer="0" w:header="0"/>
        </w:sectPr>
      </w:pPr>
    </w:p>
    <w:bookmarkStart w:id="2" w:name="page3"/>
    <w:bookmarkEnd w:id="2"/>
    <w:p>
      <w:pPr>
        <w:ind w:right="2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Commencing with the fiscal year ending April 3, 2016, the Credit Agreement will require the Company to maintain (a) a minimum fixed charge coverage ratio of 1.15 to 1.00 and (b) a maximum total cash flow leverage ratio of 3.0 to 1.0. The Credit Agreement also contains other customary affirmative and negative covenants, including covenants that restrict the ability of the Company and its subsidiaries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 Company will be permitted to make distributions, pay dividends and repurchase shares so long as no default or event of default exists or would exist as a result thereof.</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Credit Agreement contains customary events of default, the occurrence of which would permit the lenders to terminate their commitments and accelerate loans under the Credit Facility, including failure to make payments under the Credit Facility, failure to comply with covenants in the Credit Agreement and other loan documents, cross default to other material indebtedness of the Company or any of its subsidiaries, failure of the Company or any of its subsidiaries to pay or discharge material judgments, bankruptcy of the Company or any of its subsidiaries, and change of control of the Company.</w:t>
      </w:r>
    </w:p>
    <w:p>
      <w:pPr>
        <w:spacing w:after="0" w:line="15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Each of U.S. Bank and JP Morgan has performed and may continue to perform commercial banking and financial services for the Company and its subsidiaries for which they have receive and will continue to receive customary fees.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foregoing summary of the Credit Agreement and underlying Credit Facility is not complete and is qualified by reference to the full text of the credit agreement, which is filed as Exhibit 10.1 to this Current Report on Form 8-K and is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disclosure under Item 1.01 of this Current Report on Form 8-K regarding the acquisition of Stauber Performance Ingredients is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disclosure under Item 1.01 of this Current Report on Form 8-K regarding the Credit Agreement is incorporated herein by reference.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Financial Statements of Businesses Acquired</w:t>
      </w:r>
      <w:r>
        <w:rPr>
          <w:rFonts w:ascii="Arial" w:cs="Arial" w:eastAsia="Arial" w:hAnsi="Arial"/>
          <w:sz w:val="18"/>
          <w:szCs w:val="18"/>
          <w:color w:val="auto"/>
        </w:rPr>
        <w: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intends to file the financial information required to be filed pursuant to Item 9.01(a) of Form 8-K by amendment to this Current Report on Form 8-K not later than 71 calendar days after the date this Current Report on Form 8-K is required to be filed.</w:t>
      </w:r>
    </w:p>
    <w:p>
      <w:pPr>
        <w:spacing w:after="0" w:line="31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Pro Forma Financial Information</w:t>
      </w:r>
      <w:r>
        <w:rPr>
          <w:rFonts w:ascii="Arial" w:cs="Arial" w:eastAsia="Arial" w:hAnsi="Arial"/>
          <w:sz w:val="18"/>
          <w:szCs w:val="18"/>
          <w:color w:val="auto"/>
        </w:rPr>
        <w:t>.</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Company intends to file the pro forma financial information required by Item 9.01(b) of Form 8-K by amendment to this Current Report on Form 8-K not later than 71 calendar days after the date this Current Report on Form 8-K is required to be filed.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 w:name="page4"/>
    <w:bookmarkEnd w:id="3"/>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r>
        <w:rPr>
          <w:rFonts w:ascii="Arial" w:cs="Arial" w:eastAsia="Arial" w:hAnsi="Arial"/>
          <w:sz w:val="18"/>
          <w:szCs w:val="18"/>
          <w:color w:val="auto"/>
        </w:rPr>
        <w:t>.</w:t>
      </w:r>
    </w:p>
    <w:p>
      <w:pPr>
        <w:spacing w:after="0" w:line="252" w:lineRule="exact"/>
        <w:rPr>
          <w:sz w:val="20"/>
          <w:szCs w:val="20"/>
          <w:color w:val="auto"/>
        </w:rPr>
      </w:pPr>
    </w:p>
    <w:p>
      <w:pPr>
        <w:jc w:val="both"/>
        <w:ind w:left="1560" w:right="380" w:hanging="544"/>
        <w:spacing w:after="0" w:line="264" w:lineRule="auto"/>
        <w:tabs>
          <w:tab w:leader="none" w:pos="15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Stock Purchase Agreement, dated November 23, 2015, by and among Hawkins, Inc., SPH Holdings, Inc., the stockholders of SPH Holdings, Inc. listed therein, and ICV Manager, LLC (incorporated by reference to Exhibit 2.1 to Current Report on Form 8-K filed November 23, 2015).</w:t>
      </w:r>
    </w:p>
    <w:p>
      <w:pPr>
        <w:spacing w:after="0" w:line="73" w:lineRule="exact"/>
        <w:rPr>
          <w:sz w:val="20"/>
          <w:szCs w:val="20"/>
          <w:color w:val="auto"/>
        </w:rPr>
      </w:pPr>
    </w:p>
    <w:p>
      <w:pPr>
        <w:ind w:left="1560" w:right="80" w:hanging="634"/>
        <w:spacing w:after="0" w:line="277" w:lineRule="auto"/>
        <w:tabs>
          <w:tab w:leader="none" w:pos="15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Credit Agreement dated as of December 23, 2015, among Hawkins, Inc., the lenders party thereto, and U.S. Bank National Association, as an LC Issuer, Swing Line Lender and Administrative Agent.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Various remarks in this Current Report on Form 8-K constitute forward-looking statements within the meaning of Section 27A of the Securities Act of 1933, as amended, and Section 21E of the Securities Exchange Act of 1934, as amended. These statements include those relating to the uses of proceeds from the Credit Facility, our ability to comply with the covenants and other requirements thereunder and amendments to this Current Report on Form 8-K.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our ability to maintain and integrate the acquired business, changes in competition and price pressure as a result of changes to our business resulting from the acquisition,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and our ability to consummate and successfully integrate other future acquisitions. Additional information concerning potential factors that could affect future financial results is included in our Annual Report on Form 10-K for the fiscal year ended March 29, 2015,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 w:name="page5"/>
    <w:bookmarkEnd w:id="4"/>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December 23, 2015</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Kathleen P. Pepski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Vice President, Chief Financial Officer, and Treasurer</w:t>
      </w:r>
    </w:p>
    <w:p>
      <w:pPr>
        <w:sectPr>
          <w:pgSz w:w="11900" w:h="16838" w:orient="portrait"/>
          <w:cols w:equalWidth="0" w:num="1">
            <w:col w:w="10740"/>
          </w:cols>
          <w:pgMar w:left="240" w:top="270" w:right="9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060" w:type="dxa"/>
            <w:vAlign w:val="bottom"/>
            <w:gridSpan w:val="2"/>
          </w:tcPr>
          <w:p>
            <w:pPr>
              <w:ind w:left="40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5"/>
              </w:rPr>
              <w:t>Exhibit</w:t>
            </w:r>
          </w:p>
        </w:tc>
        <w:tc>
          <w:tcPr>
            <w:tcW w:w="4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440" w:type="dxa"/>
            <w:vAlign w:val="bottom"/>
          </w:tcPr>
          <w:p>
            <w:pPr>
              <w:jc w:val="right"/>
              <w:ind w:right="42"/>
              <w:spacing w:after="0"/>
              <w:rPr>
                <w:sz w:val="20"/>
                <w:szCs w:val="20"/>
                <w:color w:val="auto"/>
              </w:rPr>
            </w:pPr>
            <w:r>
              <w:rPr>
                <w:rFonts w:ascii="Arial" w:cs="Arial" w:eastAsia="Arial" w:hAnsi="Arial"/>
                <w:sz w:val="14"/>
                <w:szCs w:val="14"/>
                <w:color w:val="auto"/>
              </w:rPr>
              <w:t>No.</w:t>
            </w:r>
          </w:p>
        </w:tc>
        <w:tc>
          <w:tcPr>
            <w:tcW w:w="4160" w:type="dxa"/>
            <w:vAlign w:val="bottom"/>
          </w:tcPr>
          <w:p>
            <w:pPr>
              <w:spacing w:after="0"/>
              <w:rPr>
                <w:sz w:val="14"/>
                <w:szCs w:val="1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440" w:type="dxa"/>
            <w:vAlign w:val="bottom"/>
          </w:tcPr>
          <w:p>
            <w:pPr>
              <w:jc w:val="right"/>
              <w:ind w:right="62"/>
              <w:spacing w:after="0"/>
              <w:rPr>
                <w:sz w:val="20"/>
                <w:szCs w:val="20"/>
                <w:color w:val="auto"/>
              </w:rPr>
            </w:pPr>
            <w:r>
              <w:rPr>
                <w:rFonts w:ascii="Arial" w:cs="Arial" w:eastAsia="Arial" w:hAnsi="Arial"/>
                <w:sz w:val="18"/>
                <w:szCs w:val="18"/>
                <w:color w:val="auto"/>
              </w:rPr>
              <w:t>2.1</w:t>
            </w: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w w:val="90"/>
              </w:rPr>
              <w:t>Stock Purchase Agreement, dated November 23, 2015, by and among Hawkins, Inc., SPH Holdings, Inc., the</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stockholders of SPH Holdings, Inc. listed therein, and ICV Manager, LLC.</w:t>
            </w:r>
          </w:p>
        </w:tc>
      </w:tr>
      <w:tr>
        <w:trPr>
          <w:trHeight w:val="310"/>
        </w:trPr>
        <w:tc>
          <w:tcPr>
            <w:tcW w:w="460" w:type="dxa"/>
            <w:vAlign w:val="bottom"/>
            <w:gridSpan w:val="2"/>
          </w:tcPr>
          <w:p>
            <w:pPr>
              <w:jc w:val="right"/>
              <w:ind w:right="62"/>
              <w:spacing w:after="0"/>
              <w:rPr>
                <w:sz w:val="20"/>
                <w:szCs w:val="20"/>
                <w:color w:val="auto"/>
              </w:rPr>
            </w:pPr>
            <w:r>
              <w:rPr>
                <w:rFonts w:ascii="Arial" w:cs="Arial" w:eastAsia="Arial" w:hAnsi="Arial"/>
                <w:sz w:val="18"/>
                <w:szCs w:val="18"/>
                <w:color w:val="auto"/>
                <w:w w:val="85"/>
              </w:rPr>
              <w:t>10.1</w:t>
            </w: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w w:val="94"/>
              </w:rPr>
              <w:t>Credit Agreement dated as of December 23, 2015, among the Company, U.S. Bank and certain financial</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institutions.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br w:type="column"/>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Method of Filing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Electronically</w:t>
      </w:r>
    </w:p>
    <w:p>
      <w:pPr>
        <w:sectPr>
          <w:pgSz w:w="11900" w:h="16838" w:orient="portrait"/>
          <w:cols w:equalWidth="0" w:num="2">
            <w:col w:w="8700" w:space="720"/>
            <w:col w:w="1920"/>
          </w:cols>
          <w:pgMar w:left="240" w:top="270" w:right="319" w:bottom="1440" w:gutter="0" w:footer="0" w:header="0"/>
        </w:sectPr>
      </w:pPr>
    </w:p>
    <w:bookmarkStart w:id="6" w:name="page7"/>
    <w:bookmarkEnd w:id="6"/>
    <w:tbl>
      <w:tblPr>
        <w:tblLayout w:type="fixed"/>
        <w:tblInd w:w="708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445"/>
        </w:trPr>
        <w:tc>
          <w:tcPr>
            <w:tcW w:w="1960" w:type="dxa"/>
            <w:vAlign w:val="bottom"/>
          </w:tcPr>
          <w:p>
            <w:pPr>
              <w:jc w:val="right"/>
              <w:ind w:right="90"/>
              <w:spacing w:after="0"/>
              <w:rPr>
                <w:sz w:val="20"/>
                <w:szCs w:val="20"/>
                <w:color w:val="auto"/>
              </w:rPr>
            </w:pPr>
            <w:r>
              <w:rPr>
                <w:rFonts w:ascii="Arial" w:cs="Arial" w:eastAsia="Arial" w:hAnsi="Arial"/>
                <w:sz w:val="18"/>
                <w:szCs w:val="18"/>
                <w:color w:val="auto"/>
              </w:rPr>
              <w:t>Deal CUSIP:</w:t>
            </w:r>
          </w:p>
        </w:tc>
        <w:tc>
          <w:tcPr>
            <w:tcW w:w="1180" w:type="dxa"/>
            <w:vAlign w:val="bottom"/>
          </w:tcPr>
          <w:p>
            <w:pPr>
              <w:jc w:val="right"/>
              <w:spacing w:after="0"/>
              <w:rPr>
                <w:sz w:val="20"/>
                <w:szCs w:val="20"/>
                <w:color w:val="auto"/>
              </w:rPr>
            </w:pPr>
            <w:r>
              <w:rPr>
                <w:rFonts w:ascii="Arial" w:cs="Arial" w:eastAsia="Arial" w:hAnsi="Arial"/>
                <w:sz w:val="18"/>
                <w:szCs w:val="18"/>
                <w:color w:val="auto"/>
              </w:rPr>
              <w:t>#42025RAA1</w:t>
            </w:r>
          </w:p>
        </w:tc>
      </w:tr>
      <w:tr>
        <w:trPr>
          <w:trHeight w:val="216"/>
        </w:trPr>
        <w:tc>
          <w:tcPr>
            <w:tcW w:w="1960" w:type="dxa"/>
            <w:vAlign w:val="bottom"/>
          </w:tcPr>
          <w:p>
            <w:pPr>
              <w:jc w:val="right"/>
              <w:ind w:right="90"/>
              <w:spacing w:after="0"/>
              <w:rPr>
                <w:sz w:val="20"/>
                <w:szCs w:val="20"/>
                <w:color w:val="auto"/>
              </w:rPr>
            </w:pPr>
            <w:r>
              <w:rPr>
                <w:rFonts w:ascii="Arial" w:cs="Arial" w:eastAsia="Arial" w:hAnsi="Arial"/>
                <w:sz w:val="18"/>
                <w:szCs w:val="18"/>
                <w:color w:val="auto"/>
                <w:w w:val="93"/>
              </w:rPr>
              <w:t>Revolving Loan CUSIP:</w:t>
            </w:r>
          </w:p>
        </w:tc>
        <w:tc>
          <w:tcPr>
            <w:tcW w:w="1180" w:type="dxa"/>
            <w:vAlign w:val="bottom"/>
          </w:tcPr>
          <w:p>
            <w:pPr>
              <w:jc w:val="right"/>
              <w:spacing w:after="0"/>
              <w:rPr>
                <w:sz w:val="20"/>
                <w:szCs w:val="20"/>
                <w:color w:val="auto"/>
              </w:rPr>
            </w:pPr>
            <w:r>
              <w:rPr>
                <w:rFonts w:ascii="Arial" w:cs="Arial" w:eastAsia="Arial" w:hAnsi="Arial"/>
                <w:sz w:val="18"/>
                <w:szCs w:val="18"/>
                <w:color w:val="auto"/>
              </w:rPr>
              <w:t>#42025RAB9</w:t>
            </w:r>
          </w:p>
        </w:tc>
      </w:tr>
      <w:tr>
        <w:trPr>
          <w:trHeight w:val="230"/>
        </w:trPr>
        <w:tc>
          <w:tcPr>
            <w:tcW w:w="1960" w:type="dxa"/>
            <w:vAlign w:val="bottom"/>
          </w:tcPr>
          <w:p>
            <w:pPr>
              <w:jc w:val="right"/>
              <w:ind w:right="90"/>
              <w:spacing w:after="0"/>
              <w:rPr>
                <w:sz w:val="20"/>
                <w:szCs w:val="20"/>
                <w:color w:val="auto"/>
              </w:rPr>
            </w:pPr>
            <w:r>
              <w:rPr>
                <w:rFonts w:ascii="Arial" w:cs="Arial" w:eastAsia="Arial" w:hAnsi="Arial"/>
                <w:sz w:val="18"/>
                <w:szCs w:val="18"/>
                <w:color w:val="auto"/>
              </w:rPr>
              <w:t>Term Loan CUSIP:</w:t>
            </w:r>
          </w:p>
        </w:tc>
        <w:tc>
          <w:tcPr>
            <w:tcW w:w="1180" w:type="dxa"/>
            <w:vAlign w:val="bottom"/>
          </w:tcPr>
          <w:p>
            <w:pPr>
              <w:jc w:val="right"/>
              <w:spacing w:after="0"/>
              <w:rPr>
                <w:sz w:val="20"/>
                <w:szCs w:val="20"/>
                <w:color w:val="auto"/>
              </w:rPr>
            </w:pPr>
            <w:r>
              <w:rPr>
                <w:rFonts w:ascii="Arial" w:cs="Arial" w:eastAsia="Arial" w:hAnsi="Arial"/>
                <w:sz w:val="18"/>
                <w:szCs w:val="18"/>
                <w:color w:val="auto"/>
              </w:rPr>
              <w:t>#42025RAC7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205740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DECEMBER 23, 2015</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HAWKINS, INC., as the Borrower,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as Administrative Agent, Swing Line Lender and an</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LC Issuer,</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Sole Lead Arranger and Sole Book Runner</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 CERTAIN FINANCIAL INSTITUTIONS,</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830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180" w:type="dxa"/>
            <w:vAlign w:val="bottom"/>
          </w:tcPr>
          <w:p>
            <w:pPr>
              <w:spacing w:after="0"/>
              <w:rPr>
                <w:sz w:val="20"/>
                <w:szCs w:val="20"/>
                <w:color w:val="auto"/>
              </w:rPr>
            </w:pPr>
          </w:p>
        </w:tc>
      </w:tr>
      <w:tr>
        <w:trPr>
          <w:trHeight w:val="459"/>
        </w:trPr>
        <w:tc>
          <w:tcPr>
            <w:tcW w:w="92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9240" w:type="dxa"/>
            <w:vAlign w:val="bottom"/>
            <w:gridSpan w:val="2"/>
          </w:tcPr>
          <w:p>
            <w:pPr>
              <w:spacing w:after="0"/>
              <w:rPr>
                <w:sz w:val="20"/>
                <w:szCs w:val="20"/>
                <w:color w:val="auto"/>
              </w:rPr>
            </w:pPr>
            <w:r>
              <w:rPr>
                <w:rFonts w:ascii="Arial" w:cs="Arial" w:eastAsia="Arial" w:hAnsi="Arial"/>
                <w:sz w:val="18"/>
                <w:szCs w:val="18"/>
                <w:color w:val="auto"/>
              </w:rPr>
              <w:t>ARTICLE II. THE CREDITS</w:t>
            </w:r>
          </w:p>
        </w:tc>
        <w:tc>
          <w:tcPr>
            <w:tcW w:w="2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w:t>
            </w:r>
          </w:p>
        </w:tc>
        <w:tc>
          <w:tcPr>
            <w:tcW w:w="8300" w:type="dxa"/>
            <w:vAlign w:val="bottom"/>
          </w:tcPr>
          <w:p>
            <w:pPr>
              <w:ind w:left="220"/>
              <w:spacing w:after="0"/>
              <w:rPr>
                <w:sz w:val="20"/>
                <w:szCs w:val="20"/>
                <w:color w:val="auto"/>
              </w:rPr>
            </w:pPr>
            <w:r>
              <w:rPr>
                <w:rFonts w:ascii="Arial" w:cs="Arial" w:eastAsia="Arial" w:hAnsi="Arial"/>
                <w:sz w:val="18"/>
                <w:szCs w:val="18"/>
                <w:color w:val="auto"/>
              </w:rPr>
              <w:t>Commitment</w:t>
            </w:r>
          </w:p>
        </w:tc>
        <w:tc>
          <w:tcPr>
            <w:tcW w:w="2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2.2.</w:t>
            </w:r>
          </w:p>
        </w:tc>
        <w:tc>
          <w:tcPr>
            <w:tcW w:w="8300" w:type="dxa"/>
            <w:vAlign w:val="bottom"/>
          </w:tcPr>
          <w:p>
            <w:pPr>
              <w:ind w:left="220"/>
              <w:spacing w:after="0"/>
              <w:rPr>
                <w:sz w:val="20"/>
                <w:szCs w:val="20"/>
                <w:color w:val="auto"/>
              </w:rPr>
            </w:pPr>
            <w:r>
              <w:rPr>
                <w:rFonts w:ascii="Arial" w:cs="Arial" w:eastAsia="Arial" w:hAnsi="Arial"/>
                <w:sz w:val="18"/>
                <w:szCs w:val="18"/>
                <w:color w:val="auto"/>
              </w:rPr>
              <w:t>Ratable Loans; Types of Advances</w:t>
            </w:r>
          </w:p>
        </w:tc>
        <w:tc>
          <w:tcPr>
            <w:tcW w:w="2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2.3.</w:t>
            </w:r>
          </w:p>
        </w:tc>
        <w:tc>
          <w:tcPr>
            <w:tcW w:w="8300" w:type="dxa"/>
            <w:vAlign w:val="bottom"/>
          </w:tcPr>
          <w:p>
            <w:pPr>
              <w:ind w:left="220"/>
              <w:spacing w:after="0"/>
              <w:rPr>
                <w:sz w:val="20"/>
                <w:szCs w:val="20"/>
                <w:color w:val="auto"/>
              </w:rPr>
            </w:pPr>
            <w:r>
              <w:rPr>
                <w:rFonts w:ascii="Arial" w:cs="Arial" w:eastAsia="Arial" w:hAnsi="Arial"/>
                <w:sz w:val="18"/>
                <w:szCs w:val="18"/>
                <w:color w:val="auto"/>
              </w:rPr>
              <w:t>Commitment Fee</w:t>
            </w:r>
          </w:p>
        </w:tc>
        <w:tc>
          <w:tcPr>
            <w:tcW w:w="2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2.4.</w:t>
            </w:r>
          </w:p>
        </w:tc>
        <w:tc>
          <w:tcPr>
            <w:tcW w:w="8300" w:type="dxa"/>
            <w:vAlign w:val="bottom"/>
          </w:tcPr>
          <w:p>
            <w:pPr>
              <w:ind w:left="220"/>
              <w:spacing w:after="0"/>
              <w:rPr>
                <w:sz w:val="20"/>
                <w:szCs w:val="20"/>
                <w:color w:val="auto"/>
              </w:rPr>
            </w:pPr>
            <w:r>
              <w:rPr>
                <w:rFonts w:ascii="Arial" w:cs="Arial" w:eastAsia="Arial" w:hAnsi="Arial"/>
                <w:sz w:val="18"/>
                <w:szCs w:val="18"/>
                <w:color w:val="auto"/>
              </w:rPr>
              <w:t>Minimum Amount of Each Advance</w:t>
            </w:r>
          </w:p>
        </w:tc>
        <w:tc>
          <w:tcPr>
            <w:tcW w:w="2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2.5.</w:t>
            </w:r>
          </w:p>
        </w:tc>
        <w:tc>
          <w:tcPr>
            <w:tcW w:w="8300" w:type="dxa"/>
            <w:vAlign w:val="bottom"/>
          </w:tcPr>
          <w:p>
            <w:pPr>
              <w:ind w:left="220"/>
              <w:spacing w:after="0"/>
              <w:rPr>
                <w:sz w:val="20"/>
                <w:szCs w:val="20"/>
                <w:color w:val="auto"/>
              </w:rPr>
            </w:pPr>
            <w:r>
              <w:rPr>
                <w:rFonts w:ascii="Arial" w:cs="Arial" w:eastAsia="Arial" w:hAnsi="Arial"/>
                <w:sz w:val="18"/>
                <w:szCs w:val="18"/>
                <w:color w:val="auto"/>
              </w:rPr>
              <w:t>Reductions in Aggregate Revolving Commitment; Optional Principal Payments</w:t>
            </w:r>
          </w:p>
        </w:tc>
        <w:tc>
          <w:tcPr>
            <w:tcW w:w="2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2.6.</w:t>
            </w:r>
          </w:p>
        </w:tc>
        <w:tc>
          <w:tcPr>
            <w:tcW w:w="8300" w:type="dxa"/>
            <w:vAlign w:val="bottom"/>
          </w:tcPr>
          <w:p>
            <w:pPr>
              <w:ind w:left="220"/>
              <w:spacing w:after="0"/>
              <w:rPr>
                <w:sz w:val="20"/>
                <w:szCs w:val="20"/>
                <w:color w:val="auto"/>
              </w:rPr>
            </w:pPr>
            <w:r>
              <w:rPr>
                <w:rFonts w:ascii="Arial" w:cs="Arial" w:eastAsia="Arial" w:hAnsi="Arial"/>
                <w:sz w:val="18"/>
                <w:szCs w:val="18"/>
                <w:color w:val="auto"/>
              </w:rPr>
              <w:t>Method of Selecting Types and Interest Periods for New Advances</w:t>
            </w:r>
          </w:p>
        </w:tc>
        <w:tc>
          <w:tcPr>
            <w:tcW w:w="2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2.7.</w:t>
            </w:r>
          </w:p>
        </w:tc>
        <w:tc>
          <w:tcPr>
            <w:tcW w:w="8300" w:type="dxa"/>
            <w:vAlign w:val="bottom"/>
          </w:tcPr>
          <w:p>
            <w:pPr>
              <w:ind w:left="220"/>
              <w:spacing w:after="0"/>
              <w:rPr>
                <w:sz w:val="20"/>
                <w:szCs w:val="20"/>
                <w:color w:val="auto"/>
              </w:rPr>
            </w:pPr>
            <w:r>
              <w:rPr>
                <w:rFonts w:ascii="Arial" w:cs="Arial" w:eastAsia="Arial" w:hAnsi="Arial"/>
                <w:sz w:val="18"/>
                <w:szCs w:val="18"/>
                <w:color w:val="auto"/>
              </w:rPr>
              <w:t>Conversion and Continuation of Outstanding Advances</w:t>
            </w:r>
          </w:p>
        </w:tc>
        <w:tc>
          <w:tcPr>
            <w:tcW w:w="2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2.8.</w:t>
            </w:r>
          </w:p>
        </w:tc>
        <w:tc>
          <w:tcPr>
            <w:tcW w:w="8300" w:type="dxa"/>
            <w:vAlign w:val="bottom"/>
          </w:tcPr>
          <w:p>
            <w:pPr>
              <w:ind w:left="220"/>
              <w:spacing w:after="0"/>
              <w:rPr>
                <w:sz w:val="20"/>
                <w:szCs w:val="20"/>
                <w:color w:val="auto"/>
              </w:rPr>
            </w:pPr>
            <w:r>
              <w:rPr>
                <w:rFonts w:ascii="Arial" w:cs="Arial" w:eastAsia="Arial" w:hAnsi="Arial"/>
                <w:sz w:val="18"/>
                <w:szCs w:val="18"/>
                <w:color w:val="auto"/>
              </w:rPr>
              <w:t>Interest Rates</w:t>
            </w:r>
          </w:p>
        </w:tc>
        <w:tc>
          <w:tcPr>
            <w:tcW w:w="2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2.9.</w:t>
            </w:r>
          </w:p>
        </w:tc>
        <w:tc>
          <w:tcPr>
            <w:tcW w:w="8300" w:type="dxa"/>
            <w:vAlign w:val="bottom"/>
          </w:tcPr>
          <w:p>
            <w:pPr>
              <w:ind w:left="220"/>
              <w:spacing w:after="0"/>
              <w:rPr>
                <w:sz w:val="20"/>
                <w:szCs w:val="20"/>
                <w:color w:val="auto"/>
              </w:rPr>
            </w:pPr>
            <w:r>
              <w:rPr>
                <w:rFonts w:ascii="Arial" w:cs="Arial" w:eastAsia="Arial" w:hAnsi="Arial"/>
                <w:sz w:val="18"/>
                <w:szCs w:val="18"/>
                <w:color w:val="auto"/>
              </w:rPr>
              <w:t>Rates Applicable After Event of Default</w:t>
            </w:r>
          </w:p>
        </w:tc>
        <w:tc>
          <w:tcPr>
            <w:tcW w:w="2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2.10.</w:t>
            </w:r>
          </w:p>
        </w:tc>
        <w:tc>
          <w:tcPr>
            <w:tcW w:w="8300" w:type="dxa"/>
            <w:vAlign w:val="bottom"/>
          </w:tcPr>
          <w:p>
            <w:pPr>
              <w:ind w:left="220"/>
              <w:spacing w:after="0"/>
              <w:rPr>
                <w:sz w:val="20"/>
                <w:szCs w:val="20"/>
                <w:color w:val="auto"/>
              </w:rPr>
            </w:pPr>
            <w:r>
              <w:rPr>
                <w:rFonts w:ascii="Arial" w:cs="Arial" w:eastAsia="Arial" w:hAnsi="Arial"/>
                <w:sz w:val="18"/>
                <w:szCs w:val="18"/>
                <w:color w:val="auto"/>
              </w:rPr>
              <w:t>Method of Payment</w:t>
            </w:r>
          </w:p>
        </w:tc>
        <w:tc>
          <w:tcPr>
            <w:tcW w:w="2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2.11.</w:t>
            </w:r>
          </w:p>
        </w:tc>
        <w:tc>
          <w:tcPr>
            <w:tcW w:w="8300" w:type="dxa"/>
            <w:vAlign w:val="bottom"/>
          </w:tcPr>
          <w:p>
            <w:pPr>
              <w:ind w:left="220"/>
              <w:spacing w:after="0"/>
              <w:rPr>
                <w:sz w:val="20"/>
                <w:szCs w:val="20"/>
                <w:color w:val="auto"/>
              </w:rPr>
            </w:pPr>
            <w:r>
              <w:rPr>
                <w:rFonts w:ascii="Arial" w:cs="Arial" w:eastAsia="Arial" w:hAnsi="Arial"/>
                <w:sz w:val="18"/>
                <w:szCs w:val="18"/>
                <w:color w:val="auto"/>
              </w:rPr>
              <w:t>Evidence of Indebtedness</w:t>
            </w:r>
          </w:p>
        </w:tc>
        <w:tc>
          <w:tcPr>
            <w:tcW w:w="2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2.12.</w:t>
            </w:r>
          </w:p>
        </w:tc>
        <w:tc>
          <w:tcPr>
            <w:tcW w:w="8300" w:type="dxa"/>
            <w:vAlign w:val="bottom"/>
          </w:tcPr>
          <w:p>
            <w:pPr>
              <w:ind w:left="220"/>
              <w:spacing w:after="0"/>
              <w:rPr>
                <w:sz w:val="20"/>
                <w:szCs w:val="20"/>
                <w:color w:val="auto"/>
              </w:rPr>
            </w:pPr>
            <w:r>
              <w:rPr>
                <w:rFonts w:ascii="Arial" w:cs="Arial" w:eastAsia="Arial" w:hAnsi="Arial"/>
                <w:sz w:val="18"/>
                <w:szCs w:val="18"/>
                <w:color w:val="auto"/>
              </w:rPr>
              <w:t>Telephonic Notices</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2.13.</w:t>
            </w:r>
          </w:p>
        </w:tc>
        <w:tc>
          <w:tcPr>
            <w:tcW w:w="8300" w:type="dxa"/>
            <w:vAlign w:val="bottom"/>
          </w:tcPr>
          <w:p>
            <w:pPr>
              <w:ind w:left="220"/>
              <w:spacing w:after="0"/>
              <w:rPr>
                <w:sz w:val="20"/>
                <w:szCs w:val="20"/>
                <w:color w:val="auto"/>
              </w:rPr>
            </w:pPr>
            <w:r>
              <w:rPr>
                <w:rFonts w:ascii="Arial" w:cs="Arial" w:eastAsia="Arial" w:hAnsi="Arial"/>
                <w:sz w:val="18"/>
                <w:szCs w:val="18"/>
                <w:color w:val="auto"/>
              </w:rPr>
              <w:t>Interest Payment Dates; Interest and Fee Basis</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2.14.</w:t>
            </w:r>
          </w:p>
        </w:tc>
        <w:tc>
          <w:tcPr>
            <w:tcW w:w="8300" w:type="dxa"/>
            <w:vAlign w:val="bottom"/>
          </w:tcPr>
          <w:p>
            <w:pPr>
              <w:ind w:left="220"/>
              <w:spacing w:after="0"/>
              <w:rPr>
                <w:sz w:val="20"/>
                <w:szCs w:val="20"/>
                <w:color w:val="auto"/>
              </w:rPr>
            </w:pPr>
            <w:r>
              <w:rPr>
                <w:rFonts w:ascii="Arial" w:cs="Arial" w:eastAsia="Arial" w:hAnsi="Arial"/>
                <w:sz w:val="18"/>
                <w:szCs w:val="18"/>
                <w:color w:val="auto"/>
              </w:rPr>
              <w:t>Notification of Advances, Interest Rates, Prepayments and Commitment Reductions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2.15.</w:t>
            </w:r>
          </w:p>
        </w:tc>
        <w:tc>
          <w:tcPr>
            <w:tcW w:w="8300" w:type="dxa"/>
            <w:vAlign w:val="bottom"/>
          </w:tcPr>
          <w:p>
            <w:pPr>
              <w:ind w:left="220"/>
              <w:spacing w:after="0"/>
              <w:rPr>
                <w:sz w:val="20"/>
                <w:szCs w:val="20"/>
                <w:color w:val="auto"/>
              </w:rPr>
            </w:pPr>
            <w:r>
              <w:rPr>
                <w:rFonts w:ascii="Arial" w:cs="Arial" w:eastAsia="Arial" w:hAnsi="Arial"/>
                <w:sz w:val="18"/>
                <w:szCs w:val="18"/>
                <w:color w:val="auto"/>
              </w:rPr>
              <w:t>Lending Installations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2.16.</w:t>
            </w:r>
          </w:p>
        </w:tc>
        <w:tc>
          <w:tcPr>
            <w:tcW w:w="8300" w:type="dxa"/>
            <w:vAlign w:val="bottom"/>
          </w:tcPr>
          <w:p>
            <w:pPr>
              <w:ind w:left="220"/>
              <w:spacing w:after="0"/>
              <w:rPr>
                <w:sz w:val="20"/>
                <w:szCs w:val="20"/>
                <w:color w:val="auto"/>
              </w:rPr>
            </w:pPr>
            <w:r>
              <w:rPr>
                <w:rFonts w:ascii="Arial" w:cs="Arial" w:eastAsia="Arial" w:hAnsi="Arial"/>
                <w:sz w:val="18"/>
                <w:szCs w:val="18"/>
                <w:color w:val="auto"/>
              </w:rPr>
              <w:t>Non-Receipt of Funds by the Administrative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2.17.</w:t>
            </w:r>
          </w:p>
        </w:tc>
        <w:tc>
          <w:tcPr>
            <w:tcW w:w="8300" w:type="dxa"/>
            <w:vAlign w:val="bottom"/>
          </w:tcPr>
          <w:p>
            <w:pPr>
              <w:ind w:left="220"/>
              <w:spacing w:after="0"/>
              <w:rPr>
                <w:sz w:val="20"/>
                <w:szCs w:val="20"/>
                <w:color w:val="auto"/>
              </w:rPr>
            </w:pPr>
            <w:r>
              <w:rPr>
                <w:rFonts w:ascii="Arial" w:cs="Arial" w:eastAsia="Arial" w:hAnsi="Arial"/>
                <w:sz w:val="18"/>
                <w:szCs w:val="18"/>
                <w:color w:val="auto"/>
              </w:rPr>
              <w:t>Facility LCs</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2.18.</w:t>
            </w:r>
          </w:p>
        </w:tc>
        <w:tc>
          <w:tcPr>
            <w:tcW w:w="8300" w:type="dxa"/>
            <w:vAlign w:val="bottom"/>
          </w:tcPr>
          <w:p>
            <w:pPr>
              <w:ind w:left="220"/>
              <w:spacing w:after="0"/>
              <w:rPr>
                <w:sz w:val="20"/>
                <w:szCs w:val="20"/>
                <w:color w:val="auto"/>
              </w:rPr>
            </w:pPr>
            <w:r>
              <w:rPr>
                <w:rFonts w:ascii="Arial" w:cs="Arial" w:eastAsia="Arial" w:hAnsi="Arial"/>
                <w:sz w:val="18"/>
                <w:szCs w:val="18"/>
                <w:color w:val="auto"/>
              </w:rPr>
              <w:t>Replacement of Lender</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2.19.</w:t>
            </w:r>
          </w:p>
        </w:tc>
        <w:tc>
          <w:tcPr>
            <w:tcW w:w="8300" w:type="dxa"/>
            <w:vAlign w:val="bottom"/>
          </w:tcPr>
          <w:p>
            <w:pPr>
              <w:ind w:left="220"/>
              <w:spacing w:after="0"/>
              <w:rPr>
                <w:sz w:val="20"/>
                <w:szCs w:val="20"/>
                <w:color w:val="auto"/>
              </w:rPr>
            </w:pPr>
            <w:r>
              <w:rPr>
                <w:rFonts w:ascii="Arial" w:cs="Arial" w:eastAsia="Arial" w:hAnsi="Arial"/>
                <w:sz w:val="18"/>
                <w:szCs w:val="18"/>
                <w:color w:val="auto"/>
              </w:rPr>
              <w:t>Limitation of Interest</w:t>
            </w:r>
          </w:p>
        </w:tc>
        <w:tc>
          <w:tcPr>
            <w:tcW w:w="2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2.20.</w:t>
            </w:r>
          </w:p>
        </w:tc>
        <w:tc>
          <w:tcPr>
            <w:tcW w:w="8300" w:type="dxa"/>
            <w:vAlign w:val="bottom"/>
          </w:tcPr>
          <w:p>
            <w:pPr>
              <w:ind w:left="220"/>
              <w:spacing w:after="0"/>
              <w:rPr>
                <w:sz w:val="20"/>
                <w:szCs w:val="20"/>
                <w:color w:val="auto"/>
              </w:rPr>
            </w:pPr>
            <w:r>
              <w:rPr>
                <w:rFonts w:ascii="Arial" w:cs="Arial" w:eastAsia="Arial" w:hAnsi="Arial"/>
                <w:sz w:val="18"/>
                <w:szCs w:val="18"/>
                <w:color w:val="auto"/>
              </w:rPr>
              <w:t>Defaulting Lenders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40" w:type="dxa"/>
            <w:vAlign w:val="bottom"/>
          </w:tcPr>
          <w:p>
            <w:pPr>
              <w:ind w:left="360"/>
              <w:spacing w:after="0"/>
              <w:rPr>
                <w:sz w:val="20"/>
                <w:szCs w:val="20"/>
                <w:color w:val="auto"/>
              </w:rPr>
            </w:pPr>
            <w:r>
              <w:rPr>
                <w:rFonts w:ascii="Arial" w:cs="Arial" w:eastAsia="Arial" w:hAnsi="Arial"/>
                <w:sz w:val="18"/>
                <w:szCs w:val="18"/>
                <w:color w:val="auto"/>
              </w:rPr>
              <w:t>2.21.</w:t>
            </w:r>
          </w:p>
        </w:tc>
        <w:tc>
          <w:tcPr>
            <w:tcW w:w="8300" w:type="dxa"/>
            <w:vAlign w:val="bottom"/>
          </w:tcPr>
          <w:p>
            <w:pPr>
              <w:ind w:left="220"/>
              <w:spacing w:after="0"/>
              <w:rPr>
                <w:sz w:val="20"/>
                <w:szCs w:val="20"/>
                <w:color w:val="auto"/>
              </w:rPr>
            </w:pPr>
            <w:r>
              <w:rPr>
                <w:rFonts w:ascii="Arial" w:cs="Arial" w:eastAsia="Arial" w:hAnsi="Arial"/>
                <w:sz w:val="18"/>
                <w:szCs w:val="18"/>
                <w:color w:val="auto"/>
              </w:rPr>
              <w:t>Swing Line Loans</w:t>
            </w:r>
          </w:p>
        </w:tc>
        <w:tc>
          <w:tcPr>
            <w:tcW w:w="2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9240" w:type="dxa"/>
            <w:vAlign w:val="bottom"/>
            <w:gridSpan w:val="2"/>
          </w:tcPr>
          <w:p>
            <w:pPr>
              <w:spacing w:after="0"/>
              <w:rPr>
                <w:sz w:val="20"/>
                <w:szCs w:val="20"/>
                <w:color w:val="auto"/>
              </w:rPr>
            </w:pPr>
            <w:r>
              <w:rPr>
                <w:rFonts w:ascii="Arial" w:cs="Arial" w:eastAsia="Arial" w:hAnsi="Arial"/>
                <w:sz w:val="18"/>
                <w:szCs w:val="18"/>
                <w:color w:val="auto"/>
              </w:rPr>
              <w:t>ARTICLE III. YIELD PROTECTION; TAXES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3.1.</w:t>
            </w:r>
          </w:p>
        </w:tc>
        <w:tc>
          <w:tcPr>
            <w:tcW w:w="8300" w:type="dxa"/>
            <w:vAlign w:val="bottom"/>
          </w:tcPr>
          <w:p>
            <w:pPr>
              <w:ind w:left="220"/>
              <w:spacing w:after="0"/>
              <w:rPr>
                <w:sz w:val="20"/>
                <w:szCs w:val="20"/>
                <w:color w:val="auto"/>
              </w:rPr>
            </w:pPr>
            <w:r>
              <w:rPr>
                <w:rFonts w:ascii="Arial" w:cs="Arial" w:eastAsia="Arial" w:hAnsi="Arial"/>
                <w:sz w:val="18"/>
                <w:szCs w:val="18"/>
                <w:color w:val="auto"/>
              </w:rPr>
              <w:t>Yield Protection</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3.2.</w:t>
            </w:r>
          </w:p>
        </w:tc>
        <w:tc>
          <w:tcPr>
            <w:tcW w:w="8300" w:type="dxa"/>
            <w:vAlign w:val="bottom"/>
          </w:tcPr>
          <w:p>
            <w:pPr>
              <w:ind w:left="220"/>
              <w:spacing w:after="0"/>
              <w:rPr>
                <w:sz w:val="20"/>
                <w:szCs w:val="20"/>
                <w:color w:val="auto"/>
              </w:rPr>
            </w:pPr>
            <w:r>
              <w:rPr>
                <w:rFonts w:ascii="Arial" w:cs="Arial" w:eastAsia="Arial" w:hAnsi="Arial"/>
                <w:sz w:val="18"/>
                <w:szCs w:val="18"/>
                <w:color w:val="auto"/>
              </w:rPr>
              <w:t>Changes in Capital Adequacy Regulations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3.3.</w:t>
            </w:r>
          </w:p>
        </w:tc>
        <w:tc>
          <w:tcPr>
            <w:tcW w:w="8300" w:type="dxa"/>
            <w:vAlign w:val="bottom"/>
          </w:tcPr>
          <w:p>
            <w:pPr>
              <w:ind w:left="220"/>
              <w:spacing w:after="0"/>
              <w:rPr>
                <w:sz w:val="20"/>
                <w:szCs w:val="20"/>
                <w:color w:val="auto"/>
              </w:rPr>
            </w:pPr>
            <w:r>
              <w:rPr>
                <w:rFonts w:ascii="Arial" w:cs="Arial" w:eastAsia="Arial" w:hAnsi="Arial"/>
                <w:sz w:val="18"/>
                <w:szCs w:val="18"/>
                <w:color w:val="auto"/>
              </w:rPr>
              <w:t>Availability of Types of Advances; Adequacy of Interest Rate</w:t>
            </w:r>
          </w:p>
        </w:tc>
        <w:tc>
          <w:tcPr>
            <w:tcW w:w="2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3.4.</w:t>
            </w:r>
          </w:p>
        </w:tc>
        <w:tc>
          <w:tcPr>
            <w:tcW w:w="8300" w:type="dxa"/>
            <w:vAlign w:val="bottom"/>
          </w:tcPr>
          <w:p>
            <w:pPr>
              <w:ind w:left="220"/>
              <w:spacing w:after="0"/>
              <w:rPr>
                <w:sz w:val="20"/>
                <w:szCs w:val="20"/>
                <w:color w:val="auto"/>
              </w:rPr>
            </w:pPr>
            <w:r>
              <w:rPr>
                <w:rFonts w:ascii="Arial" w:cs="Arial" w:eastAsia="Arial" w:hAnsi="Arial"/>
                <w:sz w:val="18"/>
                <w:szCs w:val="18"/>
                <w:color w:val="auto"/>
              </w:rPr>
              <w:t>Funding Indemnification</w:t>
            </w:r>
          </w:p>
        </w:tc>
        <w:tc>
          <w:tcPr>
            <w:tcW w:w="2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3.5.</w:t>
            </w:r>
          </w:p>
        </w:tc>
        <w:tc>
          <w:tcPr>
            <w:tcW w:w="8300" w:type="dxa"/>
            <w:vAlign w:val="bottom"/>
          </w:tcPr>
          <w:p>
            <w:pPr>
              <w:ind w:left="220"/>
              <w:spacing w:after="0"/>
              <w:rPr>
                <w:sz w:val="20"/>
                <w:szCs w:val="20"/>
                <w:color w:val="auto"/>
              </w:rPr>
            </w:pPr>
            <w:r>
              <w:rPr>
                <w:rFonts w:ascii="Arial" w:cs="Arial" w:eastAsia="Arial" w:hAnsi="Arial"/>
                <w:sz w:val="18"/>
                <w:szCs w:val="18"/>
                <w:color w:val="auto"/>
              </w:rPr>
              <w:t>Taxes</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40" w:type="dxa"/>
            <w:vAlign w:val="bottom"/>
          </w:tcPr>
          <w:p>
            <w:pPr>
              <w:ind w:left="360"/>
              <w:spacing w:after="0"/>
              <w:rPr>
                <w:sz w:val="20"/>
                <w:szCs w:val="20"/>
                <w:color w:val="auto"/>
              </w:rPr>
            </w:pPr>
            <w:r>
              <w:rPr>
                <w:rFonts w:ascii="Arial" w:cs="Arial" w:eastAsia="Arial" w:hAnsi="Arial"/>
                <w:sz w:val="18"/>
                <w:szCs w:val="18"/>
                <w:color w:val="auto"/>
              </w:rPr>
              <w:t>3.6.</w:t>
            </w:r>
          </w:p>
        </w:tc>
        <w:tc>
          <w:tcPr>
            <w:tcW w:w="8300" w:type="dxa"/>
            <w:vAlign w:val="bottom"/>
          </w:tcPr>
          <w:p>
            <w:pPr>
              <w:ind w:left="220"/>
              <w:spacing w:after="0"/>
              <w:rPr>
                <w:sz w:val="20"/>
                <w:szCs w:val="20"/>
                <w:color w:val="auto"/>
              </w:rPr>
            </w:pPr>
            <w:r>
              <w:rPr>
                <w:rFonts w:ascii="Arial" w:cs="Arial" w:eastAsia="Arial" w:hAnsi="Arial"/>
                <w:sz w:val="18"/>
                <w:szCs w:val="18"/>
                <w:color w:val="auto"/>
              </w:rPr>
              <w:t>Lender Statements; Survival of Indemnity</w:t>
            </w:r>
          </w:p>
        </w:tc>
        <w:tc>
          <w:tcPr>
            <w:tcW w:w="2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9240" w:type="dxa"/>
            <w:vAlign w:val="bottom"/>
            <w:gridSpan w:val="2"/>
          </w:tcPr>
          <w:p>
            <w:pPr>
              <w:spacing w:after="0"/>
              <w:rPr>
                <w:sz w:val="20"/>
                <w:szCs w:val="20"/>
                <w:color w:val="auto"/>
              </w:rPr>
            </w:pPr>
            <w:r>
              <w:rPr>
                <w:rFonts w:ascii="Arial" w:cs="Arial" w:eastAsia="Arial" w:hAnsi="Arial"/>
                <w:sz w:val="18"/>
                <w:szCs w:val="18"/>
                <w:color w:val="auto"/>
              </w:rPr>
              <w:t>ARTICLE IV. CONDITIONS PRECEDENT</w:t>
            </w:r>
          </w:p>
        </w:tc>
        <w:tc>
          <w:tcPr>
            <w:tcW w:w="21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4.1.</w:t>
            </w:r>
          </w:p>
        </w:tc>
        <w:tc>
          <w:tcPr>
            <w:tcW w:w="8300" w:type="dxa"/>
            <w:vAlign w:val="bottom"/>
          </w:tcPr>
          <w:p>
            <w:pPr>
              <w:ind w:left="220"/>
              <w:spacing w:after="0"/>
              <w:rPr>
                <w:sz w:val="20"/>
                <w:szCs w:val="20"/>
                <w:color w:val="auto"/>
              </w:rPr>
            </w:pPr>
            <w:r>
              <w:rPr>
                <w:rFonts w:ascii="Arial" w:cs="Arial" w:eastAsia="Arial" w:hAnsi="Arial"/>
                <w:sz w:val="18"/>
                <w:szCs w:val="18"/>
                <w:color w:val="auto"/>
              </w:rPr>
              <w:t>Initial Credit Extension</w:t>
            </w:r>
          </w:p>
        </w:tc>
        <w:tc>
          <w:tcPr>
            <w:tcW w:w="21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40" w:type="dxa"/>
            <w:vAlign w:val="bottom"/>
          </w:tcPr>
          <w:p>
            <w:pPr>
              <w:ind w:left="360"/>
              <w:spacing w:after="0"/>
              <w:rPr>
                <w:sz w:val="20"/>
                <w:szCs w:val="20"/>
                <w:color w:val="auto"/>
              </w:rPr>
            </w:pPr>
            <w:r>
              <w:rPr>
                <w:rFonts w:ascii="Arial" w:cs="Arial" w:eastAsia="Arial" w:hAnsi="Arial"/>
                <w:sz w:val="18"/>
                <w:szCs w:val="18"/>
                <w:color w:val="auto"/>
              </w:rPr>
              <w:t>4.2.</w:t>
            </w:r>
          </w:p>
        </w:tc>
        <w:tc>
          <w:tcPr>
            <w:tcW w:w="8300" w:type="dxa"/>
            <w:vAlign w:val="bottom"/>
          </w:tcPr>
          <w:p>
            <w:pPr>
              <w:ind w:left="220"/>
              <w:spacing w:after="0"/>
              <w:rPr>
                <w:sz w:val="20"/>
                <w:szCs w:val="20"/>
                <w:color w:val="auto"/>
              </w:rPr>
            </w:pPr>
            <w:r>
              <w:rPr>
                <w:rFonts w:ascii="Arial" w:cs="Arial" w:eastAsia="Arial" w:hAnsi="Arial"/>
                <w:sz w:val="18"/>
                <w:szCs w:val="18"/>
                <w:color w:val="auto"/>
              </w:rPr>
              <w:t>Each Credit Extension Following the Initial Credit Extensions</w:t>
            </w:r>
          </w:p>
        </w:tc>
        <w:tc>
          <w:tcPr>
            <w:tcW w:w="2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924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2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5.1.</w:t>
            </w:r>
          </w:p>
        </w:tc>
        <w:tc>
          <w:tcPr>
            <w:tcW w:w="8300" w:type="dxa"/>
            <w:vAlign w:val="bottom"/>
          </w:tcPr>
          <w:p>
            <w:pPr>
              <w:ind w:left="220"/>
              <w:spacing w:after="0"/>
              <w:rPr>
                <w:sz w:val="20"/>
                <w:szCs w:val="20"/>
                <w:color w:val="auto"/>
              </w:rPr>
            </w:pPr>
            <w:r>
              <w:rPr>
                <w:rFonts w:ascii="Arial" w:cs="Arial" w:eastAsia="Arial" w:hAnsi="Arial"/>
                <w:sz w:val="18"/>
                <w:szCs w:val="18"/>
                <w:color w:val="auto"/>
              </w:rPr>
              <w:t>Existence and Standing</w:t>
            </w:r>
          </w:p>
        </w:tc>
        <w:tc>
          <w:tcPr>
            <w:tcW w:w="2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5.2.</w:t>
            </w:r>
          </w:p>
        </w:tc>
        <w:tc>
          <w:tcPr>
            <w:tcW w:w="8300" w:type="dxa"/>
            <w:vAlign w:val="bottom"/>
          </w:tcPr>
          <w:p>
            <w:pPr>
              <w:ind w:left="220"/>
              <w:spacing w:after="0"/>
              <w:rPr>
                <w:sz w:val="20"/>
                <w:szCs w:val="20"/>
                <w:color w:val="auto"/>
              </w:rPr>
            </w:pPr>
            <w:r>
              <w:rPr>
                <w:rFonts w:ascii="Arial" w:cs="Arial" w:eastAsia="Arial" w:hAnsi="Arial"/>
                <w:sz w:val="18"/>
                <w:szCs w:val="18"/>
                <w:color w:val="auto"/>
              </w:rPr>
              <w:t>Authorization and Validity</w:t>
            </w:r>
          </w:p>
        </w:tc>
        <w:tc>
          <w:tcPr>
            <w:tcW w:w="2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5.3.</w:t>
            </w:r>
          </w:p>
        </w:tc>
        <w:tc>
          <w:tcPr>
            <w:tcW w:w="8300" w:type="dxa"/>
            <w:vAlign w:val="bottom"/>
          </w:tcPr>
          <w:p>
            <w:pPr>
              <w:ind w:left="220"/>
              <w:spacing w:after="0"/>
              <w:rPr>
                <w:sz w:val="20"/>
                <w:szCs w:val="20"/>
                <w:color w:val="auto"/>
              </w:rPr>
            </w:pPr>
            <w:r>
              <w:rPr>
                <w:rFonts w:ascii="Arial" w:cs="Arial" w:eastAsia="Arial" w:hAnsi="Arial"/>
                <w:sz w:val="18"/>
                <w:szCs w:val="18"/>
                <w:color w:val="auto"/>
              </w:rPr>
              <w:t>No Conflict; Government Consent</w:t>
            </w:r>
          </w:p>
        </w:tc>
        <w:tc>
          <w:tcPr>
            <w:tcW w:w="2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5.4.</w:t>
            </w:r>
          </w:p>
        </w:tc>
        <w:tc>
          <w:tcPr>
            <w:tcW w:w="8300" w:type="dxa"/>
            <w:vAlign w:val="bottom"/>
          </w:tcPr>
          <w:p>
            <w:pPr>
              <w:ind w:left="220"/>
              <w:spacing w:after="0"/>
              <w:rPr>
                <w:sz w:val="20"/>
                <w:szCs w:val="20"/>
                <w:color w:val="auto"/>
              </w:rPr>
            </w:pPr>
            <w:r>
              <w:rPr>
                <w:rFonts w:ascii="Arial" w:cs="Arial" w:eastAsia="Arial" w:hAnsi="Arial"/>
                <w:sz w:val="18"/>
                <w:szCs w:val="18"/>
                <w:color w:val="auto"/>
              </w:rPr>
              <w:t>Financial Statements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5.5.</w:t>
            </w:r>
          </w:p>
        </w:tc>
        <w:tc>
          <w:tcPr>
            <w:tcW w:w="8300" w:type="dxa"/>
            <w:vAlign w:val="bottom"/>
          </w:tcPr>
          <w:p>
            <w:pPr>
              <w:ind w:left="220"/>
              <w:spacing w:after="0"/>
              <w:rPr>
                <w:sz w:val="20"/>
                <w:szCs w:val="20"/>
                <w:color w:val="auto"/>
              </w:rPr>
            </w:pPr>
            <w:r>
              <w:rPr>
                <w:rFonts w:ascii="Arial" w:cs="Arial" w:eastAsia="Arial" w:hAnsi="Arial"/>
                <w:sz w:val="18"/>
                <w:szCs w:val="18"/>
                <w:color w:val="auto"/>
              </w:rPr>
              <w:t>Material Adverse Change</w:t>
            </w:r>
          </w:p>
        </w:tc>
        <w:tc>
          <w:tcPr>
            <w:tcW w:w="2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940" w:type="dxa"/>
            <w:vAlign w:val="bottom"/>
          </w:tcPr>
          <w:p>
            <w:pPr>
              <w:ind w:left="360"/>
              <w:spacing w:after="0"/>
              <w:rPr>
                <w:sz w:val="20"/>
                <w:szCs w:val="20"/>
                <w:color w:val="auto"/>
              </w:rPr>
            </w:pPr>
            <w:r>
              <w:rPr>
                <w:rFonts w:ascii="Arial" w:cs="Arial" w:eastAsia="Arial" w:hAnsi="Arial"/>
                <w:sz w:val="18"/>
                <w:szCs w:val="18"/>
                <w:color w:val="auto"/>
              </w:rPr>
              <w:t>5.6.</w:t>
            </w:r>
          </w:p>
        </w:tc>
        <w:tc>
          <w:tcPr>
            <w:tcW w:w="8300" w:type="dxa"/>
            <w:vAlign w:val="bottom"/>
          </w:tcPr>
          <w:p>
            <w:pPr>
              <w:ind w:left="220"/>
              <w:spacing w:after="0"/>
              <w:rPr>
                <w:sz w:val="20"/>
                <w:szCs w:val="20"/>
                <w:color w:val="auto"/>
              </w:rPr>
            </w:pPr>
            <w:r>
              <w:rPr>
                <w:rFonts w:ascii="Arial" w:cs="Arial" w:eastAsia="Arial" w:hAnsi="Arial"/>
                <w:sz w:val="18"/>
                <w:szCs w:val="18"/>
                <w:color w:val="auto"/>
              </w:rPr>
              <w:t>Taxes</w:t>
            </w:r>
          </w:p>
        </w:tc>
        <w:tc>
          <w:tcPr>
            <w:tcW w:w="218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5.7.</w:t>
            </w:r>
          </w:p>
        </w:tc>
        <w:tc>
          <w:tcPr>
            <w:tcW w:w="9260" w:type="dxa"/>
            <w:vAlign w:val="bottom"/>
          </w:tcPr>
          <w:p>
            <w:pPr>
              <w:ind w:left="220"/>
              <w:spacing w:after="0"/>
              <w:rPr>
                <w:sz w:val="20"/>
                <w:szCs w:val="20"/>
                <w:color w:val="auto"/>
              </w:rPr>
            </w:pPr>
            <w:r>
              <w:rPr>
                <w:rFonts w:ascii="Arial" w:cs="Arial" w:eastAsia="Arial" w:hAnsi="Arial"/>
                <w:sz w:val="18"/>
                <w:szCs w:val="18"/>
                <w:color w:val="auto"/>
              </w:rPr>
              <w:t>Litigation and Contingent Obligations</w:t>
            </w: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5.8.</w:t>
            </w:r>
          </w:p>
        </w:tc>
        <w:tc>
          <w:tcPr>
            <w:tcW w:w="9260" w:type="dxa"/>
            <w:vAlign w:val="bottom"/>
          </w:tcPr>
          <w:p>
            <w:pPr>
              <w:ind w:left="220"/>
              <w:spacing w:after="0"/>
              <w:rPr>
                <w:sz w:val="20"/>
                <w:szCs w:val="20"/>
                <w:color w:val="auto"/>
              </w:rPr>
            </w:pPr>
            <w:r>
              <w:rPr>
                <w:rFonts w:ascii="Arial" w:cs="Arial" w:eastAsia="Arial" w:hAnsi="Arial"/>
                <w:sz w:val="18"/>
                <w:szCs w:val="18"/>
                <w:color w:val="auto"/>
              </w:rPr>
              <w:t>Subsidiaries</w:t>
            </w: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5.9.</w:t>
            </w:r>
          </w:p>
        </w:tc>
        <w:tc>
          <w:tcPr>
            <w:tcW w:w="9260" w:type="dxa"/>
            <w:vAlign w:val="bottom"/>
          </w:tcPr>
          <w:p>
            <w:pPr>
              <w:ind w:left="220"/>
              <w:spacing w:after="0"/>
              <w:rPr>
                <w:sz w:val="20"/>
                <w:szCs w:val="20"/>
                <w:color w:val="auto"/>
              </w:rPr>
            </w:pPr>
            <w:r>
              <w:rPr>
                <w:rFonts w:ascii="Arial" w:cs="Arial" w:eastAsia="Arial" w:hAnsi="Arial"/>
                <w:sz w:val="18"/>
                <w:szCs w:val="18"/>
                <w:color w:val="auto"/>
              </w:rPr>
              <w:t>ERISA</w:t>
            </w: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5.10.</w:t>
            </w:r>
          </w:p>
        </w:tc>
        <w:tc>
          <w:tcPr>
            <w:tcW w:w="9260" w:type="dxa"/>
            <w:vAlign w:val="bottom"/>
          </w:tcPr>
          <w:p>
            <w:pPr>
              <w:ind w:left="220"/>
              <w:spacing w:after="0"/>
              <w:rPr>
                <w:sz w:val="20"/>
                <w:szCs w:val="20"/>
                <w:color w:val="auto"/>
              </w:rPr>
            </w:pPr>
            <w:r>
              <w:rPr>
                <w:rFonts w:ascii="Arial" w:cs="Arial" w:eastAsia="Arial" w:hAnsi="Arial"/>
                <w:sz w:val="18"/>
                <w:szCs w:val="18"/>
                <w:color w:val="auto"/>
              </w:rPr>
              <w:t>Accuracy of Information</w:t>
            </w: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5.11.</w:t>
            </w:r>
          </w:p>
        </w:tc>
        <w:tc>
          <w:tcPr>
            <w:tcW w:w="9260" w:type="dxa"/>
            <w:vAlign w:val="bottom"/>
          </w:tcPr>
          <w:p>
            <w:pPr>
              <w:ind w:left="220"/>
              <w:spacing w:after="0"/>
              <w:rPr>
                <w:sz w:val="20"/>
                <w:szCs w:val="20"/>
                <w:color w:val="auto"/>
              </w:rPr>
            </w:pPr>
            <w:r>
              <w:rPr>
                <w:rFonts w:ascii="Arial" w:cs="Arial" w:eastAsia="Arial" w:hAnsi="Arial"/>
                <w:sz w:val="18"/>
                <w:szCs w:val="18"/>
                <w:color w:val="auto"/>
              </w:rPr>
              <w:t>Regulation U</w:t>
            </w: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5.12.</w:t>
            </w:r>
          </w:p>
        </w:tc>
        <w:tc>
          <w:tcPr>
            <w:tcW w:w="9260" w:type="dxa"/>
            <w:vAlign w:val="bottom"/>
          </w:tcPr>
          <w:p>
            <w:pPr>
              <w:ind w:left="220"/>
              <w:spacing w:after="0"/>
              <w:rPr>
                <w:sz w:val="20"/>
                <w:szCs w:val="20"/>
                <w:color w:val="auto"/>
              </w:rPr>
            </w:pPr>
            <w:r>
              <w:rPr>
                <w:rFonts w:ascii="Arial" w:cs="Arial" w:eastAsia="Arial" w:hAnsi="Arial"/>
                <w:sz w:val="18"/>
                <w:szCs w:val="18"/>
                <w:color w:val="auto"/>
              </w:rPr>
              <w:t>Material Agreements</w:t>
            </w: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5.13.</w:t>
            </w:r>
          </w:p>
        </w:tc>
        <w:tc>
          <w:tcPr>
            <w:tcW w:w="9260" w:type="dxa"/>
            <w:vAlign w:val="bottom"/>
          </w:tcPr>
          <w:p>
            <w:pPr>
              <w:ind w:left="220"/>
              <w:spacing w:after="0"/>
              <w:rPr>
                <w:sz w:val="20"/>
                <w:szCs w:val="20"/>
                <w:color w:val="auto"/>
              </w:rPr>
            </w:pPr>
            <w:r>
              <w:rPr>
                <w:rFonts w:ascii="Arial" w:cs="Arial" w:eastAsia="Arial" w:hAnsi="Arial"/>
                <w:sz w:val="18"/>
                <w:szCs w:val="18"/>
                <w:color w:val="auto"/>
              </w:rPr>
              <w:t>Compliance With Laws</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5.14.</w:t>
            </w:r>
          </w:p>
        </w:tc>
        <w:tc>
          <w:tcPr>
            <w:tcW w:w="9260" w:type="dxa"/>
            <w:vAlign w:val="bottom"/>
          </w:tcPr>
          <w:p>
            <w:pPr>
              <w:ind w:left="220"/>
              <w:spacing w:after="0"/>
              <w:rPr>
                <w:sz w:val="20"/>
                <w:szCs w:val="20"/>
                <w:color w:val="auto"/>
              </w:rPr>
            </w:pPr>
            <w:r>
              <w:rPr>
                <w:rFonts w:ascii="Arial" w:cs="Arial" w:eastAsia="Arial" w:hAnsi="Arial"/>
                <w:sz w:val="18"/>
                <w:szCs w:val="18"/>
                <w:color w:val="auto"/>
              </w:rPr>
              <w:t>Ownership of Properties; Perfection of Liens</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5.15.</w:t>
            </w:r>
          </w:p>
        </w:tc>
        <w:tc>
          <w:tcPr>
            <w:tcW w:w="9260" w:type="dxa"/>
            <w:vAlign w:val="bottom"/>
          </w:tcPr>
          <w:p>
            <w:pPr>
              <w:ind w:left="220"/>
              <w:spacing w:after="0"/>
              <w:rPr>
                <w:sz w:val="20"/>
                <w:szCs w:val="20"/>
                <w:color w:val="auto"/>
              </w:rPr>
            </w:pPr>
            <w:r>
              <w:rPr>
                <w:rFonts w:ascii="Arial" w:cs="Arial" w:eastAsia="Arial" w:hAnsi="Arial"/>
                <w:sz w:val="18"/>
                <w:szCs w:val="18"/>
                <w:color w:val="auto"/>
              </w:rPr>
              <w:t>Plan Assets; Prohibited Transactions</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5.16.</w:t>
            </w:r>
          </w:p>
        </w:tc>
        <w:tc>
          <w:tcPr>
            <w:tcW w:w="9260" w:type="dxa"/>
            <w:vAlign w:val="bottom"/>
          </w:tcPr>
          <w:p>
            <w:pPr>
              <w:ind w:left="220"/>
              <w:spacing w:after="0"/>
              <w:rPr>
                <w:sz w:val="20"/>
                <w:szCs w:val="20"/>
                <w:color w:val="auto"/>
              </w:rPr>
            </w:pPr>
            <w:r>
              <w:rPr>
                <w:rFonts w:ascii="Arial" w:cs="Arial" w:eastAsia="Arial" w:hAnsi="Arial"/>
                <w:sz w:val="18"/>
                <w:szCs w:val="18"/>
                <w:color w:val="auto"/>
              </w:rPr>
              <w:t>Environmental Matters</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5.17.</w:t>
            </w:r>
          </w:p>
        </w:tc>
        <w:tc>
          <w:tcPr>
            <w:tcW w:w="9260" w:type="dxa"/>
            <w:vAlign w:val="bottom"/>
          </w:tcPr>
          <w:p>
            <w:pPr>
              <w:ind w:left="220"/>
              <w:spacing w:after="0"/>
              <w:rPr>
                <w:sz w:val="20"/>
                <w:szCs w:val="20"/>
                <w:color w:val="auto"/>
              </w:rPr>
            </w:pPr>
            <w:r>
              <w:rPr>
                <w:rFonts w:ascii="Arial" w:cs="Arial" w:eastAsia="Arial" w:hAnsi="Arial"/>
                <w:sz w:val="18"/>
                <w:szCs w:val="18"/>
                <w:color w:val="auto"/>
              </w:rPr>
              <w:t>Investment Company Act</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5.18.</w:t>
            </w:r>
          </w:p>
        </w:tc>
        <w:tc>
          <w:tcPr>
            <w:tcW w:w="926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5.19.</w:t>
            </w:r>
          </w:p>
        </w:tc>
        <w:tc>
          <w:tcPr>
            <w:tcW w:w="9260" w:type="dxa"/>
            <w:vAlign w:val="bottom"/>
          </w:tcPr>
          <w:p>
            <w:pPr>
              <w:ind w:left="220"/>
              <w:spacing w:after="0"/>
              <w:rPr>
                <w:sz w:val="20"/>
                <w:szCs w:val="20"/>
                <w:color w:val="auto"/>
              </w:rPr>
            </w:pPr>
            <w:r>
              <w:rPr>
                <w:rFonts w:ascii="Arial" w:cs="Arial" w:eastAsia="Arial" w:hAnsi="Arial"/>
                <w:sz w:val="18"/>
                <w:szCs w:val="18"/>
                <w:color w:val="auto"/>
              </w:rPr>
              <w:t>Real Property</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5.20.</w:t>
            </w:r>
          </w:p>
        </w:tc>
        <w:tc>
          <w:tcPr>
            <w:tcW w:w="9260" w:type="dxa"/>
            <w:vAlign w:val="bottom"/>
          </w:tcPr>
          <w:p>
            <w:pPr>
              <w:ind w:left="220"/>
              <w:spacing w:after="0"/>
              <w:rPr>
                <w:sz w:val="20"/>
                <w:szCs w:val="20"/>
                <w:color w:val="auto"/>
              </w:rPr>
            </w:pPr>
            <w:r>
              <w:rPr>
                <w:rFonts w:ascii="Arial" w:cs="Arial" w:eastAsia="Arial" w:hAnsi="Arial"/>
                <w:sz w:val="18"/>
                <w:szCs w:val="18"/>
                <w:color w:val="auto"/>
              </w:rPr>
              <w:t>Solvency</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5.21.</w:t>
            </w:r>
          </w:p>
        </w:tc>
        <w:tc>
          <w:tcPr>
            <w:tcW w:w="9260" w:type="dxa"/>
            <w:vAlign w:val="bottom"/>
          </w:tcPr>
          <w:p>
            <w:pPr>
              <w:ind w:left="220"/>
              <w:spacing w:after="0"/>
              <w:rPr>
                <w:sz w:val="20"/>
                <w:szCs w:val="20"/>
                <w:color w:val="auto"/>
              </w:rPr>
            </w:pPr>
            <w:r>
              <w:rPr>
                <w:rFonts w:ascii="Arial" w:cs="Arial" w:eastAsia="Arial" w:hAnsi="Arial"/>
                <w:sz w:val="18"/>
                <w:szCs w:val="18"/>
                <w:color w:val="auto"/>
              </w:rPr>
              <w:t>Intellectual Property</w:t>
            </w: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5.22.</w:t>
            </w:r>
          </w:p>
        </w:tc>
        <w:tc>
          <w:tcPr>
            <w:tcW w:w="9260" w:type="dxa"/>
            <w:vAlign w:val="bottom"/>
          </w:tcPr>
          <w:p>
            <w:pPr>
              <w:ind w:left="220"/>
              <w:spacing w:after="0"/>
              <w:rPr>
                <w:sz w:val="20"/>
                <w:szCs w:val="20"/>
                <w:color w:val="auto"/>
              </w:rPr>
            </w:pPr>
            <w:r>
              <w:rPr>
                <w:rFonts w:ascii="Arial" w:cs="Arial" w:eastAsia="Arial" w:hAnsi="Arial"/>
                <w:sz w:val="18"/>
                <w:szCs w:val="18"/>
                <w:color w:val="auto"/>
              </w:rPr>
              <w:t>Labor Matters</w:t>
            </w: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5.23.</w:t>
            </w:r>
          </w:p>
        </w:tc>
        <w:tc>
          <w:tcPr>
            <w:tcW w:w="9260" w:type="dxa"/>
            <w:vAlign w:val="bottom"/>
          </w:tcPr>
          <w:p>
            <w:pPr>
              <w:ind w:left="220"/>
              <w:spacing w:after="0"/>
              <w:rPr>
                <w:sz w:val="20"/>
                <w:szCs w:val="20"/>
                <w:color w:val="auto"/>
              </w:rPr>
            </w:pPr>
            <w:r>
              <w:rPr>
                <w:rFonts w:ascii="Arial" w:cs="Arial" w:eastAsia="Arial" w:hAnsi="Arial"/>
                <w:sz w:val="18"/>
                <w:szCs w:val="18"/>
                <w:color w:val="auto"/>
              </w:rPr>
              <w:t>No Default</w:t>
            </w: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5.24.</w:t>
            </w:r>
          </w:p>
        </w:tc>
        <w:tc>
          <w:tcPr>
            <w:tcW w:w="9260" w:type="dxa"/>
            <w:vAlign w:val="bottom"/>
          </w:tcPr>
          <w:p>
            <w:pPr>
              <w:ind w:left="220"/>
              <w:spacing w:after="0"/>
              <w:rPr>
                <w:sz w:val="20"/>
                <w:szCs w:val="20"/>
                <w:color w:val="auto"/>
              </w:rPr>
            </w:pPr>
            <w:r>
              <w:rPr>
                <w:rFonts w:ascii="Arial" w:cs="Arial" w:eastAsia="Arial" w:hAnsi="Arial"/>
                <w:sz w:val="18"/>
                <w:szCs w:val="18"/>
                <w:color w:val="auto"/>
              </w:rPr>
              <w:t>Burdensome Restrictions</w:t>
            </w: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5.25.</w:t>
            </w:r>
          </w:p>
        </w:tc>
        <w:tc>
          <w:tcPr>
            <w:tcW w:w="9260" w:type="dxa"/>
            <w:vAlign w:val="bottom"/>
          </w:tcPr>
          <w:p>
            <w:pPr>
              <w:ind w:left="220"/>
              <w:spacing w:after="0"/>
              <w:rPr>
                <w:sz w:val="20"/>
                <w:szCs w:val="20"/>
                <w:color w:val="auto"/>
              </w:rPr>
            </w:pPr>
            <w:r>
              <w:rPr>
                <w:rFonts w:ascii="Arial" w:cs="Arial" w:eastAsia="Arial" w:hAnsi="Arial"/>
                <w:sz w:val="18"/>
                <w:szCs w:val="18"/>
                <w:color w:val="auto"/>
              </w:rPr>
              <w:t>Anti-Corruption Laws; Sanctions; Anti-Terrorism Laws</w:t>
            </w: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5.26.</w:t>
            </w:r>
          </w:p>
        </w:tc>
        <w:tc>
          <w:tcPr>
            <w:tcW w:w="9260" w:type="dxa"/>
            <w:vAlign w:val="bottom"/>
          </w:tcPr>
          <w:p>
            <w:pPr>
              <w:ind w:left="220"/>
              <w:spacing w:after="0"/>
              <w:rPr>
                <w:sz w:val="20"/>
                <w:szCs w:val="20"/>
                <w:color w:val="auto"/>
              </w:rPr>
            </w:pPr>
            <w:r>
              <w:rPr>
                <w:rFonts w:ascii="Arial" w:cs="Arial" w:eastAsia="Arial" w:hAnsi="Arial"/>
                <w:sz w:val="18"/>
                <w:szCs w:val="18"/>
                <w:color w:val="auto"/>
              </w:rPr>
              <w:t>Foreign Assets Control Regulations and Anti-Money Laundering</w:t>
            </w: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940" w:type="dxa"/>
            <w:vAlign w:val="bottom"/>
          </w:tcPr>
          <w:p>
            <w:pPr>
              <w:ind w:left="360"/>
              <w:spacing w:after="0"/>
              <w:rPr>
                <w:sz w:val="20"/>
                <w:szCs w:val="20"/>
                <w:color w:val="auto"/>
              </w:rPr>
            </w:pPr>
            <w:r>
              <w:rPr>
                <w:rFonts w:ascii="Arial" w:cs="Arial" w:eastAsia="Arial" w:hAnsi="Arial"/>
                <w:sz w:val="18"/>
                <w:szCs w:val="18"/>
                <w:color w:val="auto"/>
              </w:rPr>
              <w:t>5.27.</w:t>
            </w:r>
          </w:p>
        </w:tc>
        <w:tc>
          <w:tcPr>
            <w:tcW w:w="9260" w:type="dxa"/>
            <w:vAlign w:val="bottom"/>
          </w:tcPr>
          <w:p>
            <w:pPr>
              <w:ind w:left="220"/>
              <w:spacing w:after="0"/>
              <w:rPr>
                <w:sz w:val="20"/>
                <w:szCs w:val="20"/>
                <w:color w:val="auto"/>
              </w:rPr>
            </w:pPr>
            <w:r>
              <w:rPr>
                <w:rFonts w:ascii="Arial" w:cs="Arial" w:eastAsia="Arial" w:hAnsi="Arial"/>
                <w:sz w:val="18"/>
                <w:szCs w:val="18"/>
                <w:color w:val="auto"/>
              </w:rPr>
              <w:t>Subordinated Indebtedness</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0"/>
        </w:trPr>
        <w:tc>
          <w:tcPr>
            <w:tcW w:w="10200" w:type="dxa"/>
            <w:vAlign w:val="bottom"/>
            <w:gridSpan w:val="2"/>
          </w:tcPr>
          <w:p>
            <w:pPr>
              <w:spacing w:after="0"/>
              <w:rPr>
                <w:sz w:val="20"/>
                <w:szCs w:val="20"/>
                <w:color w:val="auto"/>
              </w:rPr>
            </w:pPr>
            <w:r>
              <w:rPr>
                <w:rFonts w:ascii="Arial" w:cs="Arial" w:eastAsia="Arial" w:hAnsi="Arial"/>
                <w:sz w:val="18"/>
                <w:szCs w:val="18"/>
                <w:color w:val="auto"/>
              </w:rPr>
              <w:t>ARTICLE VI. COVENANTS</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6.1.</w:t>
            </w:r>
          </w:p>
        </w:tc>
        <w:tc>
          <w:tcPr>
            <w:tcW w:w="9260" w:type="dxa"/>
            <w:vAlign w:val="bottom"/>
          </w:tcPr>
          <w:p>
            <w:pPr>
              <w:ind w:left="220"/>
              <w:spacing w:after="0"/>
              <w:rPr>
                <w:sz w:val="20"/>
                <w:szCs w:val="20"/>
                <w:color w:val="auto"/>
              </w:rPr>
            </w:pPr>
            <w:r>
              <w:rPr>
                <w:rFonts w:ascii="Arial" w:cs="Arial" w:eastAsia="Arial" w:hAnsi="Arial"/>
                <w:sz w:val="18"/>
                <w:szCs w:val="18"/>
                <w:color w:val="auto"/>
              </w:rPr>
              <w:t>Financial Reporting</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6.2.</w:t>
            </w:r>
          </w:p>
        </w:tc>
        <w:tc>
          <w:tcPr>
            <w:tcW w:w="926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6.3.</w:t>
            </w:r>
          </w:p>
        </w:tc>
        <w:tc>
          <w:tcPr>
            <w:tcW w:w="9260" w:type="dxa"/>
            <w:vAlign w:val="bottom"/>
          </w:tcPr>
          <w:p>
            <w:pPr>
              <w:ind w:left="220"/>
              <w:spacing w:after="0"/>
              <w:rPr>
                <w:sz w:val="20"/>
                <w:szCs w:val="20"/>
                <w:color w:val="auto"/>
              </w:rPr>
            </w:pPr>
            <w:r>
              <w:rPr>
                <w:rFonts w:ascii="Arial" w:cs="Arial" w:eastAsia="Arial" w:hAnsi="Arial"/>
                <w:sz w:val="18"/>
                <w:szCs w:val="18"/>
                <w:color w:val="auto"/>
              </w:rPr>
              <w:t>Notice of Event of Default; ERISA Matters</w:t>
            </w: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6.4.</w:t>
            </w:r>
          </w:p>
        </w:tc>
        <w:tc>
          <w:tcPr>
            <w:tcW w:w="9260" w:type="dxa"/>
            <w:vAlign w:val="bottom"/>
          </w:tcPr>
          <w:p>
            <w:pPr>
              <w:ind w:left="220"/>
              <w:spacing w:after="0"/>
              <w:rPr>
                <w:sz w:val="20"/>
                <w:szCs w:val="20"/>
                <w:color w:val="auto"/>
              </w:rPr>
            </w:pPr>
            <w:r>
              <w:rPr>
                <w:rFonts w:ascii="Arial" w:cs="Arial" w:eastAsia="Arial" w:hAnsi="Arial"/>
                <w:sz w:val="18"/>
                <w:szCs w:val="18"/>
                <w:color w:val="auto"/>
              </w:rPr>
              <w:t>Conduct of Business</w:t>
            </w: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6.5.</w:t>
            </w:r>
          </w:p>
        </w:tc>
        <w:tc>
          <w:tcPr>
            <w:tcW w:w="9260" w:type="dxa"/>
            <w:vAlign w:val="bottom"/>
          </w:tcPr>
          <w:p>
            <w:pPr>
              <w:ind w:left="220"/>
              <w:spacing w:after="0"/>
              <w:rPr>
                <w:sz w:val="20"/>
                <w:szCs w:val="20"/>
                <w:color w:val="auto"/>
              </w:rPr>
            </w:pPr>
            <w:r>
              <w:rPr>
                <w:rFonts w:ascii="Arial" w:cs="Arial" w:eastAsia="Arial" w:hAnsi="Arial"/>
                <w:sz w:val="18"/>
                <w:szCs w:val="18"/>
                <w:color w:val="auto"/>
              </w:rPr>
              <w:t>Formation of Subsidiaries</w:t>
            </w: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6.6.</w:t>
            </w:r>
          </w:p>
        </w:tc>
        <w:tc>
          <w:tcPr>
            <w:tcW w:w="9260" w:type="dxa"/>
            <w:vAlign w:val="bottom"/>
          </w:tcPr>
          <w:p>
            <w:pPr>
              <w:ind w:left="220"/>
              <w:spacing w:after="0"/>
              <w:rPr>
                <w:sz w:val="20"/>
                <w:szCs w:val="20"/>
                <w:color w:val="auto"/>
              </w:rPr>
            </w:pPr>
            <w:r>
              <w:rPr>
                <w:rFonts w:ascii="Arial" w:cs="Arial" w:eastAsia="Arial" w:hAnsi="Arial"/>
                <w:sz w:val="18"/>
                <w:szCs w:val="18"/>
                <w:color w:val="auto"/>
              </w:rPr>
              <w:t>Taxes</w:t>
            </w: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6.7.</w:t>
            </w:r>
          </w:p>
        </w:tc>
        <w:tc>
          <w:tcPr>
            <w:tcW w:w="926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6.8.</w:t>
            </w:r>
          </w:p>
        </w:tc>
        <w:tc>
          <w:tcPr>
            <w:tcW w:w="9260" w:type="dxa"/>
            <w:vAlign w:val="bottom"/>
          </w:tcPr>
          <w:p>
            <w:pPr>
              <w:ind w:left="220"/>
              <w:spacing w:after="0"/>
              <w:rPr>
                <w:sz w:val="20"/>
                <w:szCs w:val="20"/>
                <w:color w:val="auto"/>
              </w:rPr>
            </w:pPr>
            <w:r>
              <w:rPr>
                <w:rFonts w:ascii="Arial" w:cs="Arial" w:eastAsia="Arial" w:hAnsi="Arial"/>
                <w:sz w:val="18"/>
                <w:szCs w:val="18"/>
                <w:color w:val="auto"/>
              </w:rPr>
              <w:t>Compliance with Laws</w:t>
            </w: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6.9.</w:t>
            </w:r>
          </w:p>
        </w:tc>
        <w:tc>
          <w:tcPr>
            <w:tcW w:w="9260" w:type="dxa"/>
            <w:vAlign w:val="bottom"/>
          </w:tcPr>
          <w:p>
            <w:pPr>
              <w:ind w:left="220"/>
              <w:spacing w:after="0"/>
              <w:rPr>
                <w:sz w:val="20"/>
                <w:szCs w:val="20"/>
                <w:color w:val="auto"/>
              </w:rPr>
            </w:pPr>
            <w:r>
              <w:rPr>
                <w:rFonts w:ascii="Arial" w:cs="Arial" w:eastAsia="Arial" w:hAnsi="Arial"/>
                <w:sz w:val="18"/>
                <w:szCs w:val="18"/>
                <w:color w:val="auto"/>
              </w:rPr>
              <w:t>Maintenance of Properties</w:t>
            </w: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6.10.</w:t>
            </w:r>
          </w:p>
        </w:tc>
        <w:tc>
          <w:tcPr>
            <w:tcW w:w="9260" w:type="dxa"/>
            <w:vAlign w:val="bottom"/>
          </w:tcPr>
          <w:p>
            <w:pPr>
              <w:ind w:left="220"/>
              <w:spacing w:after="0"/>
              <w:rPr>
                <w:sz w:val="20"/>
                <w:szCs w:val="20"/>
                <w:color w:val="auto"/>
              </w:rPr>
            </w:pPr>
            <w:r>
              <w:rPr>
                <w:rFonts w:ascii="Arial" w:cs="Arial" w:eastAsia="Arial" w:hAnsi="Arial"/>
                <w:sz w:val="18"/>
                <w:szCs w:val="18"/>
                <w:color w:val="auto"/>
              </w:rPr>
              <w:t>Inspection</w:t>
            </w: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6.11.</w:t>
            </w:r>
          </w:p>
        </w:tc>
        <w:tc>
          <w:tcPr>
            <w:tcW w:w="9260" w:type="dxa"/>
            <w:vAlign w:val="bottom"/>
          </w:tcPr>
          <w:p>
            <w:pPr>
              <w:ind w:left="220"/>
              <w:spacing w:after="0"/>
              <w:rPr>
                <w:sz w:val="20"/>
                <w:szCs w:val="20"/>
                <w:color w:val="auto"/>
              </w:rPr>
            </w:pPr>
            <w:r>
              <w:rPr>
                <w:rFonts w:ascii="Arial" w:cs="Arial" w:eastAsia="Arial" w:hAnsi="Arial"/>
                <w:sz w:val="18"/>
                <w:szCs w:val="18"/>
                <w:color w:val="auto"/>
              </w:rPr>
              <w:t>Books and Records</w:t>
            </w: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6.12.</w:t>
            </w:r>
          </w:p>
        </w:tc>
        <w:tc>
          <w:tcPr>
            <w:tcW w:w="9260" w:type="dxa"/>
            <w:vAlign w:val="bottom"/>
          </w:tcPr>
          <w:p>
            <w:pPr>
              <w:ind w:left="220"/>
              <w:spacing w:after="0"/>
              <w:rPr>
                <w:sz w:val="20"/>
                <w:szCs w:val="20"/>
                <w:color w:val="auto"/>
              </w:rPr>
            </w:pPr>
            <w:r>
              <w:rPr>
                <w:rFonts w:ascii="Arial" w:cs="Arial" w:eastAsia="Arial" w:hAnsi="Arial"/>
                <w:sz w:val="18"/>
                <w:szCs w:val="18"/>
                <w:color w:val="auto"/>
              </w:rPr>
              <w:t>Compliance with Material Contracts</w:t>
            </w: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6.13.</w:t>
            </w:r>
          </w:p>
        </w:tc>
        <w:tc>
          <w:tcPr>
            <w:tcW w:w="9260" w:type="dxa"/>
            <w:vAlign w:val="bottom"/>
          </w:tcPr>
          <w:p>
            <w:pPr>
              <w:ind w:left="220"/>
              <w:spacing w:after="0"/>
              <w:rPr>
                <w:sz w:val="20"/>
                <w:szCs w:val="20"/>
                <w:color w:val="auto"/>
              </w:rPr>
            </w:pPr>
            <w:r>
              <w:rPr>
                <w:rFonts w:ascii="Arial" w:cs="Arial" w:eastAsia="Arial" w:hAnsi="Arial"/>
                <w:sz w:val="18"/>
                <w:szCs w:val="18"/>
                <w:color w:val="auto"/>
              </w:rPr>
              <w:t>ERISA</w:t>
            </w: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6.14.</w:t>
            </w:r>
          </w:p>
        </w:tc>
        <w:tc>
          <w:tcPr>
            <w:tcW w:w="9260" w:type="dxa"/>
            <w:vAlign w:val="bottom"/>
          </w:tcPr>
          <w:p>
            <w:pPr>
              <w:ind w:left="220"/>
              <w:spacing w:after="0"/>
              <w:rPr>
                <w:sz w:val="20"/>
                <w:szCs w:val="20"/>
                <w:color w:val="auto"/>
              </w:rPr>
            </w:pPr>
            <w:r>
              <w:rPr>
                <w:rFonts w:ascii="Arial" w:cs="Arial" w:eastAsia="Arial" w:hAnsi="Arial"/>
                <w:sz w:val="18"/>
                <w:szCs w:val="18"/>
                <w:color w:val="auto"/>
              </w:rPr>
              <w:t>Environmental Matters; Reporting</w:t>
            </w: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6.15.</w:t>
            </w:r>
          </w:p>
        </w:tc>
        <w:tc>
          <w:tcPr>
            <w:tcW w:w="9260" w:type="dxa"/>
            <w:vAlign w:val="bottom"/>
          </w:tcPr>
          <w:p>
            <w:pPr>
              <w:ind w:left="220"/>
              <w:spacing w:after="0"/>
              <w:rPr>
                <w:sz w:val="20"/>
                <w:szCs w:val="20"/>
                <w:color w:val="auto"/>
              </w:rPr>
            </w:pPr>
            <w:r>
              <w:rPr>
                <w:rFonts w:ascii="Arial" w:cs="Arial" w:eastAsia="Arial" w:hAnsi="Arial"/>
                <w:sz w:val="18"/>
                <w:szCs w:val="18"/>
                <w:color w:val="auto"/>
              </w:rPr>
              <w:t>Reaffirmation of Guaranties</w:t>
            </w: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6.16.</w:t>
            </w:r>
          </w:p>
        </w:tc>
        <w:tc>
          <w:tcPr>
            <w:tcW w:w="9260" w:type="dxa"/>
            <w:vAlign w:val="bottom"/>
          </w:tcPr>
          <w:p>
            <w:pPr>
              <w:ind w:left="220"/>
              <w:spacing w:after="0"/>
              <w:rPr>
                <w:sz w:val="20"/>
                <w:szCs w:val="20"/>
                <w:color w:val="auto"/>
              </w:rPr>
            </w:pPr>
            <w:r>
              <w:rPr>
                <w:rFonts w:ascii="Arial" w:cs="Arial" w:eastAsia="Arial" w:hAnsi="Arial"/>
                <w:sz w:val="18"/>
                <w:szCs w:val="18"/>
                <w:color w:val="auto"/>
              </w:rPr>
              <w:t>Further Assurances; Cash Management; Good Standing; Landlord Waivers Control Agreements; Restructuring</w:t>
            </w: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6.17.</w:t>
            </w:r>
          </w:p>
        </w:tc>
        <w:tc>
          <w:tcPr>
            <w:tcW w:w="9260" w:type="dxa"/>
            <w:vAlign w:val="bottom"/>
          </w:tcPr>
          <w:p>
            <w:pPr>
              <w:ind w:left="220"/>
              <w:spacing w:after="0"/>
              <w:rPr>
                <w:sz w:val="20"/>
                <w:szCs w:val="20"/>
                <w:color w:val="auto"/>
              </w:rPr>
            </w:pPr>
            <w:r>
              <w:rPr>
                <w:rFonts w:ascii="Arial" w:cs="Arial" w:eastAsia="Arial" w:hAnsi="Arial"/>
                <w:sz w:val="18"/>
                <w:szCs w:val="18"/>
                <w:color w:val="auto"/>
              </w:rPr>
              <w:t>Indebtedness</w:t>
            </w: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6.18.</w:t>
            </w:r>
          </w:p>
        </w:tc>
        <w:tc>
          <w:tcPr>
            <w:tcW w:w="9260" w:type="dxa"/>
            <w:vAlign w:val="bottom"/>
          </w:tcPr>
          <w:p>
            <w:pPr>
              <w:ind w:left="220"/>
              <w:spacing w:after="0"/>
              <w:rPr>
                <w:sz w:val="20"/>
                <w:szCs w:val="20"/>
                <w:color w:val="auto"/>
              </w:rPr>
            </w:pPr>
            <w:r>
              <w:rPr>
                <w:rFonts w:ascii="Arial" w:cs="Arial" w:eastAsia="Arial" w:hAnsi="Arial"/>
                <w:sz w:val="18"/>
                <w:szCs w:val="18"/>
                <w:color w:val="auto"/>
              </w:rPr>
              <w:t>Merger</w:t>
            </w: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6.19.</w:t>
            </w:r>
          </w:p>
        </w:tc>
        <w:tc>
          <w:tcPr>
            <w:tcW w:w="9260" w:type="dxa"/>
            <w:vAlign w:val="bottom"/>
          </w:tcPr>
          <w:p>
            <w:pPr>
              <w:ind w:left="220"/>
              <w:spacing w:after="0"/>
              <w:rPr>
                <w:sz w:val="20"/>
                <w:szCs w:val="20"/>
                <w:color w:val="auto"/>
              </w:rPr>
            </w:pPr>
            <w:r>
              <w:rPr>
                <w:rFonts w:ascii="Arial" w:cs="Arial" w:eastAsia="Arial" w:hAnsi="Arial"/>
                <w:sz w:val="18"/>
                <w:szCs w:val="18"/>
                <w:color w:val="auto"/>
              </w:rPr>
              <w:t>Sale of Assets</w:t>
            </w: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6.20.</w:t>
            </w:r>
          </w:p>
        </w:tc>
        <w:tc>
          <w:tcPr>
            <w:tcW w:w="926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6.21.</w:t>
            </w:r>
          </w:p>
        </w:tc>
        <w:tc>
          <w:tcPr>
            <w:tcW w:w="926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6.22.</w:t>
            </w:r>
          </w:p>
        </w:tc>
        <w:tc>
          <w:tcPr>
            <w:tcW w:w="9260" w:type="dxa"/>
            <w:vAlign w:val="bottom"/>
          </w:tcPr>
          <w:p>
            <w:pPr>
              <w:ind w:left="220"/>
              <w:spacing w:after="0"/>
              <w:rPr>
                <w:sz w:val="20"/>
                <w:szCs w:val="20"/>
                <w:color w:val="auto"/>
              </w:rPr>
            </w:pPr>
            <w:r>
              <w:rPr>
                <w:rFonts w:ascii="Arial" w:cs="Arial" w:eastAsia="Arial" w:hAnsi="Arial"/>
                <w:sz w:val="18"/>
                <w:szCs w:val="18"/>
                <w:color w:val="auto"/>
              </w:rPr>
              <w:t>Liens</w:t>
            </w: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940" w:type="dxa"/>
            <w:vAlign w:val="bottom"/>
          </w:tcPr>
          <w:p>
            <w:pPr>
              <w:ind w:left="360"/>
              <w:spacing w:after="0"/>
              <w:rPr>
                <w:sz w:val="20"/>
                <w:szCs w:val="20"/>
                <w:color w:val="auto"/>
              </w:rPr>
            </w:pPr>
            <w:r>
              <w:rPr>
                <w:rFonts w:ascii="Arial" w:cs="Arial" w:eastAsia="Arial" w:hAnsi="Arial"/>
                <w:sz w:val="18"/>
                <w:szCs w:val="18"/>
                <w:color w:val="auto"/>
              </w:rPr>
              <w:t>6.23.</w:t>
            </w:r>
          </w:p>
        </w:tc>
        <w:tc>
          <w:tcPr>
            <w:tcW w:w="9260" w:type="dxa"/>
            <w:vAlign w:val="bottom"/>
          </w:tcPr>
          <w:p>
            <w:pPr>
              <w:ind w:left="220"/>
              <w:spacing w:after="0"/>
              <w:rPr>
                <w:sz w:val="20"/>
                <w:szCs w:val="20"/>
                <w:color w:val="auto"/>
              </w:rPr>
            </w:pPr>
            <w:r>
              <w:rPr>
                <w:rFonts w:ascii="Arial" w:cs="Arial" w:eastAsia="Arial" w:hAnsi="Arial"/>
                <w:sz w:val="18"/>
                <w:szCs w:val="18"/>
                <w:color w:val="auto"/>
              </w:rPr>
              <w:t>Transactions with Affiliates</w:t>
            </w:r>
          </w:p>
        </w:tc>
        <w:tc>
          <w:tcPr>
            <w:tcW w:w="122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6.24.</w:t>
            </w:r>
          </w:p>
        </w:tc>
        <w:tc>
          <w:tcPr>
            <w:tcW w:w="7720" w:type="dxa"/>
            <w:vAlign w:val="bottom"/>
          </w:tcPr>
          <w:p>
            <w:pPr>
              <w:ind w:left="160"/>
              <w:spacing w:after="0"/>
              <w:rPr>
                <w:sz w:val="20"/>
                <w:szCs w:val="20"/>
                <w:color w:val="auto"/>
              </w:rPr>
            </w:pPr>
            <w:r>
              <w:rPr>
                <w:rFonts w:ascii="Arial" w:cs="Arial" w:eastAsia="Arial" w:hAnsi="Arial"/>
                <w:sz w:val="18"/>
                <w:szCs w:val="18"/>
                <w:color w:val="auto"/>
              </w:rPr>
              <w:t>Subordinated Indebtedness</w:t>
            </w:r>
          </w:p>
        </w:tc>
        <w:tc>
          <w:tcPr>
            <w:tcW w:w="27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6.25.</w:t>
            </w:r>
          </w:p>
        </w:tc>
        <w:tc>
          <w:tcPr>
            <w:tcW w:w="7720" w:type="dxa"/>
            <w:vAlign w:val="bottom"/>
          </w:tcPr>
          <w:p>
            <w:pPr>
              <w:ind w:left="160"/>
              <w:spacing w:after="0"/>
              <w:rPr>
                <w:sz w:val="20"/>
                <w:szCs w:val="20"/>
                <w:color w:val="auto"/>
              </w:rPr>
            </w:pPr>
            <w:r>
              <w:rPr>
                <w:rFonts w:ascii="Arial" w:cs="Arial" w:eastAsia="Arial" w:hAnsi="Arial"/>
                <w:sz w:val="18"/>
                <w:szCs w:val="18"/>
                <w:color w:val="auto"/>
              </w:rPr>
              <w:t>ERISA Plans</w:t>
            </w:r>
          </w:p>
        </w:tc>
        <w:tc>
          <w:tcPr>
            <w:tcW w:w="27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6.26.</w:t>
            </w:r>
          </w:p>
        </w:tc>
        <w:tc>
          <w:tcPr>
            <w:tcW w:w="7720" w:type="dxa"/>
            <w:vAlign w:val="bottom"/>
          </w:tcPr>
          <w:p>
            <w:pPr>
              <w:ind w:left="160"/>
              <w:spacing w:after="0"/>
              <w:rPr>
                <w:sz w:val="20"/>
                <w:szCs w:val="20"/>
                <w:color w:val="auto"/>
              </w:rPr>
            </w:pPr>
            <w:r>
              <w:rPr>
                <w:rFonts w:ascii="Arial" w:cs="Arial" w:eastAsia="Arial" w:hAnsi="Arial"/>
                <w:sz w:val="18"/>
                <w:szCs w:val="18"/>
                <w:color w:val="auto"/>
              </w:rPr>
              <w:t>Change in Nature of Business</w:t>
            </w:r>
          </w:p>
        </w:tc>
        <w:tc>
          <w:tcPr>
            <w:tcW w:w="27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6.27.</w:t>
            </w:r>
          </w:p>
        </w:tc>
        <w:tc>
          <w:tcPr>
            <w:tcW w:w="7720" w:type="dxa"/>
            <w:vAlign w:val="bottom"/>
          </w:tcPr>
          <w:p>
            <w:pPr>
              <w:ind w:left="160"/>
              <w:spacing w:after="0"/>
              <w:rPr>
                <w:sz w:val="20"/>
                <w:szCs w:val="20"/>
                <w:color w:val="auto"/>
              </w:rPr>
            </w:pPr>
            <w:r>
              <w:rPr>
                <w:rFonts w:ascii="Arial" w:cs="Arial" w:eastAsia="Arial" w:hAnsi="Arial"/>
                <w:sz w:val="18"/>
                <w:szCs w:val="18"/>
                <w:color w:val="auto"/>
              </w:rPr>
              <w:t>Subsidiaries</w:t>
            </w:r>
          </w:p>
        </w:tc>
        <w:tc>
          <w:tcPr>
            <w:tcW w:w="27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6.28.</w:t>
            </w:r>
          </w:p>
        </w:tc>
        <w:tc>
          <w:tcPr>
            <w:tcW w:w="7720" w:type="dxa"/>
            <w:vAlign w:val="bottom"/>
          </w:tcPr>
          <w:p>
            <w:pPr>
              <w:ind w:left="160"/>
              <w:spacing w:after="0"/>
              <w:rPr>
                <w:sz w:val="20"/>
                <w:szCs w:val="20"/>
                <w:color w:val="auto"/>
              </w:rPr>
            </w:pPr>
            <w:r>
              <w:rPr>
                <w:rFonts w:ascii="Arial" w:cs="Arial" w:eastAsia="Arial" w:hAnsi="Arial"/>
                <w:sz w:val="18"/>
                <w:szCs w:val="18"/>
                <w:color w:val="auto"/>
              </w:rPr>
              <w:t>Negative Pledges; Subsidiary Restrictions</w:t>
            </w:r>
          </w:p>
        </w:tc>
        <w:tc>
          <w:tcPr>
            <w:tcW w:w="27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6.29.</w:t>
            </w:r>
          </w:p>
        </w:tc>
        <w:tc>
          <w:tcPr>
            <w:tcW w:w="7720" w:type="dxa"/>
            <w:vAlign w:val="bottom"/>
          </w:tcPr>
          <w:p>
            <w:pPr>
              <w:ind w:left="160"/>
              <w:spacing w:after="0"/>
              <w:rPr>
                <w:sz w:val="20"/>
                <w:szCs w:val="20"/>
                <w:color w:val="auto"/>
              </w:rPr>
            </w:pPr>
            <w:r>
              <w:rPr>
                <w:rFonts w:ascii="Arial" w:cs="Arial" w:eastAsia="Arial" w:hAnsi="Arial"/>
                <w:sz w:val="18"/>
                <w:szCs w:val="18"/>
                <w:color w:val="auto"/>
              </w:rPr>
              <w:t>Restricted Payments</w:t>
            </w:r>
          </w:p>
        </w:tc>
        <w:tc>
          <w:tcPr>
            <w:tcW w:w="27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6.30.</w:t>
            </w:r>
          </w:p>
        </w:tc>
        <w:tc>
          <w:tcPr>
            <w:tcW w:w="7720" w:type="dxa"/>
            <w:vAlign w:val="bottom"/>
          </w:tcPr>
          <w:p>
            <w:pPr>
              <w:ind w:left="160"/>
              <w:spacing w:after="0"/>
              <w:rPr>
                <w:sz w:val="20"/>
                <w:szCs w:val="20"/>
                <w:color w:val="auto"/>
              </w:rPr>
            </w:pPr>
            <w:r>
              <w:rPr>
                <w:rFonts w:ascii="Arial" w:cs="Arial" w:eastAsia="Arial" w:hAnsi="Arial"/>
                <w:sz w:val="18"/>
                <w:szCs w:val="18"/>
                <w:color w:val="auto"/>
              </w:rPr>
              <w:t>Accounting Changes; Organizational Documents</w:t>
            </w:r>
          </w:p>
        </w:tc>
        <w:tc>
          <w:tcPr>
            <w:tcW w:w="27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6.31.</w:t>
            </w:r>
          </w:p>
        </w:tc>
        <w:tc>
          <w:tcPr>
            <w:tcW w:w="7720" w:type="dxa"/>
            <w:vAlign w:val="bottom"/>
          </w:tcPr>
          <w:p>
            <w:pPr>
              <w:ind w:left="160"/>
              <w:spacing w:after="0"/>
              <w:rPr>
                <w:sz w:val="20"/>
                <w:szCs w:val="20"/>
                <w:color w:val="auto"/>
              </w:rPr>
            </w:pPr>
            <w:r>
              <w:rPr>
                <w:rFonts w:ascii="Arial" w:cs="Arial" w:eastAsia="Arial" w:hAnsi="Arial"/>
                <w:sz w:val="18"/>
                <w:szCs w:val="18"/>
                <w:color w:val="auto"/>
              </w:rPr>
              <w:t>Financial Covenants</w:t>
            </w:r>
          </w:p>
        </w:tc>
        <w:tc>
          <w:tcPr>
            <w:tcW w:w="2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6.32.</w:t>
            </w:r>
          </w:p>
        </w:tc>
        <w:tc>
          <w:tcPr>
            <w:tcW w:w="7720" w:type="dxa"/>
            <w:vAlign w:val="bottom"/>
          </w:tcPr>
          <w:p>
            <w:pPr>
              <w:ind w:left="160"/>
              <w:spacing w:after="0"/>
              <w:rPr>
                <w:sz w:val="20"/>
                <w:szCs w:val="20"/>
                <w:color w:val="auto"/>
              </w:rPr>
            </w:pPr>
            <w:r>
              <w:rPr>
                <w:rFonts w:ascii="Arial" w:cs="Arial" w:eastAsia="Arial" w:hAnsi="Arial"/>
                <w:sz w:val="18"/>
                <w:szCs w:val="18"/>
                <w:color w:val="auto"/>
              </w:rPr>
              <w:t>Sale and Leaseback Transactions</w:t>
            </w:r>
          </w:p>
        </w:tc>
        <w:tc>
          <w:tcPr>
            <w:tcW w:w="2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6.33.</w:t>
            </w:r>
          </w:p>
        </w:tc>
        <w:tc>
          <w:tcPr>
            <w:tcW w:w="7720" w:type="dxa"/>
            <w:vAlign w:val="bottom"/>
          </w:tcPr>
          <w:p>
            <w:pPr>
              <w:ind w:left="160"/>
              <w:spacing w:after="0"/>
              <w:rPr>
                <w:sz w:val="20"/>
                <w:szCs w:val="20"/>
                <w:color w:val="auto"/>
              </w:rPr>
            </w:pPr>
            <w:r>
              <w:rPr>
                <w:rFonts w:ascii="Arial" w:cs="Arial" w:eastAsia="Arial" w:hAnsi="Arial"/>
                <w:sz w:val="18"/>
                <w:szCs w:val="18"/>
                <w:color w:val="auto"/>
              </w:rPr>
              <w:t>Intentionally Omitted</w:t>
            </w:r>
          </w:p>
        </w:tc>
        <w:tc>
          <w:tcPr>
            <w:tcW w:w="2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6.34.</w:t>
            </w:r>
          </w:p>
        </w:tc>
        <w:tc>
          <w:tcPr>
            <w:tcW w:w="7720" w:type="dxa"/>
            <w:vAlign w:val="bottom"/>
          </w:tcPr>
          <w:p>
            <w:pPr>
              <w:ind w:left="160"/>
              <w:spacing w:after="0"/>
              <w:rPr>
                <w:sz w:val="20"/>
                <w:szCs w:val="20"/>
                <w:color w:val="auto"/>
              </w:rPr>
            </w:pPr>
            <w:r>
              <w:rPr>
                <w:rFonts w:ascii="Arial" w:cs="Arial" w:eastAsia="Arial" w:hAnsi="Arial"/>
                <w:sz w:val="18"/>
                <w:szCs w:val="18"/>
                <w:color w:val="auto"/>
              </w:rPr>
              <w:t>Loan Proceeds</w:t>
            </w:r>
          </w:p>
        </w:tc>
        <w:tc>
          <w:tcPr>
            <w:tcW w:w="2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6.35.</w:t>
            </w:r>
          </w:p>
        </w:tc>
        <w:tc>
          <w:tcPr>
            <w:tcW w:w="7720" w:type="dxa"/>
            <w:vAlign w:val="bottom"/>
          </w:tcPr>
          <w:p>
            <w:pPr>
              <w:ind w:left="160"/>
              <w:spacing w:after="0"/>
              <w:rPr>
                <w:sz w:val="20"/>
                <w:szCs w:val="20"/>
                <w:color w:val="auto"/>
              </w:rPr>
            </w:pPr>
            <w:r>
              <w:rPr>
                <w:rFonts w:ascii="Arial" w:cs="Arial" w:eastAsia="Arial" w:hAnsi="Arial"/>
                <w:sz w:val="18"/>
                <w:szCs w:val="18"/>
                <w:color w:val="auto"/>
              </w:rPr>
              <w:t>Keepwell</w:t>
            </w:r>
          </w:p>
        </w:tc>
        <w:tc>
          <w:tcPr>
            <w:tcW w:w="2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000" w:type="dxa"/>
            <w:vAlign w:val="bottom"/>
          </w:tcPr>
          <w:p>
            <w:pPr>
              <w:ind w:left="360"/>
              <w:spacing w:after="0"/>
              <w:rPr>
                <w:sz w:val="20"/>
                <w:szCs w:val="20"/>
                <w:color w:val="auto"/>
              </w:rPr>
            </w:pPr>
            <w:r>
              <w:rPr>
                <w:rFonts w:ascii="Arial" w:cs="Arial" w:eastAsia="Arial" w:hAnsi="Arial"/>
                <w:sz w:val="18"/>
                <w:szCs w:val="18"/>
                <w:color w:val="auto"/>
              </w:rPr>
              <w:t>6.36.</w:t>
            </w:r>
          </w:p>
        </w:tc>
        <w:tc>
          <w:tcPr>
            <w:tcW w:w="7720" w:type="dxa"/>
            <w:vAlign w:val="bottom"/>
          </w:tcPr>
          <w:p>
            <w:pPr>
              <w:ind w:left="160"/>
              <w:spacing w:after="0"/>
              <w:rPr>
                <w:sz w:val="20"/>
                <w:szCs w:val="20"/>
                <w:color w:val="auto"/>
              </w:rPr>
            </w:pPr>
            <w:r>
              <w:rPr>
                <w:rFonts w:ascii="Arial" w:cs="Arial" w:eastAsia="Arial" w:hAnsi="Arial"/>
                <w:sz w:val="18"/>
                <w:szCs w:val="18"/>
                <w:color w:val="auto"/>
              </w:rPr>
              <w:t>PATRIOT Act Compliance</w:t>
            </w:r>
          </w:p>
        </w:tc>
        <w:tc>
          <w:tcPr>
            <w:tcW w:w="27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ARTICLE VII. DEFAULTS</w:t>
            </w:r>
          </w:p>
        </w:tc>
        <w:tc>
          <w:tcPr>
            <w:tcW w:w="27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10"/>
        </w:trPr>
        <w:tc>
          <w:tcPr>
            <w:tcW w:w="8720" w:type="dxa"/>
            <w:vAlign w:val="bottom"/>
            <w:gridSpan w:val="2"/>
          </w:tcPr>
          <w:p>
            <w:pPr>
              <w:spacing w:after="0"/>
              <w:rPr>
                <w:sz w:val="20"/>
                <w:szCs w:val="20"/>
                <w:color w:val="auto"/>
              </w:rPr>
            </w:pPr>
            <w:r>
              <w:rPr>
                <w:rFonts w:ascii="Arial" w:cs="Arial" w:eastAsia="Arial" w:hAnsi="Arial"/>
                <w:sz w:val="18"/>
                <w:szCs w:val="18"/>
                <w:color w:val="auto"/>
              </w:rPr>
              <w:t>ARTICLE VIII. ACCELERATION, WAIVERS, AMENDMENTS AND REMEDIES</w:t>
            </w:r>
          </w:p>
        </w:tc>
        <w:tc>
          <w:tcPr>
            <w:tcW w:w="27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8.1.</w:t>
            </w:r>
          </w:p>
        </w:tc>
        <w:tc>
          <w:tcPr>
            <w:tcW w:w="7720" w:type="dxa"/>
            <w:vAlign w:val="bottom"/>
          </w:tcPr>
          <w:p>
            <w:pPr>
              <w:ind w:left="160"/>
              <w:spacing w:after="0"/>
              <w:rPr>
                <w:sz w:val="20"/>
                <w:szCs w:val="20"/>
                <w:color w:val="auto"/>
              </w:rPr>
            </w:pPr>
            <w:r>
              <w:rPr>
                <w:rFonts w:ascii="Arial" w:cs="Arial" w:eastAsia="Arial" w:hAnsi="Arial"/>
                <w:sz w:val="18"/>
                <w:szCs w:val="18"/>
                <w:color w:val="auto"/>
              </w:rPr>
              <w:t>Acceleration; Remedies</w:t>
            </w:r>
          </w:p>
        </w:tc>
        <w:tc>
          <w:tcPr>
            <w:tcW w:w="27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8.2.</w:t>
            </w:r>
          </w:p>
        </w:tc>
        <w:tc>
          <w:tcPr>
            <w:tcW w:w="7720" w:type="dxa"/>
            <w:vAlign w:val="bottom"/>
          </w:tcPr>
          <w:p>
            <w:pPr>
              <w:ind w:left="160"/>
              <w:spacing w:after="0"/>
              <w:rPr>
                <w:sz w:val="20"/>
                <w:szCs w:val="20"/>
                <w:color w:val="auto"/>
              </w:rPr>
            </w:pPr>
            <w:r>
              <w:rPr>
                <w:rFonts w:ascii="Arial" w:cs="Arial" w:eastAsia="Arial" w:hAnsi="Arial"/>
                <w:sz w:val="18"/>
                <w:szCs w:val="18"/>
                <w:color w:val="auto"/>
              </w:rPr>
              <w:t>Application of Funds</w:t>
            </w:r>
          </w:p>
        </w:tc>
        <w:tc>
          <w:tcPr>
            <w:tcW w:w="27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8.3.</w:t>
            </w:r>
          </w:p>
        </w:tc>
        <w:tc>
          <w:tcPr>
            <w:tcW w:w="772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27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000" w:type="dxa"/>
            <w:vAlign w:val="bottom"/>
          </w:tcPr>
          <w:p>
            <w:pPr>
              <w:ind w:left="360"/>
              <w:spacing w:after="0"/>
              <w:rPr>
                <w:sz w:val="20"/>
                <w:szCs w:val="20"/>
                <w:color w:val="auto"/>
              </w:rPr>
            </w:pPr>
            <w:r>
              <w:rPr>
                <w:rFonts w:ascii="Arial" w:cs="Arial" w:eastAsia="Arial" w:hAnsi="Arial"/>
                <w:sz w:val="18"/>
                <w:szCs w:val="18"/>
                <w:color w:val="auto"/>
              </w:rPr>
              <w:t>8.4.</w:t>
            </w:r>
          </w:p>
        </w:tc>
        <w:tc>
          <w:tcPr>
            <w:tcW w:w="7720" w:type="dxa"/>
            <w:vAlign w:val="bottom"/>
          </w:tcPr>
          <w:p>
            <w:pPr>
              <w:ind w:left="160"/>
              <w:spacing w:after="0"/>
              <w:rPr>
                <w:sz w:val="20"/>
                <w:szCs w:val="20"/>
                <w:color w:val="auto"/>
              </w:rPr>
            </w:pPr>
            <w:r>
              <w:rPr>
                <w:rFonts w:ascii="Arial" w:cs="Arial" w:eastAsia="Arial" w:hAnsi="Arial"/>
                <w:sz w:val="18"/>
                <w:szCs w:val="18"/>
                <w:color w:val="auto"/>
              </w:rPr>
              <w:t>Preservation of Rights</w:t>
            </w:r>
          </w:p>
        </w:tc>
        <w:tc>
          <w:tcPr>
            <w:tcW w:w="27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10"/>
        </w:trPr>
        <w:tc>
          <w:tcPr>
            <w:tcW w:w="8720" w:type="dxa"/>
            <w:vAlign w:val="bottom"/>
            <w:gridSpan w:val="2"/>
          </w:tcPr>
          <w:p>
            <w:pPr>
              <w:spacing w:after="0"/>
              <w:rPr>
                <w:sz w:val="20"/>
                <w:szCs w:val="20"/>
                <w:color w:val="auto"/>
              </w:rPr>
            </w:pPr>
            <w:r>
              <w:rPr>
                <w:rFonts w:ascii="Arial" w:cs="Arial" w:eastAsia="Arial" w:hAnsi="Arial"/>
                <w:sz w:val="18"/>
                <w:szCs w:val="18"/>
                <w:color w:val="auto"/>
              </w:rPr>
              <w:t>ARTICLE IX. GENERAL PROVISIONS</w:t>
            </w:r>
          </w:p>
        </w:tc>
        <w:tc>
          <w:tcPr>
            <w:tcW w:w="27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9.1.</w:t>
            </w:r>
          </w:p>
        </w:tc>
        <w:tc>
          <w:tcPr>
            <w:tcW w:w="7720" w:type="dxa"/>
            <w:vAlign w:val="bottom"/>
          </w:tcPr>
          <w:p>
            <w:pPr>
              <w:ind w:left="160"/>
              <w:spacing w:after="0"/>
              <w:rPr>
                <w:sz w:val="20"/>
                <w:szCs w:val="20"/>
                <w:color w:val="auto"/>
              </w:rPr>
            </w:pPr>
            <w:r>
              <w:rPr>
                <w:rFonts w:ascii="Arial" w:cs="Arial" w:eastAsia="Arial" w:hAnsi="Arial"/>
                <w:sz w:val="18"/>
                <w:szCs w:val="18"/>
                <w:color w:val="auto"/>
              </w:rPr>
              <w:t>Survival of Representations</w:t>
            </w:r>
          </w:p>
        </w:tc>
        <w:tc>
          <w:tcPr>
            <w:tcW w:w="27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9.2.</w:t>
            </w:r>
          </w:p>
        </w:tc>
        <w:tc>
          <w:tcPr>
            <w:tcW w:w="7720" w:type="dxa"/>
            <w:vAlign w:val="bottom"/>
          </w:tcPr>
          <w:p>
            <w:pPr>
              <w:ind w:left="160"/>
              <w:spacing w:after="0"/>
              <w:rPr>
                <w:sz w:val="20"/>
                <w:szCs w:val="20"/>
                <w:color w:val="auto"/>
              </w:rPr>
            </w:pPr>
            <w:r>
              <w:rPr>
                <w:rFonts w:ascii="Arial" w:cs="Arial" w:eastAsia="Arial" w:hAnsi="Arial"/>
                <w:sz w:val="18"/>
                <w:szCs w:val="18"/>
                <w:color w:val="auto"/>
              </w:rPr>
              <w:t>Governmental Regulation</w:t>
            </w:r>
          </w:p>
        </w:tc>
        <w:tc>
          <w:tcPr>
            <w:tcW w:w="27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9.3.</w:t>
            </w:r>
          </w:p>
        </w:tc>
        <w:tc>
          <w:tcPr>
            <w:tcW w:w="7720" w:type="dxa"/>
            <w:vAlign w:val="bottom"/>
          </w:tcPr>
          <w:p>
            <w:pPr>
              <w:ind w:left="160"/>
              <w:spacing w:after="0"/>
              <w:rPr>
                <w:sz w:val="20"/>
                <w:szCs w:val="20"/>
                <w:color w:val="auto"/>
              </w:rPr>
            </w:pPr>
            <w:r>
              <w:rPr>
                <w:rFonts w:ascii="Arial" w:cs="Arial" w:eastAsia="Arial" w:hAnsi="Arial"/>
                <w:sz w:val="18"/>
                <w:szCs w:val="18"/>
                <w:color w:val="auto"/>
              </w:rPr>
              <w:t>Headings</w:t>
            </w:r>
          </w:p>
        </w:tc>
        <w:tc>
          <w:tcPr>
            <w:tcW w:w="27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9.4.</w:t>
            </w:r>
          </w:p>
        </w:tc>
        <w:tc>
          <w:tcPr>
            <w:tcW w:w="772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27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9.5.</w:t>
            </w:r>
          </w:p>
        </w:tc>
        <w:tc>
          <w:tcPr>
            <w:tcW w:w="7720" w:type="dxa"/>
            <w:vAlign w:val="bottom"/>
          </w:tcPr>
          <w:p>
            <w:pPr>
              <w:ind w:left="160"/>
              <w:spacing w:after="0"/>
              <w:rPr>
                <w:sz w:val="20"/>
                <w:szCs w:val="20"/>
                <w:color w:val="auto"/>
              </w:rPr>
            </w:pPr>
            <w:r>
              <w:rPr>
                <w:rFonts w:ascii="Arial" w:cs="Arial" w:eastAsia="Arial" w:hAnsi="Arial"/>
                <w:sz w:val="18"/>
                <w:szCs w:val="18"/>
                <w:color w:val="auto"/>
              </w:rPr>
              <w:t>Several Obligations; Benefits of this Agreement</w:t>
            </w:r>
          </w:p>
        </w:tc>
        <w:tc>
          <w:tcPr>
            <w:tcW w:w="27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9.6.</w:t>
            </w:r>
          </w:p>
        </w:tc>
        <w:tc>
          <w:tcPr>
            <w:tcW w:w="7720" w:type="dxa"/>
            <w:vAlign w:val="bottom"/>
          </w:tcPr>
          <w:p>
            <w:pPr>
              <w:ind w:left="160"/>
              <w:spacing w:after="0"/>
              <w:rPr>
                <w:sz w:val="20"/>
                <w:szCs w:val="20"/>
                <w:color w:val="auto"/>
              </w:rPr>
            </w:pPr>
            <w:r>
              <w:rPr>
                <w:rFonts w:ascii="Arial" w:cs="Arial" w:eastAsia="Arial" w:hAnsi="Arial"/>
                <w:sz w:val="18"/>
                <w:szCs w:val="18"/>
                <w:color w:val="auto"/>
              </w:rPr>
              <w:t>Expenses; Indemnification</w:t>
            </w:r>
          </w:p>
        </w:tc>
        <w:tc>
          <w:tcPr>
            <w:tcW w:w="27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9.7.</w:t>
            </w:r>
          </w:p>
        </w:tc>
        <w:tc>
          <w:tcPr>
            <w:tcW w:w="7720" w:type="dxa"/>
            <w:vAlign w:val="bottom"/>
          </w:tcPr>
          <w:p>
            <w:pPr>
              <w:ind w:left="160"/>
              <w:spacing w:after="0"/>
              <w:rPr>
                <w:sz w:val="20"/>
                <w:szCs w:val="20"/>
                <w:color w:val="auto"/>
              </w:rPr>
            </w:pPr>
            <w:r>
              <w:rPr>
                <w:rFonts w:ascii="Arial" w:cs="Arial" w:eastAsia="Arial" w:hAnsi="Arial"/>
                <w:sz w:val="18"/>
                <w:szCs w:val="18"/>
                <w:color w:val="auto"/>
              </w:rPr>
              <w:t>Numbers of Documents</w:t>
            </w:r>
          </w:p>
        </w:tc>
        <w:tc>
          <w:tcPr>
            <w:tcW w:w="27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9.8.</w:t>
            </w:r>
          </w:p>
        </w:tc>
        <w:tc>
          <w:tcPr>
            <w:tcW w:w="7720" w:type="dxa"/>
            <w:vAlign w:val="bottom"/>
          </w:tcPr>
          <w:p>
            <w:pPr>
              <w:ind w:left="160"/>
              <w:spacing w:after="0"/>
              <w:rPr>
                <w:sz w:val="20"/>
                <w:szCs w:val="20"/>
                <w:color w:val="auto"/>
              </w:rPr>
            </w:pPr>
            <w:r>
              <w:rPr>
                <w:rFonts w:ascii="Arial" w:cs="Arial" w:eastAsia="Arial" w:hAnsi="Arial"/>
                <w:sz w:val="18"/>
                <w:szCs w:val="18"/>
                <w:color w:val="auto"/>
              </w:rPr>
              <w:t>Accounting</w:t>
            </w:r>
          </w:p>
        </w:tc>
        <w:tc>
          <w:tcPr>
            <w:tcW w:w="27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9.9.</w:t>
            </w:r>
          </w:p>
        </w:tc>
        <w:tc>
          <w:tcPr>
            <w:tcW w:w="7720" w:type="dxa"/>
            <w:vAlign w:val="bottom"/>
          </w:tcPr>
          <w:p>
            <w:pPr>
              <w:ind w:left="160"/>
              <w:spacing w:after="0"/>
              <w:rPr>
                <w:sz w:val="20"/>
                <w:szCs w:val="20"/>
                <w:color w:val="auto"/>
              </w:rPr>
            </w:pPr>
            <w:r>
              <w:rPr>
                <w:rFonts w:ascii="Arial" w:cs="Arial" w:eastAsia="Arial" w:hAnsi="Arial"/>
                <w:sz w:val="18"/>
                <w:szCs w:val="18"/>
                <w:color w:val="auto"/>
              </w:rPr>
              <w:t>Severability of Provisions</w:t>
            </w:r>
          </w:p>
        </w:tc>
        <w:tc>
          <w:tcPr>
            <w:tcW w:w="27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9.10.</w:t>
            </w:r>
          </w:p>
        </w:tc>
        <w:tc>
          <w:tcPr>
            <w:tcW w:w="7720" w:type="dxa"/>
            <w:vAlign w:val="bottom"/>
          </w:tcPr>
          <w:p>
            <w:pPr>
              <w:ind w:left="160"/>
              <w:spacing w:after="0"/>
              <w:rPr>
                <w:sz w:val="20"/>
                <w:szCs w:val="20"/>
                <w:color w:val="auto"/>
              </w:rPr>
            </w:pPr>
            <w:r>
              <w:rPr>
                <w:rFonts w:ascii="Arial" w:cs="Arial" w:eastAsia="Arial" w:hAnsi="Arial"/>
                <w:sz w:val="18"/>
                <w:szCs w:val="18"/>
                <w:color w:val="auto"/>
              </w:rPr>
              <w:t>Nonliability of Lenders</w:t>
            </w:r>
          </w:p>
        </w:tc>
        <w:tc>
          <w:tcPr>
            <w:tcW w:w="27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9.11.</w:t>
            </w:r>
          </w:p>
        </w:tc>
        <w:tc>
          <w:tcPr>
            <w:tcW w:w="772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27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9.12.</w:t>
            </w:r>
          </w:p>
        </w:tc>
        <w:tc>
          <w:tcPr>
            <w:tcW w:w="7720" w:type="dxa"/>
            <w:vAlign w:val="bottom"/>
          </w:tcPr>
          <w:p>
            <w:pPr>
              <w:ind w:left="160"/>
              <w:spacing w:after="0"/>
              <w:rPr>
                <w:sz w:val="20"/>
                <w:szCs w:val="20"/>
                <w:color w:val="auto"/>
              </w:rPr>
            </w:pPr>
            <w:r>
              <w:rPr>
                <w:rFonts w:ascii="Arial" w:cs="Arial" w:eastAsia="Arial" w:hAnsi="Arial"/>
                <w:sz w:val="18"/>
                <w:szCs w:val="18"/>
                <w:color w:val="auto"/>
              </w:rPr>
              <w:t>Nonreliance</w:t>
            </w:r>
          </w:p>
        </w:tc>
        <w:tc>
          <w:tcPr>
            <w:tcW w:w="27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9.13.</w:t>
            </w:r>
          </w:p>
        </w:tc>
        <w:tc>
          <w:tcPr>
            <w:tcW w:w="7720" w:type="dxa"/>
            <w:vAlign w:val="bottom"/>
          </w:tcPr>
          <w:p>
            <w:pPr>
              <w:ind w:left="160"/>
              <w:spacing w:after="0"/>
              <w:rPr>
                <w:sz w:val="20"/>
                <w:szCs w:val="20"/>
                <w:color w:val="auto"/>
              </w:rPr>
            </w:pPr>
            <w:r>
              <w:rPr>
                <w:rFonts w:ascii="Arial" w:cs="Arial" w:eastAsia="Arial" w:hAnsi="Arial"/>
                <w:sz w:val="18"/>
                <w:szCs w:val="18"/>
                <w:color w:val="auto"/>
              </w:rPr>
              <w:t>Disclosure</w:t>
            </w:r>
          </w:p>
        </w:tc>
        <w:tc>
          <w:tcPr>
            <w:tcW w:w="27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000" w:type="dxa"/>
            <w:vAlign w:val="bottom"/>
          </w:tcPr>
          <w:p>
            <w:pPr>
              <w:ind w:left="360"/>
              <w:spacing w:after="0"/>
              <w:rPr>
                <w:sz w:val="20"/>
                <w:szCs w:val="20"/>
                <w:color w:val="auto"/>
              </w:rPr>
            </w:pPr>
            <w:r>
              <w:rPr>
                <w:rFonts w:ascii="Arial" w:cs="Arial" w:eastAsia="Arial" w:hAnsi="Arial"/>
                <w:sz w:val="18"/>
                <w:szCs w:val="18"/>
                <w:color w:val="auto"/>
              </w:rPr>
              <w:t>9.14.</w:t>
            </w:r>
          </w:p>
        </w:tc>
        <w:tc>
          <w:tcPr>
            <w:tcW w:w="7720" w:type="dxa"/>
            <w:vAlign w:val="bottom"/>
          </w:tcPr>
          <w:p>
            <w:pPr>
              <w:ind w:left="160"/>
              <w:spacing w:after="0"/>
              <w:rPr>
                <w:sz w:val="20"/>
                <w:szCs w:val="20"/>
                <w:color w:val="auto"/>
              </w:rPr>
            </w:pPr>
            <w:r>
              <w:rPr>
                <w:rFonts w:ascii="Arial" w:cs="Arial" w:eastAsia="Arial" w:hAnsi="Arial"/>
                <w:sz w:val="18"/>
                <w:szCs w:val="18"/>
                <w:color w:val="auto"/>
              </w:rPr>
              <w:t>PATRIOT ACT NOTIFICATION</w:t>
            </w:r>
          </w:p>
        </w:tc>
        <w:tc>
          <w:tcPr>
            <w:tcW w:w="27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10"/>
        </w:trPr>
        <w:tc>
          <w:tcPr>
            <w:tcW w:w="8720" w:type="dxa"/>
            <w:vAlign w:val="bottom"/>
            <w:gridSpan w:val="2"/>
          </w:tcPr>
          <w:p>
            <w:pPr>
              <w:spacing w:after="0"/>
              <w:rPr>
                <w:sz w:val="20"/>
                <w:szCs w:val="20"/>
                <w:color w:val="auto"/>
              </w:rPr>
            </w:pPr>
            <w:r>
              <w:rPr>
                <w:rFonts w:ascii="Arial" w:cs="Arial" w:eastAsia="Arial" w:hAnsi="Arial"/>
                <w:sz w:val="18"/>
                <w:szCs w:val="18"/>
                <w:color w:val="auto"/>
              </w:rPr>
              <w:t>ARTICLE X. THE ADMINISTRATIVE AGENT</w:t>
            </w:r>
          </w:p>
        </w:tc>
        <w:tc>
          <w:tcPr>
            <w:tcW w:w="27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10.1.</w:t>
            </w:r>
          </w:p>
        </w:tc>
        <w:tc>
          <w:tcPr>
            <w:tcW w:w="7720" w:type="dxa"/>
            <w:vAlign w:val="bottom"/>
          </w:tcPr>
          <w:p>
            <w:pPr>
              <w:ind w:left="160"/>
              <w:spacing w:after="0"/>
              <w:rPr>
                <w:sz w:val="20"/>
                <w:szCs w:val="20"/>
                <w:color w:val="auto"/>
              </w:rPr>
            </w:pPr>
            <w:r>
              <w:rPr>
                <w:rFonts w:ascii="Arial" w:cs="Arial" w:eastAsia="Arial" w:hAnsi="Arial"/>
                <w:sz w:val="18"/>
                <w:szCs w:val="18"/>
                <w:color w:val="auto"/>
              </w:rPr>
              <w:t>Appointment; Nature of Relationship</w:t>
            </w:r>
          </w:p>
        </w:tc>
        <w:tc>
          <w:tcPr>
            <w:tcW w:w="27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10.2.</w:t>
            </w:r>
          </w:p>
        </w:tc>
        <w:tc>
          <w:tcPr>
            <w:tcW w:w="7720" w:type="dxa"/>
            <w:vAlign w:val="bottom"/>
          </w:tcPr>
          <w:p>
            <w:pPr>
              <w:ind w:left="160"/>
              <w:spacing w:after="0"/>
              <w:rPr>
                <w:sz w:val="20"/>
                <w:szCs w:val="20"/>
                <w:color w:val="auto"/>
              </w:rPr>
            </w:pPr>
            <w:r>
              <w:rPr>
                <w:rFonts w:ascii="Arial" w:cs="Arial" w:eastAsia="Arial" w:hAnsi="Arial"/>
                <w:sz w:val="18"/>
                <w:szCs w:val="18"/>
                <w:color w:val="auto"/>
              </w:rPr>
              <w:t>Powers</w:t>
            </w:r>
          </w:p>
        </w:tc>
        <w:tc>
          <w:tcPr>
            <w:tcW w:w="27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10.3.</w:t>
            </w:r>
          </w:p>
        </w:tc>
        <w:tc>
          <w:tcPr>
            <w:tcW w:w="7720" w:type="dxa"/>
            <w:vAlign w:val="bottom"/>
          </w:tcPr>
          <w:p>
            <w:pPr>
              <w:ind w:left="160"/>
              <w:spacing w:after="0"/>
              <w:rPr>
                <w:sz w:val="20"/>
                <w:szCs w:val="20"/>
                <w:color w:val="auto"/>
              </w:rPr>
            </w:pPr>
            <w:r>
              <w:rPr>
                <w:rFonts w:ascii="Arial" w:cs="Arial" w:eastAsia="Arial" w:hAnsi="Arial"/>
                <w:sz w:val="18"/>
                <w:szCs w:val="18"/>
                <w:color w:val="auto"/>
              </w:rPr>
              <w:t>General Immunity</w:t>
            </w:r>
          </w:p>
        </w:tc>
        <w:tc>
          <w:tcPr>
            <w:tcW w:w="27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10.4.</w:t>
            </w:r>
          </w:p>
        </w:tc>
        <w:tc>
          <w:tcPr>
            <w:tcW w:w="7720" w:type="dxa"/>
            <w:vAlign w:val="bottom"/>
          </w:tcPr>
          <w:p>
            <w:pPr>
              <w:ind w:left="160"/>
              <w:spacing w:after="0"/>
              <w:rPr>
                <w:sz w:val="20"/>
                <w:szCs w:val="20"/>
                <w:color w:val="auto"/>
              </w:rPr>
            </w:pPr>
            <w:r>
              <w:rPr>
                <w:rFonts w:ascii="Arial" w:cs="Arial" w:eastAsia="Arial" w:hAnsi="Arial"/>
                <w:sz w:val="18"/>
                <w:szCs w:val="18"/>
                <w:color w:val="auto"/>
              </w:rPr>
              <w:t>No Responsibility for Loans, Recitals, etc.</w:t>
            </w:r>
          </w:p>
        </w:tc>
        <w:tc>
          <w:tcPr>
            <w:tcW w:w="27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10.5.</w:t>
            </w:r>
          </w:p>
        </w:tc>
        <w:tc>
          <w:tcPr>
            <w:tcW w:w="7720" w:type="dxa"/>
            <w:vAlign w:val="bottom"/>
          </w:tcPr>
          <w:p>
            <w:pPr>
              <w:ind w:left="160"/>
              <w:spacing w:after="0"/>
              <w:rPr>
                <w:sz w:val="20"/>
                <w:szCs w:val="20"/>
                <w:color w:val="auto"/>
              </w:rPr>
            </w:pPr>
            <w:r>
              <w:rPr>
                <w:rFonts w:ascii="Arial" w:cs="Arial" w:eastAsia="Arial" w:hAnsi="Arial"/>
                <w:sz w:val="18"/>
                <w:szCs w:val="18"/>
                <w:color w:val="auto"/>
              </w:rPr>
              <w:t>Action on Instructions of Lenders</w:t>
            </w:r>
          </w:p>
        </w:tc>
        <w:tc>
          <w:tcPr>
            <w:tcW w:w="27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10.6.</w:t>
            </w:r>
          </w:p>
        </w:tc>
        <w:tc>
          <w:tcPr>
            <w:tcW w:w="7720" w:type="dxa"/>
            <w:vAlign w:val="bottom"/>
          </w:tcPr>
          <w:p>
            <w:pPr>
              <w:ind w:left="160"/>
              <w:spacing w:after="0"/>
              <w:rPr>
                <w:sz w:val="20"/>
                <w:szCs w:val="20"/>
                <w:color w:val="auto"/>
              </w:rPr>
            </w:pPr>
            <w:r>
              <w:rPr>
                <w:rFonts w:ascii="Arial" w:cs="Arial" w:eastAsia="Arial" w:hAnsi="Arial"/>
                <w:sz w:val="18"/>
                <w:szCs w:val="18"/>
                <w:color w:val="auto"/>
              </w:rPr>
              <w:t>Employment of Administrative Agents and Counsel</w:t>
            </w:r>
          </w:p>
        </w:tc>
        <w:tc>
          <w:tcPr>
            <w:tcW w:w="27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10.7.</w:t>
            </w:r>
          </w:p>
        </w:tc>
        <w:tc>
          <w:tcPr>
            <w:tcW w:w="7720" w:type="dxa"/>
            <w:vAlign w:val="bottom"/>
          </w:tcPr>
          <w:p>
            <w:pPr>
              <w:ind w:left="160"/>
              <w:spacing w:after="0"/>
              <w:rPr>
                <w:sz w:val="20"/>
                <w:szCs w:val="20"/>
                <w:color w:val="auto"/>
              </w:rPr>
            </w:pPr>
            <w:r>
              <w:rPr>
                <w:rFonts w:ascii="Arial" w:cs="Arial" w:eastAsia="Arial" w:hAnsi="Arial"/>
                <w:sz w:val="18"/>
                <w:szCs w:val="18"/>
                <w:color w:val="auto"/>
              </w:rPr>
              <w:t>Reliance on Documents; Counsel</w:t>
            </w:r>
          </w:p>
        </w:tc>
        <w:tc>
          <w:tcPr>
            <w:tcW w:w="27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10.8.</w:t>
            </w:r>
          </w:p>
        </w:tc>
        <w:tc>
          <w:tcPr>
            <w:tcW w:w="7720" w:type="dxa"/>
            <w:vAlign w:val="bottom"/>
          </w:tcPr>
          <w:p>
            <w:pPr>
              <w:ind w:left="160"/>
              <w:spacing w:after="0"/>
              <w:rPr>
                <w:sz w:val="20"/>
                <w:szCs w:val="20"/>
                <w:color w:val="auto"/>
              </w:rPr>
            </w:pPr>
            <w:r>
              <w:rPr>
                <w:rFonts w:ascii="Arial" w:cs="Arial" w:eastAsia="Arial" w:hAnsi="Arial"/>
                <w:sz w:val="18"/>
                <w:szCs w:val="18"/>
                <w:color w:val="auto"/>
              </w:rPr>
              <w:t>Administrative Agent’s Reimbursement and Indemnification</w:t>
            </w:r>
          </w:p>
        </w:tc>
        <w:tc>
          <w:tcPr>
            <w:tcW w:w="27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10.9.</w:t>
            </w:r>
          </w:p>
        </w:tc>
        <w:tc>
          <w:tcPr>
            <w:tcW w:w="7720" w:type="dxa"/>
            <w:vAlign w:val="bottom"/>
          </w:tcPr>
          <w:p>
            <w:pPr>
              <w:ind w:left="160"/>
              <w:spacing w:after="0"/>
              <w:rPr>
                <w:sz w:val="20"/>
                <w:szCs w:val="20"/>
                <w:color w:val="auto"/>
              </w:rPr>
            </w:pPr>
            <w:r>
              <w:rPr>
                <w:rFonts w:ascii="Arial" w:cs="Arial" w:eastAsia="Arial" w:hAnsi="Arial"/>
                <w:sz w:val="18"/>
                <w:szCs w:val="18"/>
                <w:color w:val="auto"/>
              </w:rPr>
              <w:t>Notice of Event of Default</w:t>
            </w:r>
          </w:p>
        </w:tc>
        <w:tc>
          <w:tcPr>
            <w:tcW w:w="27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000" w:type="dxa"/>
            <w:vAlign w:val="bottom"/>
          </w:tcPr>
          <w:p>
            <w:pPr>
              <w:ind w:left="360"/>
              <w:spacing w:after="0"/>
              <w:rPr>
                <w:sz w:val="20"/>
                <w:szCs w:val="20"/>
                <w:color w:val="auto"/>
              </w:rPr>
            </w:pPr>
            <w:r>
              <w:rPr>
                <w:rFonts w:ascii="Arial" w:cs="Arial" w:eastAsia="Arial" w:hAnsi="Arial"/>
                <w:sz w:val="18"/>
                <w:szCs w:val="18"/>
                <w:color w:val="auto"/>
              </w:rPr>
              <w:t>10.10.</w:t>
            </w:r>
          </w:p>
        </w:tc>
        <w:tc>
          <w:tcPr>
            <w:tcW w:w="7720" w:type="dxa"/>
            <w:vAlign w:val="bottom"/>
          </w:tcPr>
          <w:p>
            <w:pPr>
              <w:ind w:left="160"/>
              <w:spacing w:after="0"/>
              <w:rPr>
                <w:sz w:val="20"/>
                <w:szCs w:val="20"/>
                <w:color w:val="auto"/>
              </w:rPr>
            </w:pPr>
            <w:r>
              <w:rPr>
                <w:rFonts w:ascii="Arial" w:cs="Arial" w:eastAsia="Arial" w:hAnsi="Arial"/>
                <w:sz w:val="18"/>
                <w:szCs w:val="18"/>
                <w:color w:val="auto"/>
              </w:rPr>
              <w:t>Rights as a Lender</w:t>
            </w:r>
          </w:p>
        </w:tc>
        <w:tc>
          <w:tcPr>
            <w:tcW w:w="270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10.11.</w:t>
            </w:r>
          </w:p>
        </w:tc>
        <w:tc>
          <w:tcPr>
            <w:tcW w:w="9440" w:type="dxa"/>
            <w:vAlign w:val="bottom"/>
          </w:tcPr>
          <w:p>
            <w:pPr>
              <w:ind w:left="160"/>
              <w:spacing w:after="0"/>
              <w:rPr>
                <w:sz w:val="20"/>
                <w:szCs w:val="20"/>
                <w:color w:val="auto"/>
              </w:rPr>
            </w:pPr>
            <w:r>
              <w:rPr>
                <w:rFonts w:ascii="Arial" w:cs="Arial" w:eastAsia="Arial" w:hAnsi="Arial"/>
                <w:sz w:val="18"/>
                <w:szCs w:val="18"/>
                <w:color w:val="auto"/>
              </w:rPr>
              <w:t>Lender Credit Decision, Legal Representation</w:t>
            </w: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10.12.</w:t>
            </w:r>
          </w:p>
        </w:tc>
        <w:tc>
          <w:tcPr>
            <w:tcW w:w="9440" w:type="dxa"/>
            <w:vAlign w:val="bottom"/>
          </w:tcPr>
          <w:p>
            <w:pPr>
              <w:ind w:left="160"/>
              <w:spacing w:after="0"/>
              <w:rPr>
                <w:sz w:val="20"/>
                <w:szCs w:val="20"/>
                <w:color w:val="auto"/>
              </w:rPr>
            </w:pPr>
            <w:r>
              <w:rPr>
                <w:rFonts w:ascii="Arial" w:cs="Arial" w:eastAsia="Arial" w:hAnsi="Arial"/>
                <w:sz w:val="18"/>
                <w:szCs w:val="18"/>
                <w:color w:val="auto"/>
              </w:rPr>
              <w:t>Successor Administrative Agent</w:t>
            </w: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10.13.</w:t>
            </w:r>
          </w:p>
        </w:tc>
        <w:tc>
          <w:tcPr>
            <w:tcW w:w="9440" w:type="dxa"/>
            <w:vAlign w:val="bottom"/>
          </w:tcPr>
          <w:p>
            <w:pPr>
              <w:ind w:left="160"/>
              <w:spacing w:after="0"/>
              <w:rPr>
                <w:sz w:val="20"/>
                <w:szCs w:val="20"/>
                <w:color w:val="auto"/>
              </w:rPr>
            </w:pPr>
            <w:r>
              <w:rPr>
                <w:rFonts w:ascii="Arial" w:cs="Arial" w:eastAsia="Arial" w:hAnsi="Arial"/>
                <w:sz w:val="18"/>
                <w:szCs w:val="18"/>
                <w:color w:val="auto"/>
              </w:rPr>
              <w:t>Administrative Agent and Arranger Fees</w:t>
            </w: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10.14.</w:t>
            </w:r>
          </w:p>
        </w:tc>
        <w:tc>
          <w:tcPr>
            <w:tcW w:w="9440" w:type="dxa"/>
            <w:vAlign w:val="bottom"/>
          </w:tcPr>
          <w:p>
            <w:pPr>
              <w:ind w:left="160"/>
              <w:spacing w:after="0"/>
              <w:rPr>
                <w:sz w:val="20"/>
                <w:szCs w:val="20"/>
                <w:color w:val="auto"/>
              </w:rPr>
            </w:pPr>
            <w:r>
              <w:rPr>
                <w:rFonts w:ascii="Arial" w:cs="Arial" w:eastAsia="Arial" w:hAnsi="Arial"/>
                <w:sz w:val="18"/>
                <w:szCs w:val="18"/>
                <w:color w:val="auto"/>
              </w:rPr>
              <w:t>Delegation to Affiliates</w:t>
            </w: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10.15.</w:t>
            </w:r>
          </w:p>
        </w:tc>
        <w:tc>
          <w:tcPr>
            <w:tcW w:w="9440" w:type="dxa"/>
            <w:vAlign w:val="bottom"/>
          </w:tcPr>
          <w:p>
            <w:pPr>
              <w:ind w:left="160"/>
              <w:spacing w:after="0"/>
              <w:rPr>
                <w:sz w:val="20"/>
                <w:szCs w:val="20"/>
                <w:color w:val="auto"/>
              </w:rPr>
            </w:pPr>
            <w:r>
              <w:rPr>
                <w:rFonts w:ascii="Arial" w:cs="Arial" w:eastAsia="Arial" w:hAnsi="Arial"/>
                <w:sz w:val="18"/>
                <w:szCs w:val="18"/>
                <w:color w:val="auto"/>
              </w:rPr>
              <w:t>Execution of Collateral Documents</w:t>
            </w: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000" w:type="dxa"/>
            <w:vAlign w:val="bottom"/>
          </w:tcPr>
          <w:p>
            <w:pPr>
              <w:ind w:left="360"/>
              <w:spacing w:after="0"/>
              <w:rPr>
                <w:sz w:val="20"/>
                <w:szCs w:val="20"/>
                <w:color w:val="auto"/>
              </w:rPr>
            </w:pPr>
            <w:r>
              <w:rPr>
                <w:rFonts w:ascii="Arial" w:cs="Arial" w:eastAsia="Arial" w:hAnsi="Arial"/>
                <w:sz w:val="18"/>
                <w:szCs w:val="18"/>
                <w:color w:val="auto"/>
              </w:rPr>
              <w:t>10.16.</w:t>
            </w:r>
          </w:p>
        </w:tc>
        <w:tc>
          <w:tcPr>
            <w:tcW w:w="9440" w:type="dxa"/>
            <w:vAlign w:val="bottom"/>
          </w:tcPr>
          <w:p>
            <w:pPr>
              <w:ind w:left="160"/>
              <w:spacing w:after="0"/>
              <w:rPr>
                <w:sz w:val="20"/>
                <w:szCs w:val="20"/>
                <w:color w:val="auto"/>
              </w:rPr>
            </w:pPr>
            <w:r>
              <w:rPr>
                <w:rFonts w:ascii="Arial" w:cs="Arial" w:eastAsia="Arial" w:hAnsi="Arial"/>
                <w:sz w:val="18"/>
                <w:szCs w:val="18"/>
                <w:color w:val="auto"/>
              </w:rPr>
              <w:t>Collateral and Guarantor Releases</w:t>
            </w: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0"/>
        </w:trPr>
        <w:tc>
          <w:tcPr>
            <w:tcW w:w="10440" w:type="dxa"/>
            <w:vAlign w:val="bottom"/>
            <w:gridSpan w:val="2"/>
          </w:tcPr>
          <w:p>
            <w:pPr>
              <w:spacing w:after="0"/>
              <w:rPr>
                <w:sz w:val="20"/>
                <w:szCs w:val="20"/>
                <w:color w:val="auto"/>
              </w:rPr>
            </w:pPr>
            <w:r>
              <w:rPr>
                <w:rFonts w:ascii="Arial" w:cs="Arial" w:eastAsia="Arial" w:hAnsi="Arial"/>
                <w:sz w:val="18"/>
                <w:szCs w:val="18"/>
                <w:color w:val="auto"/>
              </w:rPr>
              <w:t>ARTICLE XI. SETOFF; RATABLE PAYMENTS</w:t>
            </w: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11.1.</w:t>
            </w:r>
          </w:p>
        </w:tc>
        <w:tc>
          <w:tcPr>
            <w:tcW w:w="9440" w:type="dxa"/>
            <w:vAlign w:val="bottom"/>
          </w:tcPr>
          <w:p>
            <w:pPr>
              <w:ind w:left="160"/>
              <w:spacing w:after="0"/>
              <w:rPr>
                <w:sz w:val="20"/>
                <w:szCs w:val="20"/>
                <w:color w:val="auto"/>
              </w:rPr>
            </w:pPr>
            <w:r>
              <w:rPr>
                <w:rFonts w:ascii="Arial" w:cs="Arial" w:eastAsia="Arial" w:hAnsi="Arial"/>
                <w:sz w:val="18"/>
                <w:szCs w:val="18"/>
                <w:color w:val="auto"/>
              </w:rPr>
              <w:t>Setoff</w:t>
            </w: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000" w:type="dxa"/>
            <w:vAlign w:val="bottom"/>
          </w:tcPr>
          <w:p>
            <w:pPr>
              <w:ind w:left="360"/>
              <w:spacing w:after="0"/>
              <w:rPr>
                <w:sz w:val="20"/>
                <w:szCs w:val="20"/>
                <w:color w:val="auto"/>
              </w:rPr>
            </w:pPr>
            <w:r>
              <w:rPr>
                <w:rFonts w:ascii="Arial" w:cs="Arial" w:eastAsia="Arial" w:hAnsi="Arial"/>
                <w:sz w:val="18"/>
                <w:szCs w:val="18"/>
                <w:color w:val="auto"/>
              </w:rPr>
              <w:t>11.2.</w:t>
            </w:r>
          </w:p>
        </w:tc>
        <w:tc>
          <w:tcPr>
            <w:tcW w:w="9440" w:type="dxa"/>
            <w:vAlign w:val="bottom"/>
          </w:tcPr>
          <w:p>
            <w:pPr>
              <w:ind w:left="160"/>
              <w:spacing w:after="0"/>
              <w:rPr>
                <w:sz w:val="20"/>
                <w:szCs w:val="20"/>
                <w:color w:val="auto"/>
              </w:rPr>
            </w:pPr>
            <w:r>
              <w:rPr>
                <w:rFonts w:ascii="Arial" w:cs="Arial" w:eastAsia="Arial" w:hAnsi="Arial"/>
                <w:sz w:val="18"/>
                <w:szCs w:val="18"/>
                <w:color w:val="auto"/>
              </w:rPr>
              <w:t>Ratable Payments</w:t>
            </w: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10"/>
        </w:trPr>
        <w:tc>
          <w:tcPr>
            <w:tcW w:w="10440" w:type="dxa"/>
            <w:vAlign w:val="bottom"/>
            <w:gridSpan w:val="2"/>
          </w:tcPr>
          <w:p>
            <w:pPr>
              <w:spacing w:after="0"/>
              <w:rPr>
                <w:sz w:val="20"/>
                <w:szCs w:val="20"/>
                <w:color w:val="auto"/>
              </w:rPr>
            </w:pPr>
            <w:r>
              <w:rPr>
                <w:rFonts w:ascii="Arial" w:cs="Arial" w:eastAsia="Arial" w:hAnsi="Arial"/>
                <w:sz w:val="18"/>
                <w:szCs w:val="18"/>
                <w:color w:val="auto"/>
              </w:rPr>
              <w:t>ARTICLE XII. BENEFIT OF AGREEMENT; ASSIGNMENTS; PARTICIPATIONS</w:t>
            </w: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12.1.</w:t>
            </w:r>
          </w:p>
        </w:tc>
        <w:tc>
          <w:tcPr>
            <w:tcW w:w="944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12.2.</w:t>
            </w:r>
          </w:p>
        </w:tc>
        <w:tc>
          <w:tcPr>
            <w:tcW w:w="9440" w:type="dxa"/>
            <w:vAlign w:val="bottom"/>
          </w:tcPr>
          <w:p>
            <w:pPr>
              <w:ind w:left="160"/>
              <w:spacing w:after="0"/>
              <w:rPr>
                <w:sz w:val="20"/>
                <w:szCs w:val="20"/>
                <w:color w:val="auto"/>
              </w:rPr>
            </w:pPr>
            <w:r>
              <w:rPr>
                <w:rFonts w:ascii="Arial" w:cs="Arial" w:eastAsia="Arial" w:hAnsi="Arial"/>
                <w:sz w:val="18"/>
                <w:szCs w:val="18"/>
                <w:color w:val="auto"/>
              </w:rPr>
              <w:t>Participations</w:t>
            </w: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12.3.</w:t>
            </w:r>
          </w:p>
        </w:tc>
        <w:tc>
          <w:tcPr>
            <w:tcW w:w="9440" w:type="dxa"/>
            <w:vAlign w:val="bottom"/>
          </w:tcPr>
          <w:p>
            <w:pPr>
              <w:ind w:left="160"/>
              <w:spacing w:after="0"/>
              <w:rPr>
                <w:sz w:val="20"/>
                <w:szCs w:val="20"/>
                <w:color w:val="auto"/>
              </w:rPr>
            </w:pPr>
            <w:r>
              <w:rPr>
                <w:rFonts w:ascii="Arial" w:cs="Arial" w:eastAsia="Arial" w:hAnsi="Arial"/>
                <w:sz w:val="18"/>
                <w:szCs w:val="18"/>
                <w:color w:val="auto"/>
              </w:rPr>
              <w:t>Assignments</w:t>
            </w: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12.4.</w:t>
            </w:r>
          </w:p>
        </w:tc>
        <w:tc>
          <w:tcPr>
            <w:tcW w:w="9440" w:type="dxa"/>
            <w:vAlign w:val="bottom"/>
          </w:tcPr>
          <w:p>
            <w:pPr>
              <w:ind w:left="160"/>
              <w:spacing w:after="0"/>
              <w:rPr>
                <w:sz w:val="20"/>
                <w:szCs w:val="20"/>
                <w:color w:val="auto"/>
              </w:rPr>
            </w:pPr>
            <w:r>
              <w:rPr>
                <w:rFonts w:ascii="Arial" w:cs="Arial" w:eastAsia="Arial" w:hAnsi="Arial"/>
                <w:sz w:val="18"/>
                <w:szCs w:val="18"/>
                <w:color w:val="auto"/>
              </w:rPr>
              <w:t>Dissemination of Information</w:t>
            </w: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000" w:type="dxa"/>
            <w:vAlign w:val="bottom"/>
          </w:tcPr>
          <w:p>
            <w:pPr>
              <w:ind w:left="360"/>
              <w:spacing w:after="0"/>
              <w:rPr>
                <w:sz w:val="20"/>
                <w:szCs w:val="20"/>
                <w:color w:val="auto"/>
              </w:rPr>
            </w:pPr>
            <w:r>
              <w:rPr>
                <w:rFonts w:ascii="Arial" w:cs="Arial" w:eastAsia="Arial" w:hAnsi="Arial"/>
                <w:sz w:val="18"/>
                <w:szCs w:val="18"/>
                <w:color w:val="auto"/>
              </w:rPr>
              <w:t>12.5.</w:t>
            </w:r>
          </w:p>
        </w:tc>
        <w:tc>
          <w:tcPr>
            <w:tcW w:w="9440" w:type="dxa"/>
            <w:vAlign w:val="bottom"/>
          </w:tcPr>
          <w:p>
            <w:pPr>
              <w:ind w:left="160"/>
              <w:spacing w:after="0"/>
              <w:rPr>
                <w:sz w:val="20"/>
                <w:szCs w:val="20"/>
                <w:color w:val="auto"/>
              </w:rPr>
            </w:pPr>
            <w:r>
              <w:rPr>
                <w:rFonts w:ascii="Arial" w:cs="Arial" w:eastAsia="Arial" w:hAnsi="Arial"/>
                <w:sz w:val="18"/>
                <w:szCs w:val="18"/>
                <w:color w:val="auto"/>
              </w:rPr>
              <w:t>Tax Treatment</w:t>
            </w: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10"/>
        </w:trPr>
        <w:tc>
          <w:tcPr>
            <w:tcW w:w="10440" w:type="dxa"/>
            <w:vAlign w:val="bottom"/>
            <w:gridSpan w:val="2"/>
          </w:tcPr>
          <w:p>
            <w:pPr>
              <w:spacing w:after="0"/>
              <w:rPr>
                <w:sz w:val="20"/>
                <w:szCs w:val="20"/>
                <w:color w:val="auto"/>
              </w:rPr>
            </w:pPr>
            <w:r>
              <w:rPr>
                <w:rFonts w:ascii="Arial" w:cs="Arial" w:eastAsia="Arial" w:hAnsi="Arial"/>
                <w:sz w:val="18"/>
                <w:szCs w:val="18"/>
                <w:color w:val="auto"/>
              </w:rPr>
              <w:t>ARTICLE XIII. NOTICES</w:t>
            </w: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000" w:type="dxa"/>
            <w:vAlign w:val="bottom"/>
          </w:tcPr>
          <w:p>
            <w:pPr>
              <w:ind w:left="360"/>
              <w:spacing w:after="0"/>
              <w:rPr>
                <w:sz w:val="20"/>
                <w:szCs w:val="20"/>
                <w:color w:val="auto"/>
              </w:rPr>
            </w:pPr>
            <w:r>
              <w:rPr>
                <w:rFonts w:ascii="Arial" w:cs="Arial" w:eastAsia="Arial" w:hAnsi="Arial"/>
                <w:sz w:val="18"/>
                <w:szCs w:val="18"/>
                <w:color w:val="auto"/>
              </w:rPr>
              <w:t>13.1.</w:t>
            </w:r>
          </w:p>
        </w:tc>
        <w:tc>
          <w:tcPr>
            <w:tcW w:w="9440" w:type="dxa"/>
            <w:vAlign w:val="bottom"/>
          </w:tcPr>
          <w:p>
            <w:pPr>
              <w:ind w:left="160"/>
              <w:spacing w:after="0"/>
              <w:rPr>
                <w:sz w:val="20"/>
                <w:szCs w:val="20"/>
                <w:color w:val="auto"/>
              </w:rPr>
            </w:pPr>
            <w:r>
              <w:rPr>
                <w:rFonts w:ascii="Arial" w:cs="Arial" w:eastAsia="Arial" w:hAnsi="Arial"/>
                <w:sz w:val="18"/>
                <w:szCs w:val="18"/>
                <w:color w:val="auto"/>
              </w:rPr>
              <w:t>Notices; Effectiveness; Electronic Communication</w:t>
            </w: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10"/>
        </w:trPr>
        <w:tc>
          <w:tcPr>
            <w:tcW w:w="10440" w:type="dxa"/>
            <w:vAlign w:val="bottom"/>
            <w:gridSpan w:val="2"/>
          </w:tcPr>
          <w:p>
            <w:pPr>
              <w:spacing w:after="0"/>
              <w:rPr>
                <w:sz w:val="20"/>
                <w:szCs w:val="20"/>
                <w:color w:val="auto"/>
              </w:rPr>
            </w:pPr>
            <w:r>
              <w:rPr>
                <w:rFonts w:ascii="Arial" w:cs="Arial" w:eastAsia="Arial" w:hAnsi="Arial"/>
                <w:sz w:val="18"/>
                <w:szCs w:val="18"/>
                <w:color w:val="auto"/>
              </w:rPr>
              <w:t>ARTICLE XIV. COUNTERPARTS; INTEGRATION; EFFECTIVENESS; ELECTRONIC EXECUTION; ELECTRONIC RECORDS</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14.1.</w:t>
            </w:r>
          </w:p>
        </w:tc>
        <w:tc>
          <w:tcPr>
            <w:tcW w:w="9440" w:type="dxa"/>
            <w:vAlign w:val="bottom"/>
          </w:tcPr>
          <w:p>
            <w:pPr>
              <w:ind w:left="160"/>
              <w:spacing w:after="0"/>
              <w:rPr>
                <w:sz w:val="20"/>
                <w:szCs w:val="20"/>
                <w:color w:val="auto"/>
              </w:rPr>
            </w:pPr>
            <w:r>
              <w:rPr>
                <w:rFonts w:ascii="Arial" w:cs="Arial" w:eastAsia="Arial" w:hAnsi="Arial"/>
                <w:sz w:val="18"/>
                <w:szCs w:val="18"/>
                <w:color w:val="auto"/>
              </w:rPr>
              <w:t>Counterparts; Effectiveness</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14.2.</w:t>
            </w:r>
          </w:p>
        </w:tc>
        <w:tc>
          <w:tcPr>
            <w:tcW w:w="9440" w:type="dxa"/>
            <w:vAlign w:val="bottom"/>
          </w:tcPr>
          <w:p>
            <w:pPr>
              <w:ind w:left="160"/>
              <w:spacing w:after="0"/>
              <w:rPr>
                <w:sz w:val="20"/>
                <w:szCs w:val="20"/>
                <w:color w:val="auto"/>
              </w:rPr>
            </w:pPr>
            <w:r>
              <w:rPr>
                <w:rFonts w:ascii="Arial" w:cs="Arial" w:eastAsia="Arial" w:hAnsi="Arial"/>
                <w:sz w:val="18"/>
                <w:szCs w:val="18"/>
                <w:color w:val="auto"/>
              </w:rPr>
              <w:t>Electronic Execution of Assignments</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000" w:type="dxa"/>
            <w:vAlign w:val="bottom"/>
          </w:tcPr>
          <w:p>
            <w:pPr>
              <w:ind w:left="360"/>
              <w:spacing w:after="0"/>
              <w:rPr>
                <w:sz w:val="20"/>
                <w:szCs w:val="20"/>
                <w:color w:val="auto"/>
              </w:rPr>
            </w:pPr>
            <w:r>
              <w:rPr>
                <w:rFonts w:ascii="Arial" w:cs="Arial" w:eastAsia="Arial" w:hAnsi="Arial"/>
                <w:sz w:val="18"/>
                <w:szCs w:val="18"/>
                <w:color w:val="auto"/>
              </w:rPr>
              <w:t>14.3.</w:t>
            </w:r>
          </w:p>
        </w:tc>
        <w:tc>
          <w:tcPr>
            <w:tcW w:w="9440" w:type="dxa"/>
            <w:vAlign w:val="bottom"/>
          </w:tcPr>
          <w:p>
            <w:pPr>
              <w:ind w:left="160"/>
              <w:spacing w:after="0"/>
              <w:rPr>
                <w:sz w:val="20"/>
                <w:szCs w:val="20"/>
                <w:color w:val="auto"/>
              </w:rPr>
            </w:pPr>
            <w:r>
              <w:rPr>
                <w:rFonts w:ascii="Arial" w:cs="Arial" w:eastAsia="Arial" w:hAnsi="Arial"/>
                <w:sz w:val="18"/>
                <w:szCs w:val="18"/>
                <w:color w:val="auto"/>
              </w:rPr>
              <w:t>Electronic Records</w:t>
            </w: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06"/>
        </w:trPr>
        <w:tc>
          <w:tcPr>
            <w:tcW w:w="10440" w:type="dxa"/>
            <w:vAlign w:val="bottom"/>
            <w:gridSpan w:val="2"/>
          </w:tcPr>
          <w:p>
            <w:pPr>
              <w:spacing w:after="0"/>
              <w:rPr>
                <w:sz w:val="20"/>
                <w:szCs w:val="20"/>
                <w:color w:val="auto"/>
              </w:rPr>
            </w:pPr>
            <w:r>
              <w:rPr>
                <w:rFonts w:ascii="Arial" w:cs="Arial" w:eastAsia="Arial" w:hAnsi="Arial"/>
                <w:sz w:val="18"/>
                <w:szCs w:val="18"/>
                <w:color w:val="auto"/>
              </w:rPr>
              <w:t>ARTICLE XV. CHOICE OF LAW; CONSENT TO JURISDICTION; WAIVER OF JURY TRIAL</w:t>
            </w: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15.1.</w:t>
            </w:r>
          </w:p>
        </w:tc>
        <w:tc>
          <w:tcPr>
            <w:tcW w:w="9440" w:type="dxa"/>
            <w:vAlign w:val="bottom"/>
          </w:tcPr>
          <w:p>
            <w:pPr>
              <w:ind w:left="160"/>
              <w:spacing w:after="0"/>
              <w:rPr>
                <w:sz w:val="20"/>
                <w:szCs w:val="20"/>
                <w:color w:val="auto"/>
              </w:rPr>
            </w:pPr>
            <w:r>
              <w:rPr>
                <w:rFonts w:ascii="Arial" w:cs="Arial" w:eastAsia="Arial" w:hAnsi="Arial"/>
                <w:sz w:val="18"/>
                <w:szCs w:val="18"/>
                <w:b w:val="1"/>
                <w:bCs w:val="1"/>
                <w:color w:val="auto"/>
              </w:rPr>
              <w:t>CHOICE OF LAW</w:t>
            </w: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000" w:type="dxa"/>
            <w:vAlign w:val="bottom"/>
          </w:tcPr>
          <w:p>
            <w:pPr>
              <w:ind w:left="360"/>
              <w:spacing w:after="0"/>
              <w:rPr>
                <w:sz w:val="20"/>
                <w:szCs w:val="20"/>
                <w:color w:val="auto"/>
              </w:rPr>
            </w:pPr>
            <w:r>
              <w:rPr>
                <w:rFonts w:ascii="Arial" w:cs="Arial" w:eastAsia="Arial" w:hAnsi="Arial"/>
                <w:sz w:val="18"/>
                <w:szCs w:val="18"/>
                <w:color w:val="auto"/>
              </w:rPr>
              <w:t>15.2.</w:t>
            </w:r>
          </w:p>
        </w:tc>
        <w:tc>
          <w:tcPr>
            <w:tcW w:w="9440" w:type="dxa"/>
            <w:vAlign w:val="bottom"/>
          </w:tcPr>
          <w:p>
            <w:pPr>
              <w:ind w:left="160"/>
              <w:spacing w:after="0"/>
              <w:rPr>
                <w:sz w:val="20"/>
                <w:szCs w:val="20"/>
                <w:color w:val="auto"/>
              </w:rPr>
            </w:pPr>
            <w:r>
              <w:rPr>
                <w:rFonts w:ascii="Arial" w:cs="Arial" w:eastAsia="Arial" w:hAnsi="Arial"/>
                <w:sz w:val="18"/>
                <w:szCs w:val="18"/>
                <w:b w:val="1"/>
                <w:bCs w:val="1"/>
                <w:color w:val="auto"/>
              </w:rPr>
              <w:t>CONSENT TO JURISDICTION</w:t>
            </w: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4"/>
        </w:trPr>
        <w:tc>
          <w:tcPr>
            <w:tcW w:w="1000" w:type="dxa"/>
            <w:vAlign w:val="bottom"/>
          </w:tcPr>
          <w:p>
            <w:pPr>
              <w:ind w:left="360"/>
              <w:spacing w:after="0"/>
              <w:rPr>
                <w:sz w:val="20"/>
                <w:szCs w:val="20"/>
                <w:color w:val="auto"/>
              </w:rPr>
            </w:pPr>
            <w:r>
              <w:rPr>
                <w:rFonts w:ascii="Arial" w:cs="Arial" w:eastAsia="Arial" w:hAnsi="Arial"/>
                <w:sz w:val="18"/>
                <w:szCs w:val="18"/>
                <w:color w:val="auto"/>
              </w:rPr>
              <w:t>15.3.</w:t>
            </w:r>
          </w:p>
        </w:tc>
        <w:tc>
          <w:tcPr>
            <w:tcW w:w="9440" w:type="dxa"/>
            <w:vAlign w:val="bottom"/>
          </w:tcPr>
          <w:p>
            <w:pPr>
              <w:ind w:left="160"/>
              <w:spacing w:after="0"/>
              <w:rPr>
                <w:sz w:val="20"/>
                <w:szCs w:val="20"/>
                <w:color w:val="auto"/>
              </w:rPr>
            </w:pPr>
            <w:r>
              <w:rPr>
                <w:rFonts w:ascii="Arial" w:cs="Arial" w:eastAsia="Arial" w:hAnsi="Arial"/>
                <w:sz w:val="18"/>
                <w:szCs w:val="18"/>
                <w:b w:val="1"/>
                <w:bCs w:val="1"/>
                <w:color w:val="auto"/>
              </w:rPr>
              <w:t>WAIVER OF JURY TRIAL</w:t>
            </w: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PRICING SCHEDULE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 – Form of Compliance Certificate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B – Form of Assignment and Assumption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C – Form of Borrowing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 – Form of Revolving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E – Form of Term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F – Form of Swing Line Note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 – Commitments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2 – Fiscal Quarters and Fiscal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1(a) – EBITDA and EBITDAR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5.7 – Litigation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5.8 –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5.14 – 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5.16 – Environmental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5.19 – 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5.22 – Labor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6.17 -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6.20 -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6.22 - Liens</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270" w:right="1440"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AGREEMENT</w:t>
      </w:r>
    </w:p>
    <w:p>
      <w:pPr>
        <w:spacing w:after="0" w:line="229"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This Credit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December 23, 2015, is among Hawkins, Inc., a Minnesota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and U.S. Bank National Association, a national banking association, as an LC Issuer, Swing Line Lender and Administrative Agent.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w:t>
      </w:r>
    </w:p>
    <w:p>
      <w:pPr>
        <w:spacing w:after="0" w:line="117" w:lineRule="exact"/>
        <w:rPr>
          <w:sz w:val="20"/>
          <w:szCs w:val="20"/>
          <w:color w:val="auto"/>
        </w:rPr>
      </w:pPr>
    </w:p>
    <w:p>
      <w:pPr>
        <w:ind w:left="460" w:firstLine="43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any transaction, or any series of related transactions, consummated on or after the Closing Date, by which the Borrower or any of its Subsidiaries (i) acquires any going-concern business or all or substantially all of the assets of any firm, corporation or limited liability company, or division thereof, whether through purchase of assets, merger or otherwise or (ii) directly or indirectly acquires (in one transaction or as the most recent transaction in a series of transactions) at least a majority (in number of votes) of the securities of a corporation that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spacing w:after="0" w:line="70" w:lineRule="exact"/>
        <w:rPr>
          <w:sz w:val="20"/>
          <w:szCs w:val="20"/>
          <w:color w:val="auto"/>
        </w:rPr>
      </w:pPr>
    </w:p>
    <w:p>
      <w:pPr>
        <w:ind w:left="460" w:right="10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(SPH)</w:t>
      </w:r>
      <w:r>
        <w:rPr>
          <w:rFonts w:ascii="Arial" w:cs="Arial" w:eastAsia="Arial" w:hAnsi="Arial"/>
          <w:sz w:val="18"/>
          <w:szCs w:val="18"/>
          <w:color w:val="auto"/>
        </w:rPr>
        <w:t>” means the consummation on the Closing Date of the purchase by and transfer of 100% of the Equity Interests in the Target (SPH) to the Borrower described in the Acquisition Agreement (SPH) and each of the other Acquisition Documents (SPH).</w:t>
      </w:r>
    </w:p>
    <w:p>
      <w:pPr>
        <w:spacing w:after="0" w:line="62" w:lineRule="exact"/>
        <w:rPr>
          <w:sz w:val="20"/>
          <w:szCs w:val="20"/>
          <w:color w:val="auto"/>
        </w:rPr>
      </w:pPr>
    </w:p>
    <w:p>
      <w:pPr>
        <w:ind w:left="460" w:right="1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 (SPH)</w:t>
      </w:r>
      <w:r>
        <w:rPr>
          <w:rFonts w:ascii="Arial" w:cs="Arial" w:eastAsia="Arial" w:hAnsi="Arial"/>
          <w:sz w:val="18"/>
          <w:szCs w:val="18"/>
          <w:color w:val="auto"/>
        </w:rPr>
        <w:t>” means the Stock Purchase Agreement dated as of November 23, 2015 by and among the Borrower, the Target (SPH), the Sellers (SPH) and ICV Manager, LLC, a Delaware limited liability company.</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Documents</w:t>
      </w:r>
      <w:r>
        <w:rPr>
          <w:rFonts w:ascii="Arial" w:cs="Arial" w:eastAsia="Arial" w:hAnsi="Arial"/>
          <w:sz w:val="18"/>
          <w:szCs w:val="18"/>
          <w:color w:val="auto"/>
        </w:rPr>
        <w:t>” is defined in Section 6.3.</w:t>
      </w:r>
    </w:p>
    <w:p>
      <w:pPr>
        <w:spacing w:after="0" w:line="117" w:lineRule="exact"/>
        <w:rPr>
          <w:sz w:val="20"/>
          <w:szCs w:val="20"/>
          <w:color w:val="auto"/>
        </w:rPr>
      </w:pPr>
    </w:p>
    <w:p>
      <w:pPr>
        <w:ind w:left="460" w:right="200" w:firstLine="43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Documents (SPH)</w:t>
      </w:r>
      <w:r>
        <w:rPr>
          <w:rFonts w:ascii="Arial" w:cs="Arial" w:eastAsia="Arial" w:hAnsi="Arial"/>
          <w:sz w:val="16"/>
          <w:szCs w:val="16"/>
          <w:color w:val="auto"/>
        </w:rPr>
        <w:t>” means the Acquisition Agreement (SPH) and each other material agreement effecting the Acquisition (SPH), including, without limitation, any escrow agreement, voting rights agreement, management agreement, non-competition agreement, consulting agreement, employment agreement, or bonus agreement for any officer or other senior management employee and other similar agreements.</w:t>
      </w:r>
    </w:p>
    <w:p>
      <w:pPr>
        <w:spacing w:after="0" w:line="39" w:lineRule="exact"/>
        <w:rPr>
          <w:sz w:val="20"/>
          <w:szCs w:val="20"/>
          <w:color w:val="auto"/>
        </w:rPr>
      </w:pPr>
    </w:p>
    <w:p>
      <w:pPr>
        <w:ind w:left="460" w:right="6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U.S. Bank in its capacity as contractual representative of the Lenders pursuant to Article X, and not in its individual capacity as a Lender, and any successor Administrative Agent appointed pursuant to Article X.</w:t>
      </w:r>
    </w:p>
    <w:p>
      <w:pPr>
        <w:sectPr>
          <w:pgSz w:w="11900" w:h="16838" w:orient="portrait"/>
          <w:cols w:equalWidth="0" w:num="1">
            <w:col w:w="11360"/>
          </w:cols>
          <w:pgMar w:left="240" w:top="270" w:right="299" w:bottom="1440" w:gutter="0" w:footer="0" w:header="0"/>
        </w:sectPr>
      </w:pPr>
    </w:p>
    <w:bookmarkStart w:id="13" w:name="page14"/>
    <w:bookmarkEnd w:id="13"/>
    <w:p>
      <w:pPr>
        <w:jc w:val="both"/>
        <w:ind w:right="8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Advance</w:t>
      </w:r>
      <w:r>
        <w:rPr>
          <w:rFonts w:ascii="Arial" w:cs="Arial" w:eastAsia="Arial" w:hAnsi="Arial"/>
          <w:sz w:val="18"/>
          <w:szCs w:val="18"/>
          <w:color w:val="auto"/>
        </w:rPr>
        <w:t>” means a borrowing hereunder (i) made by some or all of the Lenders on the same Borrowing Date or (ii) converted or continued by the Lenders on the same date of conversion or continuation, consisting, in either case, of the aggregate amount of the several Loans of the same Type and, in the case of Eurocurrency Loans, for the same Interest Period. The term “Advance” shall include Swing Line Loans unless otherwise expressly provided.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Lender</w:t>
      </w:r>
      <w:r>
        <w:rPr>
          <w:rFonts w:ascii="Arial" w:cs="Arial" w:eastAsia="Arial" w:hAnsi="Arial"/>
          <w:sz w:val="18"/>
          <w:szCs w:val="18"/>
          <w:color w:val="auto"/>
        </w:rPr>
        <w:t>” is defined in Section 2.18.</w:t>
      </w:r>
    </w:p>
    <w:p>
      <w:pPr>
        <w:spacing w:after="0" w:line="117" w:lineRule="exact"/>
        <w:rPr>
          <w:sz w:val="20"/>
          <w:szCs w:val="20"/>
          <w:color w:val="auto"/>
        </w:rPr>
      </w:pPr>
    </w:p>
    <w:p>
      <w:pPr>
        <w:ind w:right="10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of any Person means any other Person directly or indirectly controlling, controlled by or under common control with such Person, including, without limitation, such Person’s Subsidiaries. A Person shall be deemed to control another Person if the controlling Person owns 10% or more of any class of voting securities (or other ownership interests) of the controlled Person or possesses, directly or indirectly, the power to direct or cause the direction of the management or policies of the controlled Person, whether through ownership of stock, by contract or otherwise. Without limiting the generality of the foregoing, each of the following shall be deemed an Affiliate of the Borrower and each Guarantor for purposes of this Agreement: (a) all of such Person’s officers, directors, Subsidiaries, joint venturers, and partners, and (b) each of the other Guarantors and Borrower. Neither the Administrative Agent nor any Lender shall be deemed an Affiliate of the Borrower or any Guarantor or their Subsidiaries.</w:t>
      </w:r>
    </w:p>
    <w:p>
      <w:pPr>
        <w:spacing w:after="0" w:line="59" w:lineRule="exact"/>
        <w:rPr>
          <w:sz w:val="20"/>
          <w:szCs w:val="20"/>
          <w:color w:val="auto"/>
        </w:rPr>
      </w:pPr>
    </w:p>
    <w:p>
      <w:pPr>
        <w:ind w:right="44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Commitment</w:t>
      </w:r>
      <w:r>
        <w:rPr>
          <w:rFonts w:ascii="Arial" w:cs="Arial" w:eastAsia="Arial" w:hAnsi="Arial"/>
          <w:sz w:val="17"/>
          <w:szCs w:val="17"/>
          <w:color w:val="auto"/>
        </w:rPr>
        <w:t>” means the aggregate of the Commitments of all the Lenders, as reduced from time to time pursuant to the terms hereof. As of the Closing Date and immediately prior to the funding of the Term Loan, the Aggregate Commitment is $165,000,000.</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Outstanding Credit Exposure</w:t>
      </w:r>
      <w:r>
        <w:rPr>
          <w:rFonts w:ascii="Arial" w:cs="Arial" w:eastAsia="Arial" w:hAnsi="Arial"/>
          <w:sz w:val="17"/>
          <w:szCs w:val="17"/>
          <w:color w:val="auto"/>
        </w:rPr>
        <w:t>” means, at any time, the aggregate of the Outstanding Credit Exposure of all the Lenders.</w:t>
      </w:r>
    </w:p>
    <w:p>
      <w:pPr>
        <w:spacing w:after="0" w:line="129" w:lineRule="exact"/>
        <w:rPr>
          <w:sz w:val="20"/>
          <w:szCs w:val="20"/>
          <w:color w:val="auto"/>
        </w:rPr>
      </w:pPr>
    </w:p>
    <w:p>
      <w:pPr>
        <w:ind w:right="4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Commitment</w:t>
      </w:r>
      <w:r>
        <w:rPr>
          <w:rFonts w:ascii="Arial" w:cs="Arial" w:eastAsia="Arial" w:hAnsi="Arial"/>
          <w:sz w:val="18"/>
          <w:szCs w:val="18"/>
          <w:color w:val="auto"/>
        </w:rPr>
        <w:t>” means the aggregate of the Revolving Commitments of all the Lenders, as reduced or increased from time to time pursuant to the terms hereof. As of the Closing Date, the Aggregate Revolving Commitment is $65,000,000.</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Credit Exposure</w:t>
      </w:r>
      <w:r>
        <w:rPr>
          <w:rFonts w:ascii="Arial" w:cs="Arial" w:eastAsia="Arial" w:hAnsi="Arial"/>
          <w:sz w:val="18"/>
          <w:szCs w:val="18"/>
          <w:color w:val="auto"/>
        </w:rPr>
        <w:t>” means, at any time, the aggregate of the Revolving Credit Exposure of all of the Lenders.</w:t>
      </w:r>
    </w:p>
    <w:p>
      <w:pPr>
        <w:spacing w:after="0" w:line="117"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Term Loan Commitment</w:t>
      </w:r>
      <w:r>
        <w:rPr>
          <w:rFonts w:ascii="Arial" w:cs="Arial" w:eastAsia="Arial" w:hAnsi="Arial"/>
          <w:sz w:val="18"/>
          <w:szCs w:val="18"/>
          <w:color w:val="auto"/>
        </w:rPr>
        <w:t>” means, at any time, the aggregate of the Term Loan Commitments of all of the Lenders. As of the Closing Date, the Aggregate Term Loan Commitment is $100,000,000.</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 as it may be amended or modified and in effect from time to time.</w:t>
      </w:r>
    </w:p>
    <w:p>
      <w:pPr>
        <w:spacing w:after="0" w:line="117" w:lineRule="exact"/>
        <w:rPr>
          <w:sz w:val="20"/>
          <w:szCs w:val="20"/>
          <w:color w:val="auto"/>
        </w:rPr>
      </w:pPr>
    </w:p>
    <w:p>
      <w:pPr>
        <w:ind w:right="10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for any day, a rate of interest per annum equal to the highest of (i) 0.0%,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Eurocurrency Rate</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700" w:top="274" w:right="339" w:bottom="1440" w:gutter="0" w:footer="0" w:header="0"/>
        </w:sectPr>
      </w:pPr>
    </w:p>
    <w:bookmarkStart w:id="14" w:name="page15"/>
    <w:bookmarkEnd w:id="14"/>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giving effect to the Applicable Margin) for a one month Interest Period on such day (or if such day is not a Business Day, the immediately preceding Business Day) for Dollars </w:t>
      </w:r>
      <w:r>
        <w:rPr>
          <w:rFonts w:ascii="Arial" w:cs="Arial" w:eastAsia="Arial" w:hAnsi="Arial"/>
          <w:sz w:val="17"/>
          <w:szCs w:val="17"/>
          <w:i w:val="1"/>
          <w:iCs w:val="1"/>
          <w:color w:val="auto"/>
        </w:rPr>
        <w:t>plus</w:t>
      </w:r>
      <w:r>
        <w:rPr>
          <w:rFonts w:ascii="Arial" w:cs="Arial" w:eastAsia="Arial" w:hAnsi="Arial"/>
          <w:sz w:val="17"/>
          <w:szCs w:val="17"/>
          <w:color w:val="auto"/>
        </w:rPr>
        <w:t xml:space="preserve"> 1.0%,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for the avoidance of doubt, the Eurocurrency Rate for any day shall be based on the rate reported by the applicable financial information service at approximately 11:00 a.m. London time on such day.</w:t>
      </w:r>
    </w:p>
    <w:p>
      <w:pPr>
        <w:spacing w:after="0" w:line="57"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or its Subsidiaries from time to time concerning or relating to bribery or corruption.</w:t>
      </w:r>
    </w:p>
    <w:p>
      <w:pPr>
        <w:spacing w:after="0" w:line="62" w:lineRule="exact"/>
        <w:rPr>
          <w:sz w:val="20"/>
          <w:szCs w:val="20"/>
          <w:color w:val="auto"/>
        </w:rPr>
      </w:pPr>
    </w:p>
    <w:p>
      <w:pPr>
        <w:ind w:right="30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Fee Rate</w:t>
      </w:r>
      <w:r>
        <w:rPr>
          <w:rFonts w:ascii="Arial" w:cs="Arial" w:eastAsia="Arial" w:hAnsi="Arial"/>
          <w:sz w:val="18"/>
          <w:szCs w:val="18"/>
          <w:color w:val="auto"/>
        </w:rPr>
        <w:t>” means, at any time, the percentage rate per annum at which commitment fees are accruing on the Available Aggregate Revolving Commitment at such time as set forth in the Pricing Schedule.</w:t>
      </w:r>
    </w:p>
    <w:p>
      <w:pPr>
        <w:spacing w:after="0" w:line="62"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with respect to Advances of any Type at any time, the percentage rate per annum that is applicable at such time with respect to Advances of such Type as set forth in the Pricing Schedule.</w:t>
      </w:r>
    </w:p>
    <w:p>
      <w:pPr>
        <w:spacing w:after="0" w:line="62" w:lineRule="exact"/>
        <w:rPr>
          <w:sz w:val="20"/>
          <w:szCs w:val="20"/>
          <w:color w:val="auto"/>
        </w:rPr>
      </w:pPr>
    </w:p>
    <w:p>
      <w:pPr>
        <w:ind w:right="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U.S. Bank, and its successors, in its capacity as Sole Lead Arranger and Sole Book Runner.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w:t>
      </w:r>
      <w:r>
        <w:rPr>
          <w:rFonts w:ascii="Arial" w:cs="Arial" w:eastAsia="Arial" w:hAnsi="Arial"/>
          <w:sz w:val="18"/>
          <w:szCs w:val="18"/>
          <w:color w:val="auto"/>
        </w:rPr>
        <w:t>” means an article of this Agreement unless another document is specifically referenced.</w:t>
      </w:r>
    </w:p>
    <w:p>
      <w:pPr>
        <w:spacing w:after="0" w:line="117" w:lineRule="exact"/>
        <w:rPr>
          <w:sz w:val="20"/>
          <w:szCs w:val="20"/>
          <w:color w:val="auto"/>
        </w:rPr>
      </w:pPr>
    </w:p>
    <w:p>
      <w:pPr>
        <w:ind w:right="12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Authorized Officer</w:t>
      </w:r>
      <w:r>
        <w:rPr>
          <w:rFonts w:ascii="Arial" w:cs="Arial" w:eastAsia="Arial" w:hAnsi="Arial"/>
          <w:sz w:val="17"/>
          <w:szCs w:val="17"/>
          <w:color w:val="auto"/>
        </w:rPr>
        <w:t>” means any of the chief executive officer, the chief financial officer, president, the chief operating officer, the treasurer, the secretary, the controller or the assistant controller of the Borrower or a Subsidiary, as applicable, in each case, acting singly.</w:t>
      </w:r>
    </w:p>
    <w:p>
      <w:pPr>
        <w:spacing w:after="0" w:line="38" w:lineRule="exact"/>
        <w:rPr>
          <w:sz w:val="20"/>
          <w:szCs w:val="20"/>
          <w:color w:val="auto"/>
        </w:rPr>
      </w:pPr>
    </w:p>
    <w:p>
      <w:pPr>
        <w:ind w:right="2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Aggregate Revolving Commitment</w:t>
      </w:r>
      <w:r>
        <w:rPr>
          <w:rFonts w:ascii="Arial" w:cs="Arial" w:eastAsia="Arial" w:hAnsi="Arial"/>
          <w:sz w:val="18"/>
          <w:szCs w:val="18"/>
          <w:color w:val="auto"/>
        </w:rPr>
        <w:t>” means, at any time, the Aggregate Revolving Commitment then in effect minus the Aggregate Revolving Credit Exposure at such time.</w:t>
      </w:r>
    </w:p>
    <w:p>
      <w:pPr>
        <w:spacing w:after="0" w:line="62" w:lineRule="exact"/>
        <w:rPr>
          <w:sz w:val="20"/>
          <w:szCs w:val="20"/>
          <w:color w:val="auto"/>
        </w:rPr>
      </w:pPr>
    </w:p>
    <w:p>
      <w:pPr>
        <w:ind w:right="14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 rate of interest per annum equal to (i) the Alternate Base Rate for such day and (ii) the Applicable Margin, in each case changing when and as the Alternative Base Rate Changes.</w:t>
      </w:r>
    </w:p>
    <w:p>
      <w:pPr>
        <w:spacing w:after="0" w:line="62" w:lineRule="exact"/>
        <w:rPr>
          <w:sz w:val="20"/>
          <w:szCs w:val="20"/>
          <w:color w:val="auto"/>
        </w:rPr>
      </w:pPr>
    </w:p>
    <w:p>
      <w:pPr>
        <w:ind w:right="30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means an Advance that, except as otherwise provided in Section 2.9, bears interest at the Base Rate, in each case as the Base Rate changes from time to time.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except as otherwise provided in Section 2.9, bears interest at the Base Rate.</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74" w:right="27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Borrower</w:t>
      </w:r>
      <w:r>
        <w:rPr>
          <w:rFonts w:ascii="Arial" w:cs="Arial" w:eastAsia="Arial" w:hAnsi="Arial"/>
          <w:sz w:val="18"/>
          <w:szCs w:val="18"/>
          <w:color w:val="auto"/>
        </w:rPr>
        <w:t>” is defined in the opening paragraph hereof.</w:t>
      </w:r>
    </w:p>
    <w:p>
      <w:pPr>
        <w:spacing w:after="0" w:line="117" w:lineRule="exact"/>
        <w:rPr>
          <w:sz w:val="20"/>
          <w:szCs w:val="20"/>
          <w:color w:val="auto"/>
        </w:rPr>
      </w:pPr>
    </w:p>
    <w:p>
      <w:pPr>
        <w:ind w:right="2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xml:space="preserve">” means a date on which an Advance is made or a Facility LC is issued hereunder; </w:t>
      </w:r>
      <w:r>
        <w:rPr>
          <w:rFonts w:ascii="Arial" w:cs="Arial" w:eastAsia="Arial" w:hAnsi="Arial"/>
          <w:sz w:val="18"/>
          <w:szCs w:val="18"/>
          <w:i w:val="1"/>
          <w:iCs w:val="1"/>
          <w:color w:val="auto"/>
        </w:rPr>
        <w:t>provided</w:t>
      </w:r>
      <w:r>
        <w:rPr>
          <w:rFonts w:ascii="Arial" w:cs="Arial" w:eastAsia="Arial" w:hAnsi="Arial"/>
          <w:sz w:val="18"/>
          <w:szCs w:val="18"/>
          <w:color w:val="auto"/>
        </w:rPr>
        <w:t>, that the only Borrowing Date in respect of Term Loans shall be the Closing Date.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Notice</w:t>
      </w:r>
      <w:r>
        <w:rPr>
          <w:rFonts w:ascii="Arial" w:cs="Arial" w:eastAsia="Arial" w:hAnsi="Arial"/>
          <w:sz w:val="18"/>
          <w:szCs w:val="18"/>
          <w:color w:val="auto"/>
        </w:rPr>
        <w:t>” is defined in Section 2.6.</w:t>
      </w:r>
    </w:p>
    <w:p>
      <w:pPr>
        <w:spacing w:after="0" w:line="117" w:lineRule="exact"/>
        <w:rPr>
          <w:sz w:val="20"/>
          <w:szCs w:val="20"/>
          <w:color w:val="auto"/>
        </w:rPr>
      </w:pPr>
    </w:p>
    <w:p>
      <w:pPr>
        <w:ind w:right="240"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(i) with respect to any borrowing, payment or rate selection of Eurocurrency Advances, a day (other than a Saturday or Sunday) on which banks generally are open in Minneapolis, Minnesota for the conduct of substantially all of their commercial lending activities, interbank wire transfers can be made on the Fedwire system and dealings in United States dollars are carried on in the London interbank market and</w:t>
      </w:r>
    </w:p>
    <w:p>
      <w:pPr>
        <w:ind w:right="20" w:firstLine="4"/>
        <w:spacing w:after="0" w:line="261"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other purposes, a day (other than a Saturday or Sunday) on which banks generally are open in New York City for the conduct of substantially all of their commercial lending activities and interbank wire transfers can be made on the Fedwire system.</w:t>
      </w:r>
    </w:p>
    <w:p>
      <w:pPr>
        <w:spacing w:after="0" w:line="76" w:lineRule="exact"/>
        <w:rPr>
          <w:sz w:val="20"/>
          <w:szCs w:val="20"/>
          <w:color w:val="auto"/>
        </w:rPr>
      </w:pPr>
    </w:p>
    <w:p>
      <w:pPr>
        <w:ind w:right="1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for any period, all expenditures for property, plant or equipment that, in accordance with GAAP, would be required to be capitalized and shown on the consolidated balance sheet of the Borrower and its Subsidiaries, excluding expenditures in respect of Capitalized Leases, and expenditures made in connection with the replacement, substitution or restoration of assets to the extent financed (a) from insurance proceeds (or other similar recoveries) paid on account of the loss of or damage to the assets being replaced or restored, (b) with awards of compensation arising from the taking by eminent domain or condemnation of the assets being replaced or (c) with proceeds reinvested on dispositions of assets allowed under this Agreement.</w:t>
      </w:r>
    </w:p>
    <w:p>
      <w:pPr>
        <w:spacing w:after="0" w:line="85"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w:t>
      </w:r>
      <w:r>
        <w:rPr>
          <w:rFonts w:ascii="Arial" w:cs="Arial" w:eastAsia="Arial" w:hAnsi="Arial"/>
          <w:sz w:val="18"/>
          <w:szCs w:val="18"/>
          <w:color w:val="auto"/>
        </w:rPr>
        <w:t>” of a Person means any lease of Property by such Person as lessee that would be capitalized on a balance sheet of such Person prepared in accordance with GAAP.</w:t>
      </w:r>
    </w:p>
    <w:p>
      <w:pPr>
        <w:spacing w:after="0" w:line="62" w:lineRule="exact"/>
        <w:rPr>
          <w:sz w:val="20"/>
          <w:szCs w:val="20"/>
          <w:color w:val="auto"/>
        </w:rPr>
      </w:pPr>
    </w:p>
    <w:p>
      <w:pPr>
        <w:ind w:right="1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Obligations</w:t>
      </w:r>
      <w:r>
        <w:rPr>
          <w:rFonts w:ascii="Arial" w:cs="Arial" w:eastAsia="Arial" w:hAnsi="Arial"/>
          <w:sz w:val="18"/>
          <w:szCs w:val="18"/>
          <w:color w:val="auto"/>
        </w:rPr>
        <w:t>” of a Person means the amount of the obligations of such Person under Capitalized Leases that would be shown as a liability on a balance sheet of such Person prepared in accordance with GAAP.</w:t>
      </w:r>
    </w:p>
    <w:p>
      <w:pPr>
        <w:spacing w:after="0" w:line="62" w:lineRule="exact"/>
        <w:rPr>
          <w:sz w:val="20"/>
          <w:szCs w:val="20"/>
          <w:color w:val="auto"/>
        </w:rPr>
      </w:pPr>
    </w:p>
    <w:p>
      <w:pPr>
        <w:ind w:right="140" w:firstLine="43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pledge and deposit with or deliver to the Administrative Agent, for the benefit of one or more of the LC Issuer or the Lenders, as collateral for LC Obligations or obligations of Lenders to fund participations in respect of LC Obligations, cash or deposit account balances or, if the Administrative Agent and each applicable LC Issuer agree in their sole discretion, other credit support, in each case pursuant to documentation in form and substance satisfactory to the Administrative Agent and each applicable LC Issuer. “</w:t>
      </w:r>
      <w:r>
        <w:rPr>
          <w:rFonts w:ascii="Arial" w:cs="Arial" w:eastAsia="Arial" w:hAnsi="Arial"/>
          <w:sz w:val="17"/>
          <w:szCs w:val="17"/>
          <w:u w:val="single" w:color="auto"/>
          <w:color w:val="auto"/>
        </w:rPr>
        <w:t>Cash Collateral</w:t>
      </w:r>
      <w:r>
        <w:rPr>
          <w:rFonts w:ascii="Arial" w:cs="Arial" w:eastAsia="Arial" w:hAnsi="Arial"/>
          <w:sz w:val="17"/>
          <w:szCs w:val="17"/>
          <w:color w:val="auto"/>
        </w:rPr>
        <w:t>” shall have a meaning correlative to the foregoing and shall include the proceeds of such cash collateral and other credit support.</w:t>
      </w:r>
    </w:p>
    <w:p>
      <w:pPr>
        <w:spacing w:after="0" w:line="64" w:lineRule="exact"/>
        <w:rPr>
          <w:sz w:val="20"/>
          <w:szCs w:val="20"/>
          <w:color w:val="auto"/>
        </w:rPr>
      </w:pPr>
    </w:p>
    <w:p>
      <w:pPr>
        <w:ind w:right="10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 Investments</w:t>
      </w:r>
      <w:r>
        <w:rPr>
          <w:rFonts w:ascii="Arial" w:cs="Arial" w:eastAsia="Arial" w:hAnsi="Arial"/>
          <w:sz w:val="18"/>
          <w:szCs w:val="18"/>
          <w:color w:val="auto"/>
        </w:rPr>
        <w:t>” means, at any time, (a) any evidence of Indebtedness, maturing not more than one year after such time, issued or guaranteed by the United States Government or any agency thereof, (b) commercial paper, maturing not</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16" w:name="page17"/>
    <w:bookmarkEnd w:id="1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 than one year from the date of issue, or corporate demand notes, in each case (unless issued by a Lender or its holding company) rated at least A-l by S&amp;P or P-l by Moody’s, (c) any certificate of deposit, time deposit or banker’s acceptance, maturing not more than one year after such time, or any overnight Federal funds transaction that is issued or sold by any Lender or its holding company (or by a commercial banking institution that is a member of the Federal Reserve System and has a combined capital and surplus and undivided profits of not less than $500,000,000), (d) money market accounts or mutual funds that invest exclusively in assets satisfying the foregoing requirements and (e) other short term liquid investments approved in writing by the Administrative Agent.</w:t>
      </w:r>
    </w:p>
    <w:p>
      <w:pPr>
        <w:spacing w:after="0" w:line="85" w:lineRule="exact"/>
        <w:rPr>
          <w:sz w:val="20"/>
          <w:szCs w:val="20"/>
          <w:color w:val="auto"/>
        </w:rPr>
      </w:pPr>
    </w:p>
    <w:p>
      <w:pPr>
        <w:jc w:val="both"/>
        <w:ind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Services</w:t>
      </w:r>
      <w:r>
        <w:rPr>
          <w:rFonts w:ascii="Arial" w:cs="Arial" w:eastAsia="Arial" w:hAnsi="Arial"/>
          <w:sz w:val="16"/>
          <w:szCs w:val="16"/>
          <w:color w:val="auto"/>
        </w:rPr>
        <w:t>” means any banking services provided to the Borrower and the Subsidiaries by one or more of the Lenders or any of their Affiliates (other than pursuant to this Agreement), including without limitation (a) credit cards, (b) credit card processing services, (c) debit cards,</w:t>
      </w:r>
    </w:p>
    <w:p>
      <w:pPr>
        <w:ind w:right="460" w:firstLine="4"/>
        <w:spacing w:after="0" w:line="290"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purchase cards, (e) stored value cards, (f) automated clearing house or wire transfer services or (g) treasury management, including controlled disbursement, consolidated account, lockbox, overdraft, return items, sweep and interstate depository network services.</w:t>
      </w:r>
    </w:p>
    <w:p>
      <w:pPr>
        <w:spacing w:after="0" w:line="53" w:lineRule="exact"/>
        <w:rPr>
          <w:sz w:val="20"/>
          <w:szCs w:val="20"/>
          <w:color w:val="auto"/>
        </w:rPr>
      </w:pPr>
    </w:p>
    <w:p>
      <w:pPr>
        <w:ind w:right="4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 Agreement</w:t>
      </w:r>
      <w:r>
        <w:rPr>
          <w:rFonts w:ascii="Arial" w:cs="Arial" w:eastAsia="Arial" w:hAnsi="Arial"/>
          <w:sz w:val="18"/>
          <w:szCs w:val="18"/>
          <w:color w:val="auto"/>
        </w:rPr>
        <w:t>” means any agreement entered into by the Borrower and the Subsidiaries in connection with Cash Management Services.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w:t>
      </w:r>
      <w:r>
        <w:rPr>
          <w:rFonts w:ascii="Arial" w:cs="Arial" w:eastAsia="Arial" w:hAnsi="Arial"/>
          <w:sz w:val="18"/>
          <w:szCs w:val="18"/>
          <w:color w:val="auto"/>
        </w:rPr>
        <w:t>” is defined in Section 3.2(a).</w:t>
      </w:r>
    </w:p>
    <w:p>
      <w:pPr>
        <w:spacing w:after="0" w:line="117" w:lineRule="exact"/>
        <w:rPr>
          <w:sz w:val="20"/>
          <w:szCs w:val="20"/>
          <w:color w:val="auto"/>
        </w:rPr>
      </w:pPr>
    </w:p>
    <w:p>
      <w:pPr>
        <w:jc w:val="both"/>
        <w:ind w:right="4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by any Person, or two or more Persons acting in concert, of beneficial ownership (within the meaning of Rule 13d-3 of the U.S. Securities and Exchange Commission under the Securities Exchange Act of 1934) of 20% or more of the outstanding shares of voting stock of the Borrower on a fully diluted basis.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December 23, 2015.</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Funds Flow</w:t>
      </w:r>
      <w:r>
        <w:rPr>
          <w:rFonts w:ascii="Arial" w:cs="Arial" w:eastAsia="Arial" w:hAnsi="Arial"/>
          <w:sz w:val="18"/>
          <w:szCs w:val="18"/>
          <w:color w:val="auto"/>
        </w:rPr>
        <w:t>” is defined in Section 4.1.1(p).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reformed or otherwise modified from time to time.</w:t>
      </w:r>
    </w:p>
    <w:p>
      <w:pPr>
        <w:spacing w:after="0" w:line="117" w:lineRule="exact"/>
        <w:rPr>
          <w:sz w:val="20"/>
          <w:szCs w:val="20"/>
          <w:color w:val="auto"/>
        </w:rPr>
      </w:pPr>
    </w:p>
    <w:p>
      <w:pPr>
        <w:ind w:right="5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Property pledged, assigned, mortgaged, or otherwise conveyed to the Administrative Agent pursuant to a Collateral Document as security for the Obligations.</w:t>
      </w:r>
    </w:p>
    <w:p>
      <w:pPr>
        <w:spacing w:after="0" w:line="62" w:lineRule="exact"/>
        <w:rPr>
          <w:sz w:val="20"/>
          <w:szCs w:val="20"/>
          <w:color w:val="auto"/>
        </w:rPr>
      </w:pPr>
    </w:p>
    <w:p>
      <w:pPr>
        <w:ind w:right="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the Security Agreement, the Negative Pledge Agreement, any Control Agreements, any confirmatory grants of security interest in intellectual property, and any other pledge agreement, security agreement, mortgage, deed of trust, or other similar instrument or document, in each case that secures the Obligations, each as amended, restated, supplemented or otherwise modified from time to time.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Shortfall Amount</w:t>
      </w:r>
      <w:r>
        <w:rPr>
          <w:rFonts w:ascii="Arial" w:cs="Arial" w:eastAsia="Arial" w:hAnsi="Arial"/>
          <w:sz w:val="18"/>
          <w:szCs w:val="18"/>
          <w:color w:val="auto"/>
        </w:rPr>
        <w:t>” is defined in Section 8.1(a).</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Commitment</w:t>
      </w:r>
      <w:r>
        <w:rPr>
          <w:rFonts w:ascii="Arial" w:cs="Arial" w:eastAsia="Arial" w:hAnsi="Arial"/>
          <w:sz w:val="18"/>
          <w:szCs w:val="18"/>
          <w:color w:val="auto"/>
        </w:rPr>
        <w:t>” means, for each Lender, such Lender’s Revolving Commitment and Term Loan Commitment.</w:t>
      </w:r>
    </w:p>
    <w:p>
      <w:pPr>
        <w:spacing w:after="0" w:line="117" w:lineRule="exact"/>
        <w:rPr>
          <w:sz w:val="20"/>
          <w:szCs w:val="20"/>
          <w:color w:val="auto"/>
        </w:rPr>
      </w:pPr>
    </w:p>
    <w:p>
      <w:pPr>
        <w:ind w:right="4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 as amended from time to time, and any successor statute.</w:t>
      </w:r>
    </w:p>
    <w:p>
      <w:pPr>
        <w:spacing w:after="0" w:line="62" w:lineRule="exact"/>
        <w:rPr>
          <w:sz w:val="20"/>
          <w:szCs w:val="20"/>
          <w:color w:val="auto"/>
        </w:rPr>
      </w:pPr>
    </w:p>
    <w:p>
      <w:pPr>
        <w:ind w:right="1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62" w:lineRule="exact"/>
        <w:rPr>
          <w:sz w:val="20"/>
          <w:szCs w:val="20"/>
          <w:color w:val="auto"/>
        </w:rPr>
      </w:pPr>
    </w:p>
    <w:p>
      <w:pPr>
        <w:ind w:right="2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Indebtedness</w:t>
      </w:r>
      <w:r>
        <w:rPr>
          <w:rFonts w:ascii="Arial" w:cs="Arial" w:eastAsia="Arial" w:hAnsi="Arial"/>
          <w:sz w:val="18"/>
          <w:szCs w:val="18"/>
          <w:color w:val="auto"/>
        </w:rPr>
        <w:t>” means at any time the Indebtedness of the Borrower and its Subsidiaries calculated on a consolidated basis as of such time.</w:t>
      </w:r>
    </w:p>
    <w:p>
      <w:pPr>
        <w:spacing w:after="0" w:line="62"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with respect to the Borrower and the Subsidiaries on a consolidated basis for any period, the aggregate of all amounts that, in accordance with GAAP, would be included as net income (or net loss) of the Borrower and the Subsidiaries on a consolidated basis for such period, excluding any gains and/or losses from dispositions of any assets allowed under this Agreement and any gains and/or losses from discontinued operations.</w:t>
      </w:r>
    </w:p>
    <w:p>
      <w:pPr>
        <w:spacing w:after="0" w:line="79" w:lineRule="exact"/>
        <w:rPr>
          <w:sz w:val="20"/>
          <w:szCs w:val="20"/>
          <w:color w:val="auto"/>
        </w:rPr>
      </w:pPr>
    </w:p>
    <w:p>
      <w:pPr>
        <w:ind w:right="20" w:firstLine="43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Contingent Obligation</w:t>
      </w:r>
      <w:r>
        <w:rPr>
          <w:rFonts w:ascii="Arial" w:cs="Arial" w:eastAsia="Arial" w:hAnsi="Arial"/>
          <w:sz w:val="17"/>
          <w:szCs w:val="17"/>
          <w:color w:val="auto"/>
        </w:rPr>
        <w:t>” of a Person means any agreement, undertaking or arrangement by which such Person assumes, guarantees, endorses, contingently agrees to purchase or provide funds for the payment of or otherwise becomes or is contingently liable upon the obligation or liability of any other Person, agrees to maintain the net worth, working capital or other financial condition of any other Person or otherwise assures any creditor of such other Person against loss, including, without limitation, any comfort letter, operating agreement, take-or-pay contract or the obligations of any such Person as general partner of a partnership with respect to the liabilities of the partnership.</w:t>
      </w:r>
    </w:p>
    <w:p>
      <w:pPr>
        <w:spacing w:after="0" w:line="64" w:lineRule="exact"/>
        <w:rPr>
          <w:sz w:val="20"/>
          <w:szCs w:val="20"/>
          <w:color w:val="auto"/>
        </w:rPr>
      </w:pPr>
    </w:p>
    <w:p>
      <w:pPr>
        <w:ind w:firstLine="43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 Agreement</w:t>
      </w:r>
      <w:r>
        <w:rPr>
          <w:rFonts w:ascii="Arial" w:cs="Arial" w:eastAsia="Arial" w:hAnsi="Arial"/>
          <w:sz w:val="16"/>
          <w:szCs w:val="16"/>
          <w:color w:val="auto"/>
        </w:rPr>
        <w:t>” means a control agreement for deposit accounts, sweep accounts, securities accounts or other investment accounts, granting the Administrative Agent control over such accounts in each case in form and substance reasonably satisfactory to the Administrative Agent.</w:t>
      </w:r>
    </w:p>
    <w:p>
      <w:pPr>
        <w:spacing w:after="0" w:line="16" w:lineRule="exact"/>
        <w:rPr>
          <w:sz w:val="20"/>
          <w:szCs w:val="20"/>
          <w:color w:val="auto"/>
        </w:rPr>
      </w:pPr>
    </w:p>
    <w:p>
      <w:pPr>
        <w:ind w:right="20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Group</w:t>
      </w:r>
      <w:r>
        <w:rPr>
          <w:rFonts w:ascii="Arial" w:cs="Arial" w:eastAsia="Arial" w:hAnsi="Arial"/>
          <w:sz w:val="18"/>
          <w:szCs w:val="18"/>
          <w:color w:val="auto"/>
        </w:rPr>
        <w:t>” means all members of a controlled group of corporations or other business entities and all trades or businesses (whether or not incorporated) under common control that, together with the Borrower and the Subsidiaries, are treated as a single employer under § 414 of the Code.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Conversion/Continuation Notice</w:t>
      </w:r>
      <w:r>
        <w:rPr>
          <w:rFonts w:ascii="Arial" w:cs="Arial" w:eastAsia="Arial" w:hAnsi="Arial"/>
          <w:sz w:val="18"/>
          <w:szCs w:val="18"/>
          <w:color w:val="auto"/>
        </w:rPr>
        <w:t>” is defined in Section 2.7.</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the making of an Advance or the issuance of a Facility LC.</w:t>
      </w:r>
    </w:p>
    <w:p>
      <w:pPr>
        <w:spacing w:after="0" w:line="117" w:lineRule="exact"/>
        <w:rPr>
          <w:sz w:val="20"/>
          <w:szCs w:val="20"/>
          <w:color w:val="auto"/>
        </w:rPr>
      </w:pPr>
    </w:p>
    <w:p>
      <w:pPr>
        <w:ind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74" w:right="279" w:bottom="1440" w:gutter="0" w:footer="0" w:header="0"/>
        </w:sectPr>
      </w:pPr>
    </w:p>
    <w:bookmarkStart w:id="18" w:name="page19"/>
    <w:bookmarkEnd w:id="18"/>
    <w:p>
      <w:pPr>
        <w:ind w:right="60" w:firstLine="438"/>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Deemed Dividend Problem</w:t>
      </w:r>
      <w:r>
        <w:rPr>
          <w:rFonts w:ascii="Arial" w:cs="Arial" w:eastAsia="Arial" w:hAnsi="Arial"/>
          <w:sz w:val="16"/>
          <w:szCs w:val="16"/>
          <w:color w:val="auto"/>
        </w:rPr>
        <w:t>” means, with respect to any Foreign Subsidiary, any portion of such Foreign Subsidiary’s accumulated and undistributed earnings and profits being deemed to be repatriated to the Borrower or the applicable parent Domestic Subsidiary for U.S. federal income tax purposes and the effect of such repatriation causing adverse tax consequences to the Borrower or such parent Domestic Subsidiary, in each case as determined by the Borrower in its commercially reasonable judgment acting in good faith and in consultation with its legal and tax advisors.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 event that but for the lapse of time or the giving of notice, or both, would constitute an Event of Default.</w:t>
      </w:r>
    </w:p>
    <w:p>
      <w:pPr>
        <w:spacing w:after="0" w:line="117" w:lineRule="exact"/>
        <w:rPr>
          <w:sz w:val="20"/>
          <w:szCs w:val="20"/>
          <w:color w:val="auto"/>
        </w:rPr>
      </w:pPr>
    </w:p>
    <w:p>
      <w:pPr>
        <w:ind w:firstLine="43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time there is more than one Lender and subject to Section 2.20(b),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Facility LCs or Swing Line Loans) within two Business Days of the date when due, (b) has notified the Borrower, the Administrative Agent or any LC Issuer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w:t>
      </w:r>
    </w:p>
    <w:p>
      <w:pPr>
        <w:spacing w:after="0" w:line="10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9" w:name="page20"/>
    <w:bookmarkEnd w:id="19"/>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2.20(b)) upon delivery of written notice of such determination to the Borrower, the LC Issuers, the Swing Line Lender and each Lender.</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States of America.</w:t>
      </w:r>
    </w:p>
    <w:p>
      <w:pPr>
        <w:spacing w:after="0" w:line="117" w:lineRule="exact"/>
        <w:rPr>
          <w:sz w:val="20"/>
          <w:szCs w:val="20"/>
          <w:color w:val="auto"/>
        </w:rPr>
      </w:pPr>
    </w:p>
    <w:p>
      <w:pPr>
        <w:ind w:right="5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Holdco Subsidiary</w:t>
      </w:r>
      <w:r>
        <w:rPr>
          <w:rFonts w:ascii="Arial" w:cs="Arial" w:eastAsia="Arial" w:hAnsi="Arial"/>
          <w:sz w:val="18"/>
          <w:szCs w:val="18"/>
          <w:color w:val="auto"/>
        </w:rPr>
        <w:t>” means any Domestic Subsidiary substantially all of the assets of which consist of stock or debt issued by a Foreign Subsidiary or another Domestic Subsidiary satisfying the requirements of a Domestic Holdco Subsidiary.</w:t>
      </w:r>
    </w:p>
    <w:p>
      <w:pPr>
        <w:spacing w:after="0" w:line="62" w:lineRule="exact"/>
        <w:rPr>
          <w:sz w:val="20"/>
          <w:szCs w:val="20"/>
          <w:color w:val="auto"/>
        </w:rPr>
      </w:pPr>
    </w:p>
    <w:p>
      <w:pPr>
        <w:ind w:right="30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incorporated or organized under the laws of the United States of America, any State thereof or the District of Columbia.</w:t>
      </w:r>
    </w:p>
    <w:p>
      <w:pPr>
        <w:spacing w:after="0" w:line="62" w:lineRule="exact"/>
        <w:rPr>
          <w:sz w:val="20"/>
          <w:szCs w:val="20"/>
          <w:color w:val="auto"/>
        </w:rPr>
      </w:pPr>
    </w:p>
    <w:p>
      <w:pPr>
        <w:ind w:right="200" w:firstLine="43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EBITDA</w:t>
      </w:r>
      <w:r>
        <w:rPr>
          <w:rFonts w:ascii="Arial" w:cs="Arial" w:eastAsia="Arial" w:hAnsi="Arial"/>
          <w:sz w:val="17"/>
          <w:szCs w:val="17"/>
          <w:color w:val="auto"/>
        </w:rPr>
        <w:t>” means, for any period, Consolidated Net Income for such period plus, to the extent deducted in determining such Consolidated Net Income, each of the following, without duplication, for such period: (a) Interest Expense, (b) income tax expense, (c) depreciation expense,</w:t>
      </w:r>
    </w:p>
    <w:p>
      <w:pPr>
        <w:ind w:firstLine="4"/>
        <w:spacing w:after="0" w:line="284"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amortization expense, (e) documented transaction expenses and other related fees and expenses actually paid or expensed during such period attributable to the Acquisition (SPH) in an amount not to exceed $3,000,000, (f) documented transaction expenses actually paid or expensed and reasonably acceptable to the Administrative Agent related to other Permitted Acquisitions (in all such cases whether or not consummated), in an amount not to exceed $1,000,000 in any Fiscal Year, (g) documented transaction expenses and fees actually paid and reasonably acceptable to the Administrative Agent related to this Agreement, the other Loan Documents and any amendments thereto, (h) other noncash charges required by GAAP (including, without limitation, any stock compensation expenses and impairment expense), (i) any non-recurring extraordinary losses, (j) stock compensation expenses and bonuses (whether or not noncash charges) related to the Acquisition (SPH);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such bonuses shall not exceed $2,000,000 in the aggregate, (k) reasonable non-recurring severance and recruiting costs following the Closing Date related to the Acquisition (SPH) not to exceed $500,000 in the aggregate over the term of this Agreement, and (l) other non-recurring losses reasonably acceptable to the Administrative Agent and the Initial Lenders,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non-recurring extraordinary gains. In addition, the calculation of EBITDA for any period shall (x) include the adjusted EBITDA (such adjustments to be reasonably satisfactory to the Administrative Agent) for any Person or business unit that has been acquired by the Borrower for any portion of such period being tested, as applicable, in each case prior to the date of acquisition, and (y) exclude the adjusted EBITDA (such adjustments to be reasonably satisfactory to the Administrative Agent) for any Person or business unit that the Borrower has disposed of, for the portion of such period being tested, as applicable, in each case prior to the date of disposition. Notwithstanding the foregoing, EBITDA shall be the amounts set forth on </w:t>
      </w:r>
      <w:r>
        <w:rPr>
          <w:rFonts w:ascii="Arial" w:cs="Arial" w:eastAsia="Arial" w:hAnsi="Arial"/>
          <w:sz w:val="16"/>
          <w:szCs w:val="16"/>
          <w:u w:val="single" w:color="auto"/>
          <w:color w:val="auto"/>
        </w:rPr>
        <w:t>Schedule 1(a)</w:t>
      </w:r>
      <w:r>
        <w:rPr>
          <w:rFonts w:ascii="Arial" w:cs="Arial" w:eastAsia="Arial" w:hAnsi="Arial"/>
          <w:sz w:val="16"/>
          <w:szCs w:val="16"/>
          <w:color w:val="auto"/>
        </w:rPr>
        <w:t xml:space="preserve"> for each Fiscal Quarter identified on </w:t>
      </w:r>
      <w:r>
        <w:rPr>
          <w:rFonts w:ascii="Arial" w:cs="Arial" w:eastAsia="Arial" w:hAnsi="Arial"/>
          <w:sz w:val="16"/>
          <w:szCs w:val="16"/>
          <w:u w:val="single" w:color="auto"/>
          <w:color w:val="auto"/>
        </w:rPr>
        <w:t>Schedule 1(a)</w:t>
      </w:r>
      <w:r>
        <w:rPr>
          <w:rFonts w:ascii="Arial" w:cs="Arial" w:eastAsia="Arial" w:hAnsi="Arial"/>
          <w:sz w:val="16"/>
          <w:szCs w:val="16"/>
          <w:color w:val="auto"/>
        </w:rPr>
        <w:t xml:space="preserve"> and EBITDA for the Fiscal Quarter ending December 27, 2015 shall be calculated similarly by adjusting EBITDA of the Borrower and its Subsidiaries to include the EBITDA of the Target (SPH) and its Subsidiaries prior to the Closing Date in a manner reasonably acceptable to the Borrower and the Administrative Agent.</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20" w:name="page21"/>
    <w:bookmarkEnd w:id="20"/>
    <w:p>
      <w:pPr>
        <w:ind w:right="160" w:firstLine="43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EBITDAR</w:t>
      </w:r>
      <w:r>
        <w:rPr>
          <w:rFonts w:ascii="Arial" w:cs="Arial" w:eastAsia="Arial" w:hAnsi="Arial"/>
          <w:sz w:val="18"/>
          <w:szCs w:val="18"/>
          <w:color w:val="auto"/>
        </w:rPr>
        <w:t xml:space="preserve">” means, for any period of determination, EBITDA before reduction for rent and operating lease expense, determined in accordance with GAAP. Notwithstanding the foregoing, EBITDAR shall be the amounts set forth on </w:t>
      </w:r>
      <w:r>
        <w:rPr>
          <w:rFonts w:ascii="Arial" w:cs="Arial" w:eastAsia="Arial" w:hAnsi="Arial"/>
          <w:sz w:val="18"/>
          <w:szCs w:val="18"/>
          <w:u w:val="single" w:color="auto"/>
          <w:color w:val="auto"/>
        </w:rPr>
        <w:t>Schedule 1(a)</w:t>
      </w:r>
      <w:r>
        <w:rPr>
          <w:rFonts w:ascii="Arial" w:cs="Arial" w:eastAsia="Arial" w:hAnsi="Arial"/>
          <w:sz w:val="18"/>
          <w:szCs w:val="18"/>
          <w:color w:val="auto"/>
        </w:rPr>
        <w:t xml:space="preserve"> for each Fiscal Quarter identified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1(a)</w:t>
      </w:r>
      <w:r>
        <w:rPr>
          <w:rFonts w:ascii="Arial" w:cs="Arial" w:eastAsia="Arial" w:hAnsi="Arial"/>
          <w:sz w:val="18"/>
          <w:szCs w:val="18"/>
          <w:color w:val="auto"/>
        </w:rPr>
        <w:t xml:space="preserve"> and EBITDAR for the Fiscal Quarter ending December 27, 2015 shall be calculated similarly by adjusting EBITDAR of the Borrower and its Subsidiaries to account for the EBITDAR of the Target (SPH) and its Subsidiaries prior to the Closing Date in a manner reasonably acceptable to the Borrower and the Administrative Agent.</w:t>
      </w:r>
    </w:p>
    <w:p>
      <w:pPr>
        <w:spacing w:after="0" w:line="80" w:lineRule="exact"/>
        <w:rPr>
          <w:sz w:val="20"/>
          <w:szCs w:val="20"/>
          <w:color w:val="auto"/>
        </w:rPr>
      </w:pPr>
    </w:p>
    <w:p>
      <w:pPr>
        <w:ind w:firstLine="43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means (a) a Lender or an Affiliate of a Lender; (b) an Approved Fund; (c) a commercial bank organized under the laws of the United States, or any state thereof, and having total assets in excess of $3,000,000,000, calculated in accordance with the accounting principles prescribed by the regulatory authority applicable to such bank in its jurisdiction of organization; (d) a commercial bank organized under the laws of any other country that is a member of the OECD, or a political subdivision of any such country, having total assets in excess of $3,000,000,000, calculated in accordance with the accounting principles prescribed by the regulatory authority applicable to such bank in its jurisdiction of organization, so long as such bank is acting through a branch or agency located in the country in which it is organized or another country that is described in this clause (d); or</w:t>
      </w:r>
    </w:p>
    <w:p>
      <w:pPr>
        <w:spacing w:after="0" w:line="5" w:lineRule="exact"/>
        <w:rPr>
          <w:sz w:val="20"/>
          <w:szCs w:val="20"/>
          <w:color w:val="auto"/>
        </w:rPr>
      </w:pPr>
    </w:p>
    <w:p>
      <w:pPr>
        <w:ind w:left="240" w:hanging="236"/>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central bank of any country that is a member of the OECD; </w:t>
      </w:r>
      <w:r>
        <w:rPr>
          <w:rFonts w:ascii="Arial" w:cs="Arial" w:eastAsia="Arial" w:hAnsi="Arial"/>
          <w:sz w:val="16"/>
          <w:szCs w:val="16"/>
          <w:i w:val="1"/>
          <w:iCs w:val="1"/>
          <w:color w:val="auto"/>
        </w:rPr>
        <w:t>provided, however</w:t>
      </w:r>
      <w:r>
        <w:rPr>
          <w:rFonts w:ascii="Arial" w:cs="Arial" w:eastAsia="Arial" w:hAnsi="Arial"/>
          <w:sz w:val="16"/>
          <w:szCs w:val="16"/>
          <w:color w:val="auto"/>
        </w:rPr>
        <w:t>, that (x) neither the Borrower nor an Affiliate of the Borrower,</w:t>
      </w:r>
    </w:p>
    <w:p>
      <w:pPr>
        <w:spacing w:after="0" w:line="32" w:lineRule="exact"/>
        <w:rPr>
          <w:rFonts w:ascii="Arial" w:cs="Arial" w:eastAsia="Arial" w:hAnsi="Arial"/>
          <w:sz w:val="16"/>
          <w:szCs w:val="16"/>
          <w:color w:val="auto"/>
        </w:rPr>
      </w:pPr>
    </w:p>
    <w:p>
      <w:pPr>
        <w:ind w:left="260" w:hanging="256"/>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natural Person (or holding company, investment vehicle or trust for, or owned and operated for the primary benefit of a natural Person) and</w:t>
      </w:r>
    </w:p>
    <w:p>
      <w:pPr>
        <w:spacing w:after="0" w:line="20" w:lineRule="exact"/>
        <w:rPr>
          <w:rFonts w:ascii="Arial" w:cs="Arial" w:eastAsia="Arial" w:hAnsi="Arial"/>
          <w:sz w:val="17"/>
          <w:szCs w:val="17"/>
          <w:color w:val="auto"/>
        </w:rPr>
      </w:pPr>
    </w:p>
    <w:p>
      <w:pPr>
        <w:ind w:left="240" w:hanging="236"/>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Defaulting Lender shall qualify as an Eligible Assignee.</w:t>
      </w:r>
    </w:p>
    <w:p>
      <w:pPr>
        <w:spacing w:after="0" w:line="103" w:lineRule="exact"/>
        <w:rPr>
          <w:sz w:val="20"/>
          <w:szCs w:val="20"/>
          <w:color w:val="auto"/>
        </w:rPr>
      </w:pPr>
    </w:p>
    <w:p>
      <w:pPr>
        <w:ind w:right="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means all written claims by any governmental, regulatory or judicial authority or other Person alleging potential liability or responsibility for violation of any Environmental Law, or for release of Hazardous Substances or injury to the environment related to any such release, provided, in each case, such claims are pending and unresolved.</w:t>
      </w:r>
    </w:p>
    <w:p>
      <w:pPr>
        <w:spacing w:after="0" w:line="73" w:lineRule="exact"/>
        <w:rPr>
          <w:sz w:val="20"/>
          <w:szCs w:val="20"/>
          <w:color w:val="auto"/>
        </w:rPr>
      </w:pPr>
    </w:p>
    <w:p>
      <w:pPr>
        <w:ind w:right="240" w:firstLine="43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applicable federal, state, local and foreign statutes, laws, regulations, ordinances, rules, judgments, orders, decrees, injunctions, permits and licenses relating to (a) the protection of the environment, (b) emissions, discharges or releases of Hazardous Substances into surface water, ground water or land or (c) the use, treatment, storage, disposal, transport or handling of Hazardous Substances.</w:t>
      </w:r>
    </w:p>
    <w:p>
      <w:pPr>
        <w:spacing w:after="0" w:line="39" w:lineRule="exact"/>
        <w:rPr>
          <w:sz w:val="20"/>
          <w:szCs w:val="20"/>
          <w:color w:val="auto"/>
        </w:rPr>
      </w:pPr>
    </w:p>
    <w:p>
      <w:pPr>
        <w:ind w:right="2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all shares, interests, participations or other equivalents, however designated, of or in a corporation, a limited liability company, a general partnership, a limited liability partnership, or a limited partnership, whether or not voting, including but not limited to common stock, member interests, warrants, preferred stock, convertible debentures, and all agreements, instruments and documents convertible, in whole or in part, into any one or more or all of the foregoing.</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1" w:name="page22"/>
    <w:bookmarkEnd w:id="21"/>
    <w:p>
      <w:pPr>
        <w:ind w:right="620" w:firstLine="43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any rule or regulation issued thereunder.</w:t>
      </w:r>
    </w:p>
    <w:p>
      <w:pPr>
        <w:spacing w:after="0" w:line="62" w:lineRule="exact"/>
        <w:rPr>
          <w:sz w:val="20"/>
          <w:szCs w:val="20"/>
          <w:color w:val="auto"/>
        </w:rPr>
      </w:pPr>
    </w:p>
    <w:p>
      <w:pPr>
        <w:ind w:right="4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and the Subsidiaries, is treated as a single employer under § 414(b) or (c) of the Code or, solely for purposes of § 302 of ERISA and § 412 of the Code, is treated as a single employer under § 414 of the Code.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(b) the existence with respect to any Plan of an “accumulated funding deficiency” (as defined in</w:t>
      </w:r>
    </w:p>
    <w:p>
      <w:pPr>
        <w:spacing w:after="0" w:line="46" w:lineRule="exact"/>
        <w:rPr>
          <w:sz w:val="20"/>
          <w:szCs w:val="20"/>
          <w:color w:val="auto"/>
        </w:rPr>
      </w:pPr>
    </w:p>
    <w:p>
      <w:pPr>
        <w:ind w:firstLine="4"/>
        <w:spacing w:after="0" w:line="251" w:lineRule="auto"/>
        <w:tabs>
          <w:tab w:leader="none" w:pos="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412 of the Code or § 302 of ERISA), whether or not waived; (c) the filing pursuant to § 412(d) of the Code or § 303(d) of ERISA of an application for a waiver of the minimum funding standard with respect to any Plan; (d) the incurrence by the Borrower and the Subsidiaries or any of its ERISA Affiliates of any liability under Title IV of ERISA with respect to the termination of any Plan; (e) the receipt by the Borrower and the Subsidiaries or any ERISA Affiliate from the PBGC or a plan administrator of any notice relating to an intention to terminate any Plan or Plans or to appoint a trustee to administer any Plan; (f) the incurrence by the Borrower and the Subsidiaries or any of its ERISA Affiliates of any liability with respect to the withdrawal or partial withdrawal of the Borrower and the Subsidiaries or any of its ERISA Affiliates from any Plan or Multiemployer Plan; or (g) the receipt by the Borrower and the Subsidiaries or any ERISA Affiliate of any notice, or the receipt by any Multiemployer Plan from the Borrower, or the Subsidiaries, or any ERISA Affiliate of any notice concerning the imposition upon the Borrower and the Subsidiaries or any of its ERISA Affiliates of Withdrawal Liability or a determination that a Multiemployer Plan is, or is expected to be, insolvent or in reorganization, within the meaning of Title IV of ERISA.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Advance</w:t>
      </w:r>
      <w:r>
        <w:rPr>
          <w:rFonts w:ascii="Arial" w:cs="Arial" w:eastAsia="Arial" w:hAnsi="Arial"/>
          <w:sz w:val="16"/>
          <w:szCs w:val="16"/>
          <w:color w:val="auto"/>
        </w:rPr>
        <w:t>” means an Advance that, except as otherwise provided in Section 2.9, bears interest at the applicable Eurocurrency Rate.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Base Rate</w:t>
      </w:r>
      <w:r>
        <w:rPr>
          <w:rFonts w:ascii="Arial" w:cs="Arial" w:eastAsia="Arial" w:hAnsi="Arial"/>
          <w:sz w:val="16"/>
          <w:szCs w:val="16"/>
          <w:color w:val="auto"/>
        </w:rPr>
        <w:t>” means, with respect to a Eurocurrency Advance for the relevant Interest Period, greater of (a) zero percent (0.0%) and</w:t>
      </w:r>
    </w:p>
    <w:p>
      <w:pPr>
        <w:spacing w:after="0" w:line="46" w:lineRule="exact"/>
        <w:rPr>
          <w:sz w:val="20"/>
          <w:szCs w:val="20"/>
          <w:color w:val="auto"/>
        </w:rPr>
      </w:pPr>
    </w:p>
    <w:p>
      <w:pPr>
        <w:ind w:right="20" w:firstLine="4"/>
        <w:spacing w:after="0" w:line="287"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applicable interest settlement rate for deposits in Dollars administered by ICE Benchmark Administration (or any other Person that takes over the administration of such rate) appearing on the applicable Reuters Screen (or any successor organization or substitute page) as of 11:00 a.m. (London time) on the Quotation Date for such Interest Period, and having a maturity equal to such Interest Period, provided that, if the applicable Reuters Screen (or any substitute page) for Dollars is not available to the Administrative Agent for any reason, the applicable Eurocurrency Base Rate for the relevant Interest Period shall instead be the applicable interest settlement rate for deposits in Dollars administered by ICE Benchmark Administration (or any other Person that takes over the administration of such rate) as reported by any other generally recognized financial information service selected by the Administrative Agent as of 11:00 a.m. (London time) on the Quotation Date for such Interest Period, and having a maturity equal to such Interest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no such interest settlement rate administered by ICE Benchmark Administration (or any other Person that takes over the administration of such rate) is available to the Administrative Agent, the applicable Eurocurrency Base Rate for the relevant Interest</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shall instead be the rate reasonably determined by the Administrative Agent to be the rate at which U.S. Bank or one of its Affiliate banks offers to place deposits in Dollars with first-class banks in the interbank market at approximately 11:00 a.m. (London time) two Business Days prior to the first day of such Interest Period, in the approximate amount of U.S. Bank’s relevant Eurocurrency Loan and having a maturity equal to such Interest Period.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Loan</w:t>
      </w:r>
      <w:r>
        <w:rPr>
          <w:rFonts w:ascii="Arial" w:cs="Arial" w:eastAsia="Arial" w:hAnsi="Arial"/>
          <w:sz w:val="17"/>
          <w:szCs w:val="17"/>
          <w:color w:val="auto"/>
        </w:rPr>
        <w:t>” means a Loan that, except as otherwise provided in Section 2.9, bears interest at the applicable Eurocurrency Rate.</w:t>
      </w:r>
    </w:p>
    <w:p>
      <w:pPr>
        <w:spacing w:after="0" w:line="129" w:lineRule="exact"/>
        <w:rPr>
          <w:sz w:val="20"/>
          <w:szCs w:val="20"/>
          <w:color w:val="auto"/>
        </w:rPr>
      </w:pPr>
    </w:p>
    <w:p>
      <w:pPr>
        <w:ind w:right="16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a Eurocurrency Advance for the relevant Interest Period, the sum of (i) the quotient of (a) the Eurocurrency Base Rate applicable to such Interest Period, divided by (b) one minus the Reserve Requirement (expressed as a decimal) applicable to such Interest Period, plus (ii) the Applicable Margin.</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is defined in Article VII.</w:t>
      </w:r>
    </w:p>
    <w:p>
      <w:pPr>
        <w:spacing w:after="0" w:line="117" w:lineRule="exact"/>
        <w:rPr>
          <w:sz w:val="20"/>
          <w:szCs w:val="20"/>
          <w:color w:val="auto"/>
        </w:rPr>
      </w:pPr>
    </w:p>
    <w:p>
      <w:pPr>
        <w:ind w:right="2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Payroll Accounts</w:t>
      </w:r>
      <w:r>
        <w:rPr>
          <w:rFonts w:ascii="Arial" w:cs="Arial" w:eastAsia="Arial" w:hAnsi="Arial"/>
          <w:sz w:val="18"/>
          <w:szCs w:val="18"/>
          <w:color w:val="auto"/>
        </w:rPr>
        <w:t xml:space="preserve">” means the deposit accounts of the Borrower and Subsidiaries designated as “Excluded Payroll Accounts”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of the Security Agreement as updated from time to time and used solely for payroll, payroll taxes and other employee wage and benefit payments to or for employees.</w:t>
      </w:r>
    </w:p>
    <w:p>
      <w:pPr>
        <w:spacing w:after="0" w:line="73" w:lineRule="exact"/>
        <w:rPr>
          <w:sz w:val="20"/>
          <w:szCs w:val="20"/>
          <w:color w:val="auto"/>
        </w:rPr>
      </w:pPr>
    </w:p>
    <w:p>
      <w:pPr>
        <w:ind w:right="2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the Borrower or Guarantor, any Swap Obligation if, and only to the extent that, all or a portion of the guarantee of such Person of, or the grant by such Person of a security interest to secure, such Swap Obligation (or any guarantee thereof) is or becomes illegal under the Commodity Exchange Act or any rule, regulation or order of the Commodity Futures Trading Commission (or the application or official interpretation of any thereof), including by virtue of such Person’s failure for any reason to constitute an “eligible contract participant” as defined in the Commodity Exchange Act and the regulations thereunder at the time the guarantee of such Person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84" w:lineRule="exact"/>
        <w:rPr>
          <w:sz w:val="20"/>
          <w:szCs w:val="20"/>
          <w:color w:val="auto"/>
        </w:rPr>
      </w:pPr>
    </w:p>
    <w:p>
      <w:pPr>
        <w:ind w:right="40" w:firstLine="43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overall gross income,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(or corresponding Tax imposed on the Recipient under Sections 871 and 881 of the Code) imposed on amounts payable to or for the account of such Lender with respect to an applicable interest in a</w:t>
      </w:r>
    </w:p>
    <w:p>
      <w:pPr>
        <w:spacing w:after="0" w:line="9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700" w:top="274" w:right="299" w:bottom="1440" w:gutter="0" w:footer="0" w:header="0"/>
        </w:sectPr>
      </w:pPr>
    </w:p>
    <w:bookmarkStart w:id="23" w:name="page24"/>
    <w:bookmarkEnd w:id="23"/>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 or Commitment pursuant to a law in effect on the date on which (i) such Lender acquires such interest in the Loan or Commitment (other than pursuant to an assignment request by the Borrower under Section 2.18) or (ii) such Lender changes its lending office, except in each case to the extent that, pursuant to Section 3.5, amounts with respect to such Taxes were payable either to such Lender’s assignor immediately before such Lender became a party hereto or to such Lender immediately before it changed its lending office, (c) Taxes attributable to such Recipient’s failure to comply with Section 3.5(g) and (d) any U.S. federal withholding Taxes imposed under FATCA.</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Exhibit</w:t>
      </w:r>
      <w:r>
        <w:rPr>
          <w:rFonts w:ascii="Arial" w:cs="Arial" w:eastAsia="Arial" w:hAnsi="Arial"/>
          <w:sz w:val="18"/>
          <w:szCs w:val="18"/>
          <w:color w:val="auto"/>
        </w:rPr>
        <w:t>” refers to an exhibit to this Agreement, unless another document is specifically referenced.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LC</w:t>
      </w:r>
      <w:r>
        <w:rPr>
          <w:rFonts w:ascii="Arial" w:cs="Arial" w:eastAsia="Arial" w:hAnsi="Arial"/>
          <w:sz w:val="18"/>
          <w:szCs w:val="18"/>
          <w:color w:val="auto"/>
        </w:rPr>
        <w:t>” is defined in Section 2.17.1.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LC Application</w:t>
      </w:r>
      <w:r>
        <w:rPr>
          <w:rFonts w:ascii="Arial" w:cs="Arial" w:eastAsia="Arial" w:hAnsi="Arial"/>
          <w:sz w:val="18"/>
          <w:szCs w:val="18"/>
          <w:color w:val="auto"/>
        </w:rPr>
        <w:t>” is defined in Section 2.17.3.</w:t>
      </w:r>
    </w:p>
    <w:p>
      <w:pPr>
        <w:spacing w:after="0" w:line="117"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Termination Date</w:t>
      </w:r>
      <w:r>
        <w:rPr>
          <w:rFonts w:ascii="Arial" w:cs="Arial" w:eastAsia="Arial" w:hAnsi="Arial"/>
          <w:sz w:val="18"/>
          <w:szCs w:val="18"/>
          <w:color w:val="auto"/>
        </w:rPr>
        <w:t>” means December 23, 2020, or any earlier date on which the Aggregate Commitment is reduced to zero or otherwise terminated pursuant to the terms hereof.</w:t>
      </w:r>
    </w:p>
    <w:p>
      <w:pPr>
        <w:spacing w:after="0" w:line="62" w:lineRule="exact"/>
        <w:rPr>
          <w:sz w:val="20"/>
          <w:szCs w:val="20"/>
          <w:color w:val="auto"/>
        </w:rPr>
      </w:pPr>
    </w:p>
    <w:p>
      <w:pPr>
        <w:ind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73"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an interest rate per annum equal to the weighted average of the rates on overnight federal funds transactions with members of the Federal Reserve System arranged by federal funds brokers on such day, as published for such day (or, if such day is not a Business Day, for the immediately preceding Business Day) by the Federal Reserve Bank of New York, or, if such rate is not so published for any day that is a Business Day, the average of the quotations at approximately 10:00 a.m. (Minneapolis time) on such day on such transactions received by the Administrative Agent from three federal funds brokers of recognized standing selected by the Administrative Agent in its sole discretion.</w:t>
      </w:r>
    </w:p>
    <w:p>
      <w:pPr>
        <w:spacing w:after="0" w:line="85" w:lineRule="exact"/>
        <w:rPr>
          <w:sz w:val="20"/>
          <w:szCs w:val="20"/>
          <w:color w:val="auto"/>
        </w:rPr>
      </w:pPr>
    </w:p>
    <w:p>
      <w:pPr>
        <w:ind w:right="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Contract</w:t>
      </w:r>
      <w:r>
        <w:rPr>
          <w:rFonts w:ascii="Arial" w:cs="Arial" w:eastAsia="Arial" w:hAnsi="Arial"/>
          <w:sz w:val="18"/>
          <w:szCs w:val="18"/>
          <w:color w:val="auto"/>
        </w:rPr>
        <w:t>” of a Person means (i) any exchange-traded or over-the-counter futures, forward, swap or option contract or other financial instrument with similar characteristics or (ii) any Rate Management Transaction.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Financed Premiums</w:t>
      </w:r>
      <w:r>
        <w:rPr>
          <w:rFonts w:ascii="Arial" w:cs="Arial" w:eastAsia="Arial" w:hAnsi="Arial"/>
          <w:sz w:val="18"/>
          <w:szCs w:val="18"/>
          <w:color w:val="auto"/>
        </w:rPr>
        <w:t>” is defined in Section 6.17(h).</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xml:space="preserve">” means the fiscal quarters of the Borrower as set forth in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means the fiscal years of the Borrower as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0"/>
          </w:cols>
          <w:pgMar w:left="700" w:top="274" w:right="35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means, for any period of determination, the ratio of</w:t>
      </w:r>
    </w:p>
    <w:p>
      <w:pPr>
        <w:spacing w:after="0" w:line="117" w:lineRule="exact"/>
        <w:rPr>
          <w:sz w:val="20"/>
          <w:szCs w:val="20"/>
          <w:color w:val="auto"/>
        </w:rPr>
      </w:pPr>
    </w:p>
    <w:p>
      <w:pPr>
        <w:ind w:left="460" w:right="40" w:firstLine="421"/>
        <w:spacing w:after="0" w:line="277" w:lineRule="auto"/>
        <w:tabs>
          <w:tab w:leader="none" w:pos="11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EBITDAR for the four Fiscal Quarters ending on the last day of the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 Restricted Payments paid in cash, (ii) taxes paid in cash, and (iii) Maintenance Capital Expenditures;</w:t>
      </w:r>
    </w:p>
    <w:p>
      <w:pPr>
        <w:spacing w:after="0" w:line="6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to</w:t>
      </w:r>
    </w:p>
    <w:p>
      <w:pPr>
        <w:spacing w:after="0" w:line="117" w:lineRule="exact"/>
        <w:rPr>
          <w:sz w:val="20"/>
          <w:szCs w:val="20"/>
          <w:color w:val="auto"/>
        </w:rPr>
      </w:pPr>
    </w:p>
    <w:p>
      <w:pPr>
        <w:ind w:left="460" w:right="100" w:firstLine="421"/>
        <w:spacing w:after="0" w:line="259"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sum, without duplication, of Interest Expense paid in cash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rent and operating lease expenses,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all required scheduled principal payments with respect to Consolidated Indebtedness (including without limitation all payments with respect to Capitalized Lease Obligations of the Borrower and Subsidiaries), as such required payments may be reduced by the application of voluntary prepayments made pursuant to Section 2.5.</w:t>
      </w:r>
    </w:p>
    <w:p>
      <w:pPr>
        <w:spacing w:after="0" w:line="7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each case determined for said period on a consolidated basis in accordance with GAAP. Notwithstanding the foregoing, (A) for purposes of determining the Interest Expense component of the Fixed Charge Coverage Ratio set forth above for each Fiscal Quarter period ending on or prior to January 1, 2017, Interest Expense shall be the amount of Interest Expense paid in cash for such period since the Closing Date multiplied by a fraction, the numerator of which is 365 and the denominator of which is the number of days in such period since the Closing Date, (B) the scheduled principal payments with respect to the Term Loans, pursuant to Section 2.1(d), for the four consecutive Fiscal Quarters ending on any Fiscal Quarter period ending on or prior to January 1, 2017 shall be deemed to be $5,000,000 and (C) for purposes of determining the rent and operating lease expense component of the Fixed Charge Coverage Ratio set forth above, the actual rent and operating expense for the Target (SPH) prior to the Acquisition (SPH) shall be included.</w:t>
      </w:r>
    </w:p>
    <w:p>
      <w:pPr>
        <w:spacing w:after="0" w:line="84" w:lineRule="exact"/>
        <w:rPr>
          <w:sz w:val="20"/>
          <w:szCs w:val="20"/>
          <w:color w:val="auto"/>
        </w:rPr>
      </w:pPr>
    </w:p>
    <w:p>
      <w:pPr>
        <w:ind w:right="200" w:firstLine="43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organized under the laws of a jurisdiction not located in the United States of America.</w:t>
      </w:r>
    </w:p>
    <w:p>
      <w:pPr>
        <w:spacing w:after="0" w:line="117" w:lineRule="exact"/>
        <w:rPr>
          <w:sz w:val="20"/>
          <w:szCs w:val="20"/>
          <w:color w:val="auto"/>
        </w:rPr>
      </w:pPr>
    </w:p>
    <w:p>
      <w:pPr>
        <w:ind w:right="360"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Fronting Exposure</w:t>
      </w:r>
      <w:r>
        <w:rPr>
          <w:rFonts w:ascii="Arial" w:cs="Arial" w:eastAsia="Arial" w:hAnsi="Arial"/>
          <w:sz w:val="16"/>
          <w:szCs w:val="16"/>
          <w:color w:val="auto"/>
        </w:rPr>
        <w:t>” means, at any time there is a Defaulting Lender, (a) with respect to any LC Issuer, such Defaulting Lender’s Revolving Percentage of the outstanding LC Obligations with respect to Facility LCs issued by such LC Issuer other than LC Obligations as to which such Defaulting Lender’s participation obligation has been reallocated to other Lenders or Cash Collateralized in accordance with the terms hereof, and</w:t>
      </w:r>
    </w:p>
    <w:p>
      <w:pPr>
        <w:ind w:firstLine="4"/>
        <w:spacing w:after="0" w:line="290"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 respect to the Swing Line Lender, such Defaulting Lender’s Revolving Percentage of outstanding Swing Line Loans made by such Swing Line Lender other than Swing Line Loans as to which such Defaulting Lender’s participation obligation has been reallocated to other Lenders.</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74" w:right="279" w:bottom="1440" w:gutter="0" w:footer="0" w:header="0"/>
        </w:sectPr>
      </w:pPr>
    </w:p>
    <w:bookmarkStart w:id="25" w:name="page26"/>
    <w:bookmarkEnd w:id="25"/>
    <w:p>
      <w:pPr>
        <w:ind w:right="380" w:firstLine="43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62" w:lineRule="exact"/>
        <w:rPr>
          <w:sz w:val="20"/>
          <w:szCs w:val="20"/>
          <w:color w:val="auto"/>
        </w:rPr>
      </w:pPr>
    </w:p>
    <w:p>
      <w:pPr>
        <w:ind w:right="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 applied in a manner consistent with that used in preparing the financial statements referred to in Section 5.4.</w:t>
      </w:r>
    </w:p>
    <w:p>
      <w:pPr>
        <w:spacing w:after="0" w:line="62"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79" w:lineRule="exact"/>
        <w:rPr>
          <w:sz w:val="20"/>
          <w:szCs w:val="20"/>
          <w:color w:val="auto"/>
        </w:rPr>
      </w:pPr>
    </w:p>
    <w:p>
      <w:pPr>
        <w:ind w:right="6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all direct and indirect Material Domestic Subsidiaries of the Borrower (other than a Domestic Holdco Subsidiary or Domestic Subsidiary owned by a Foreign Subsidiary), and their respective successors and assigns.</w:t>
      </w:r>
    </w:p>
    <w:p>
      <w:pPr>
        <w:spacing w:after="0" w:line="62"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collectively, one or more guaranties of each Guarantor, in the form or forms prescribed by the Administrative Agent, in favor of the Administrative Agent, for the ratable benefit of the Lenders, as amended or modified and in effect from time to time.</w:t>
      </w:r>
    </w:p>
    <w:p>
      <w:pPr>
        <w:spacing w:after="0" w:line="62" w:lineRule="exact"/>
        <w:rPr>
          <w:sz w:val="20"/>
          <w:szCs w:val="20"/>
          <w:color w:val="auto"/>
        </w:rPr>
      </w:pPr>
    </w:p>
    <w:p>
      <w:pPr>
        <w:ind w:right="20" w:firstLine="43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(i) any petroleum or petroleum products, radioactive materials, asbestos in any form that is or could become friable, urea formaldehyde foam insulation, dielectric fluid containing levels of polychlorinated biphenyls, radon gas and mold; and (ii) any chemicals, materials, pollutant or substances defined as or included in the definition of “hazardous substances,” “hazardous waste,” “hazardous materials,” “extremely hazardous substances,” “restricted hazardous waste,” “toxic substances,” “toxic pollutants,” “contaminants” or “pollutants” under any applicable Environmental Law.</w:t>
      </w:r>
    </w:p>
    <w:p>
      <w:pPr>
        <w:spacing w:after="0" w:line="80" w:lineRule="exact"/>
        <w:rPr>
          <w:sz w:val="20"/>
          <w:szCs w:val="20"/>
          <w:color w:val="auto"/>
        </w:rPr>
      </w:pPr>
    </w:p>
    <w:p>
      <w:pPr>
        <w:ind w:right="2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Highest Lawful Rate</w:t>
      </w:r>
      <w:r>
        <w:rPr>
          <w:rFonts w:ascii="Arial" w:cs="Arial" w:eastAsia="Arial" w:hAnsi="Arial"/>
          <w:sz w:val="18"/>
          <w:szCs w:val="18"/>
          <w:color w:val="auto"/>
        </w:rPr>
        <w:t>” means, on any day, the maximum non-usurious rate of interest permitted for that day by applicable federal or state law stated as a rate per annum.</w:t>
      </w:r>
    </w:p>
    <w:p>
      <w:pPr>
        <w:spacing w:after="0" w:line="62" w:lineRule="exact"/>
        <w:rPr>
          <w:sz w:val="20"/>
          <w:szCs w:val="20"/>
          <w:color w:val="auto"/>
        </w:rPr>
      </w:pPr>
    </w:p>
    <w:p>
      <w:pPr>
        <w:ind w:right="100" w:firstLine="43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of a Person means such Person’s (i) obligations for borrowed money, (ii) obligations representing the deferred purchase price of Property or services (other than accounts payable arising in the ordinary course of such Person’s business payable on terms customary in the trade, Working Capital Adjustments or earn-out payments in the aggregate amount not to exceed $1,000,000 for such earn-out payments), (iii) obligations, whether or not assumed, secured by Liens or payable out of the proceeds or production from Property now or hereafter owned or acquired by such Person, (iv) obligations that are evidenced by notes, acceptances or other instruments, (v) any capital securities or other equity instrument, whether or not mandatorily redeemable, that under GAAP is characterized as debt, whether pursuant to financial accounting standards board issuance No. 150 or otherwise, (vi) Capitalized Lease Obligations, (vii) obligations</w:t>
      </w:r>
    </w:p>
    <w:p>
      <w:pPr>
        <w:spacing w:after="0" w:line="11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700" w:top="274" w:right="319" w:bottom="1440" w:gutter="0" w:footer="0" w:header="0"/>
        </w:sectPr>
      </w:pPr>
    </w:p>
    <w:bookmarkStart w:id="26" w:name="page27"/>
    <w:bookmarkEnd w:id="26"/>
    <w:p>
      <w:pPr>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Person as an account party with respect to standby and commercial Letters of Credit, (viii) Contingent Obligations of such Person, (ix) Net Mark to Market Exposure under Financial Contracts and (x) any other obligation for borrowed money or other financial accommodation that in accordance with GAAP would be shown as a liability on the consolidated balance sheet of such Person.</w:t>
      </w:r>
    </w:p>
    <w:p>
      <w:pPr>
        <w:spacing w:after="0" w:line="57" w:lineRule="exact"/>
        <w:rPr>
          <w:sz w:val="20"/>
          <w:szCs w:val="20"/>
          <w:color w:val="auto"/>
        </w:rPr>
      </w:pPr>
    </w:p>
    <w:p>
      <w:pPr>
        <w:ind w:right="38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or Guarantor under any Loan Document and (b) to the extent not otherwise described in (a), Other Taxes.</w:t>
      </w:r>
    </w:p>
    <w:p>
      <w:pPr>
        <w:spacing w:after="0" w:line="38" w:lineRule="exact"/>
        <w:rPr>
          <w:sz w:val="20"/>
          <w:szCs w:val="20"/>
          <w:color w:val="auto"/>
        </w:rPr>
      </w:pPr>
    </w:p>
    <w:p>
      <w:pPr>
        <w:ind w:right="100" w:firstLine="43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Expense</w:t>
      </w:r>
      <w:r>
        <w:rPr>
          <w:rFonts w:ascii="Arial" w:cs="Arial" w:eastAsia="Arial" w:hAnsi="Arial"/>
          <w:sz w:val="17"/>
          <w:szCs w:val="17"/>
          <w:color w:val="auto"/>
        </w:rPr>
        <w:t>” means, for any period of determination, the aggregate consolidated amount, without duplication, of interest paid, accrued or scheduled to be paid in respect of any Indebtedness of the Borrower and the Subsidiaries, including (a) all but the principal component of payments in respect of conditional sale contracts, Capitalized Leases and other title retention agreements, (b) commissions, discounts and other fees and charges with respect to Letters of Credit and bankers’ acceptance financings, (c) net costs under Rate Management Transactions, in each case determined in accordance with GAAP and (d) the amortization of debt issuance costs.</w:t>
      </w:r>
    </w:p>
    <w:p>
      <w:pPr>
        <w:spacing w:after="0" w:line="64" w:lineRule="exact"/>
        <w:rPr>
          <w:sz w:val="20"/>
          <w:szCs w:val="20"/>
          <w:color w:val="auto"/>
        </w:rPr>
      </w:pPr>
    </w:p>
    <w:p>
      <w:pPr>
        <w:ind w:firstLine="43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 Eurocurrency Advance, a period of one, two, three or six months commencing on a Business Day selected by the Borrower pursuant to this Agreement. Such Interest Period shall end on the day that corresponds numerically to such date one, two, three, or six months thereafter,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there is no such numerically corresponding day in such next, second, third, or sixth succeeding month, such Interest Period shall end on the last Business Day of such next, second, third, or sixth succeeding month. If an Interest Period would otherwise end on a day that is not a Business Day, such Interest Period shall end on the next succeeding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said next succeeding Business Day falls in a new calendar month, such Interest Period shall end on the immediately preceding Business Day.</w:t>
      </w:r>
    </w:p>
    <w:p>
      <w:pPr>
        <w:spacing w:after="0" w:line="57"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Lenders</w:t>
      </w:r>
      <w:r>
        <w:rPr>
          <w:rFonts w:ascii="Arial" w:cs="Arial" w:eastAsia="Arial" w:hAnsi="Arial"/>
          <w:sz w:val="18"/>
          <w:szCs w:val="18"/>
          <w:color w:val="auto"/>
        </w:rPr>
        <w:t xml:space="preserve">” means U.S. Bank and JP Morgan, each in its capacity as a Lender but not including any successor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one of such Lenders shall no longer be a Lender under this Agreement, then “Initial Lenders” shall mean only such Lender that remains a Lender and if neither of such Lenders is a Lender under this Agreement, then the term “Initial Lenders” shall be deemed deleted in all places in this Agreement.</w:t>
      </w:r>
    </w:p>
    <w:p>
      <w:pPr>
        <w:spacing w:after="0" w:line="79" w:lineRule="exact"/>
        <w:rPr>
          <w:sz w:val="20"/>
          <w:szCs w:val="20"/>
          <w:color w:val="auto"/>
        </w:rPr>
      </w:pPr>
    </w:p>
    <w:p>
      <w:pPr>
        <w:ind w:right="24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of a Person means any loan, advance (other than commission, travel and similar advances to officers and employees made in the ordinary course of business), extension of credit (other than accounts receivable arising in the ordinary course of business on terms customary in the trade) or contribution of capital by such Person; stocks, bonds, mutual funds, partnership interests, notes, debentures or other securities (including warrants or options to purchase securities) owned by such Person; any deposit accounts and certificates of deposit owned by such Person; and structured notes, derivative financial instruments and other similar instruments or contracts (other than those arising in connection with Rate Management Transactions) owned by such Person.</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700" w:top="274" w:right="27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 Morgan</w:t>
      </w:r>
      <w:r>
        <w:rPr>
          <w:rFonts w:ascii="Arial" w:cs="Arial" w:eastAsia="Arial" w:hAnsi="Arial"/>
          <w:sz w:val="18"/>
          <w:szCs w:val="18"/>
          <w:color w:val="auto"/>
        </w:rPr>
        <w:t>” means JP Morgan Chase Bank, N.A., a national banking association in its individual capacity, and its successors.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Fee</w:t>
      </w:r>
      <w:r>
        <w:rPr>
          <w:rFonts w:ascii="Arial" w:cs="Arial" w:eastAsia="Arial" w:hAnsi="Arial"/>
          <w:sz w:val="18"/>
          <w:szCs w:val="18"/>
          <w:color w:val="auto"/>
        </w:rPr>
        <w:t>” is defined in Section 2.17.4(b).</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Fronting Fee</w:t>
      </w:r>
      <w:r>
        <w:rPr>
          <w:rFonts w:ascii="Arial" w:cs="Arial" w:eastAsia="Arial" w:hAnsi="Arial"/>
          <w:sz w:val="18"/>
          <w:szCs w:val="18"/>
          <w:color w:val="auto"/>
        </w:rPr>
        <w:t>” is defined in Section 2.17.4(a).</w:t>
      </w:r>
    </w:p>
    <w:p>
      <w:pPr>
        <w:spacing w:after="0" w:line="117" w:lineRule="exact"/>
        <w:rPr>
          <w:sz w:val="20"/>
          <w:szCs w:val="20"/>
          <w:color w:val="auto"/>
        </w:rPr>
      </w:pPr>
    </w:p>
    <w:p>
      <w:pPr>
        <w:ind w:right="1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U.S. Bank (or any subsidiary or affiliate of U.S. Bank designated by U.S. Bank) or JP Morgan (or any subsidiary or affiliate of JP Morgan designated by JP Morgan), each in its capacity as issuer of Facility LCs hereunder.</w:t>
      </w:r>
    </w:p>
    <w:p>
      <w:pPr>
        <w:spacing w:after="0" w:line="62"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means, at any time, the sum, without duplication, of (i) the aggregate undrawn stated amount under all Facility LCs outstanding at such time plus (ii) the aggregate unpaid amount at such time of all Reimbursement Obligations.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Payment Date</w:t>
      </w:r>
      <w:r>
        <w:rPr>
          <w:rFonts w:ascii="Arial" w:cs="Arial" w:eastAsia="Arial" w:hAnsi="Arial"/>
          <w:sz w:val="18"/>
          <w:szCs w:val="18"/>
          <w:color w:val="auto"/>
        </w:rPr>
        <w:t>” is defined in Section 2.17.5.</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the lending institutions listed on the signature pages of this Agreement and their respective permitted successors and assigns.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specified, the term “Lenders” includes U.S. Bank in its capacity as Swing Line Lender.</w:t>
      </w:r>
    </w:p>
    <w:p>
      <w:pPr>
        <w:spacing w:after="0" w:line="103" w:lineRule="exact"/>
        <w:rPr>
          <w:sz w:val="20"/>
          <w:szCs w:val="20"/>
          <w:color w:val="auto"/>
        </w:rPr>
      </w:pPr>
    </w:p>
    <w:p>
      <w:pPr>
        <w:ind w:right="200" w:firstLine="43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Lending Installation</w:t>
      </w:r>
      <w:r>
        <w:rPr>
          <w:rFonts w:ascii="Arial" w:cs="Arial" w:eastAsia="Arial" w:hAnsi="Arial"/>
          <w:sz w:val="17"/>
          <w:szCs w:val="17"/>
          <w:color w:val="auto"/>
        </w:rPr>
        <w:t>” means, with respect to a Lender or the Administrative Agent, the office, branch, subsidiary or affiliate of such Lender or the Administrative Agent listed on the signature pages hereof (in the case of the Administrative Agent) or on its administrative questionnaire (in the case of a Lender) or otherwise selected by such Lender or the Administrative Agent pursuant to Section 2.15.</w:t>
      </w:r>
    </w:p>
    <w:p>
      <w:pPr>
        <w:spacing w:after="0" w:line="57" w:lineRule="exact"/>
        <w:rPr>
          <w:sz w:val="20"/>
          <w:szCs w:val="20"/>
          <w:color w:val="auto"/>
        </w:rPr>
      </w:pPr>
    </w:p>
    <w:p>
      <w:pPr>
        <w:ind w:right="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letter of credit or similar instrument that is issued upon the application of a Person, upon which a Person is an account party or for which a Person is in any way liable.</w:t>
      </w:r>
    </w:p>
    <w:p>
      <w:pPr>
        <w:spacing w:after="0" w:line="62" w:lineRule="exact"/>
        <w:rPr>
          <w:sz w:val="20"/>
          <w:szCs w:val="20"/>
          <w:color w:val="auto"/>
        </w:rPr>
      </w:pPr>
    </w:p>
    <w:p>
      <w:pPr>
        <w:ind w:right="14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(statutory or other), mortgage, pledge, hypothecation, assignment, deposit arrangement, encumbrance, priority or other security agreement or similar arrangement of any kind or nature whatsoever (including, without limitation, the interest of a vendor or lessor under any conditional sale, Capitalized Lease or other title retention agreement).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 Revolving Loan, a Term Loan or a Swing Line Loan.</w:t>
      </w:r>
    </w:p>
    <w:p>
      <w:pPr>
        <w:spacing w:after="0" w:line="117" w:lineRule="exact"/>
        <w:rPr>
          <w:sz w:val="20"/>
          <w:szCs w:val="20"/>
          <w:color w:val="auto"/>
        </w:rPr>
      </w:pPr>
    </w:p>
    <w:p>
      <w:pPr>
        <w:ind w:right="140" w:firstLine="43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this Agreement, the Facility LC Applications, the Collateral Documents, the Guaranty, any note or notes executed by the Borrower in connection with this Agreement and payable to a Lender, and any other material agreement, now or in the future, executed by the Borrower and the Subsidiaries for the benefit of the Administrative Agent or any Lender in connection with this Agreement.</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Maintenance Capital Expenditures</w:t>
      </w:r>
      <w:r>
        <w:rPr>
          <w:rFonts w:ascii="Arial" w:cs="Arial" w:eastAsia="Arial" w:hAnsi="Arial"/>
          <w:sz w:val="18"/>
          <w:szCs w:val="18"/>
          <w:color w:val="auto"/>
        </w:rPr>
        <w:t>” means an amount equal to 50% of the Borrower’s depreciation for such period.</w:t>
      </w:r>
    </w:p>
    <w:p>
      <w:pPr>
        <w:spacing w:after="0" w:line="117" w:lineRule="exact"/>
        <w:rPr>
          <w:sz w:val="20"/>
          <w:szCs w:val="20"/>
          <w:color w:val="auto"/>
        </w:rPr>
      </w:pPr>
    </w:p>
    <w:p>
      <w:pPr>
        <w:ind w:right="20" w:firstLine="43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(i) the business, Property, financial condition or results of operations of the Borrower and the Subsidiaries taken as a whole, (ii) the ability of the Borrower and the Subsidiaries to perform its respective material obligations under the Loan Documents to which it is a party, or (iii) any Substantial Portion of the Collateral under the Collateral Documents or on the validity or enforceability of any of the Loan Documents or the rights or remedies of the Administrative Agent, the LC Issuers or the Lenders thereunder.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Collateral Documents</w:t>
      </w:r>
      <w:r>
        <w:rPr>
          <w:rFonts w:ascii="Arial" w:cs="Arial" w:eastAsia="Arial" w:hAnsi="Arial"/>
          <w:sz w:val="18"/>
          <w:szCs w:val="18"/>
          <w:color w:val="auto"/>
        </w:rPr>
        <w:t>” is defined in Section 7.16.</w:t>
      </w:r>
    </w:p>
    <w:p>
      <w:pPr>
        <w:spacing w:after="0" w:line="117" w:lineRule="exact"/>
        <w:rPr>
          <w:sz w:val="20"/>
          <w:szCs w:val="20"/>
          <w:color w:val="auto"/>
        </w:rPr>
      </w:pPr>
    </w:p>
    <w:p>
      <w:pPr>
        <w:ind w:firstLine="43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Domestic Subsidiary</w:t>
      </w:r>
      <w:r>
        <w:rPr>
          <w:rFonts w:ascii="Arial" w:cs="Arial" w:eastAsia="Arial" w:hAnsi="Arial"/>
          <w:sz w:val="17"/>
          <w:szCs w:val="17"/>
          <w:color w:val="auto"/>
        </w:rPr>
        <w:t xml:space="preserve">” means each Domestic Subsidiary (i) which, as of the most recent Fiscal Quarter of the Borrower, for the period of four (4) consecutive Fiscal Quarters then ended, for which financial statements have been delivered pursuant to Section 6.1, contributed greater than 5% of the Borrower’s Consolidated EBITDA for such period or (ii) which had consolidated assets greater than 5% of the Borrower’s total consolidated assets as of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the aggregate amount contributed to the Consolidated EBITDA by all Subsidiaries that are not Material Domestic Subsidiaries exceeds 10% of the Borrower’s Consolidated EBITDA for any such period, or the aggregate total consolidated assets of all Subsidiaries that are not Material Domestic Subsidiaries exceeds 10% of the Borrower’s total consolidated assets as of the end of any such Fiscal Quarter, the Borrower (or, in the event the Borrower has failed to do so within ten (10) days, the Administrative Agent) shall designate sufficient Subsidiaries as Material Domestic Subsidiaries to eliminate such excess, and such designated Subsidiaries shall for all purposes of this Agreement constitute Material Domestic Subsidiaries.</w:t>
      </w:r>
    </w:p>
    <w:p>
      <w:pPr>
        <w:spacing w:after="0" w:line="74" w:lineRule="exact"/>
        <w:rPr>
          <w:sz w:val="20"/>
          <w:szCs w:val="20"/>
          <w:color w:val="auto"/>
        </w:rPr>
      </w:pPr>
    </w:p>
    <w:p>
      <w:pPr>
        <w:ind w:right="1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of the Borrower and the Subsidiaries in an outstanding principal amount of $1,000,000 or more in the aggregate (or the equivalent thereof in any currency other than Dollars).</w:t>
      </w:r>
    </w:p>
    <w:p>
      <w:pPr>
        <w:spacing w:after="0" w:line="62" w:lineRule="exact"/>
        <w:rPr>
          <w:sz w:val="20"/>
          <w:szCs w:val="20"/>
          <w:color w:val="auto"/>
        </w:rPr>
      </w:pPr>
    </w:p>
    <w:p>
      <w:pPr>
        <w:ind w:right="4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 Agreement</w:t>
      </w:r>
      <w:r>
        <w:rPr>
          <w:rFonts w:ascii="Arial" w:cs="Arial" w:eastAsia="Arial" w:hAnsi="Arial"/>
          <w:sz w:val="18"/>
          <w:szCs w:val="18"/>
          <w:color w:val="auto"/>
        </w:rPr>
        <w:t>” means any agreement under which any Material Indebtedness was created or is governed or that provides for the incurrence of Indebtedness in an amount that would constitute Material Indebtedness (whether or not an amount of Indebtedness constituting Material Indebtedness is outstanding thereunder).</w:t>
      </w:r>
    </w:p>
    <w:p>
      <w:pPr>
        <w:spacing w:after="0" w:line="73" w:lineRule="exact"/>
        <w:rPr>
          <w:sz w:val="20"/>
          <w:szCs w:val="20"/>
          <w:color w:val="auto"/>
        </w:rPr>
      </w:pPr>
    </w:p>
    <w:p>
      <w:pPr>
        <w:ind w:right="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(i) with respect to Cash Collateral consisting of cash or deposit account balances, an amount equal to 105% of the Fronting Exposure of all LC Issuers with respect to Facility LCs issued and outstanding at such time and (ii) otherwise, an amount determined by the Administrative Agent and the LC Issuers in their sole discretion.</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Modify</w:t>
      </w:r>
      <w:r>
        <w:rPr>
          <w:rFonts w:ascii="Arial" w:cs="Arial" w:eastAsia="Arial" w:hAnsi="Arial"/>
          <w:sz w:val="18"/>
          <w:szCs w:val="18"/>
          <w:color w:val="auto"/>
        </w:rPr>
        <w:t>” and “</w:t>
      </w:r>
      <w:r>
        <w:rPr>
          <w:rFonts w:ascii="Arial" w:cs="Arial" w:eastAsia="Arial" w:hAnsi="Arial"/>
          <w:sz w:val="18"/>
          <w:szCs w:val="18"/>
          <w:u w:val="single" w:color="auto"/>
          <w:color w:val="auto"/>
        </w:rPr>
        <w:t>Modification</w:t>
      </w:r>
      <w:r>
        <w:rPr>
          <w:rFonts w:ascii="Arial" w:cs="Arial" w:eastAsia="Arial" w:hAnsi="Arial"/>
          <w:sz w:val="18"/>
          <w:szCs w:val="18"/>
          <w:color w:val="auto"/>
        </w:rPr>
        <w:t>” are defined in Section 2.17.1.</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74" w:right="23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117" w:lineRule="exact"/>
        <w:rPr>
          <w:sz w:val="20"/>
          <w:szCs w:val="20"/>
          <w:color w:val="auto"/>
        </w:rPr>
      </w:pPr>
    </w:p>
    <w:p>
      <w:pPr>
        <w:jc w:val="both"/>
        <w:ind w:right="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Plan that is covered by Title IV of ERISA and that is maintained pursuant to a collective bargaining agreement or any other arrangement to which the Borrower or any member of the Controlled Group is a party to which more than one employer is obligated to make contributions.</w:t>
      </w:r>
    </w:p>
    <w:p>
      <w:pPr>
        <w:spacing w:after="0" w:line="73" w:lineRule="exact"/>
        <w:rPr>
          <w:sz w:val="20"/>
          <w:szCs w:val="20"/>
          <w:color w:val="auto"/>
        </w:rPr>
      </w:pPr>
    </w:p>
    <w:p>
      <w:pPr>
        <w:ind w:right="360" w:firstLine="43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Negative Pledge Agreement</w:t>
      </w:r>
      <w:r>
        <w:rPr>
          <w:rFonts w:ascii="Arial" w:cs="Arial" w:eastAsia="Arial" w:hAnsi="Arial"/>
          <w:sz w:val="16"/>
          <w:szCs w:val="16"/>
          <w:color w:val="auto"/>
        </w:rPr>
        <w:t>” means the Negative Pledge Agreement dated as of the Closing Date, given by the Borrower and each Material Domestic Subsidiary in favor of the Administrative Agent, as amended, restated, supplemented, or otherwise modified from time to time.</w:t>
      </w:r>
    </w:p>
    <w:p>
      <w:pPr>
        <w:spacing w:after="0" w:line="16" w:lineRule="exact"/>
        <w:rPr>
          <w:sz w:val="20"/>
          <w:szCs w:val="20"/>
          <w:color w:val="auto"/>
        </w:rPr>
      </w:pPr>
    </w:p>
    <w:p>
      <w:pPr>
        <w:ind w:right="460" w:firstLine="43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Mark-to-Market Exposure</w:t>
      </w:r>
      <w:r>
        <w:rPr>
          <w:rFonts w:ascii="Arial" w:cs="Arial" w:eastAsia="Arial" w:hAnsi="Arial"/>
          <w:sz w:val="16"/>
          <w:szCs w:val="16"/>
          <w:color w:val="auto"/>
        </w:rPr>
        <w:t>” of a Person means, as of any date of determination, the excess (if any) of all unrealized losses over all unrealized profits of such Person arising from Rate Management Transactions. “unrealized losses” means the fair market value of the cost to such Person of replacing such Rate Management Transaction as of the date of determination (assuming the Rate Management Transaction were to be terminated as of that date), and “unrealized profits” means the fair market value of the gain to such Person of replacing such Rate Management Transaction as of the date of determination (assuming such Rate Management Transaction were to be terminated as of that date).</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is defined in Section 2.11(d).</w:t>
      </w:r>
    </w:p>
    <w:p>
      <w:pPr>
        <w:spacing w:after="0" w:line="117"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unpaid principal of and accrued and unpaid interest on the Loans, all LC Obligations, all accrued and unpaid fees and all expenses, reimbursements, indemnities and other obligations of the Borrower and the Subsidiaries that are party to the Loan Documents to the Lenders or to any Lender, the Administrative Agent, the LC Issuers or any indemnified party arising under the Loan Documents (including interest and fees accruing during the pendency of any bankruptcy, insolvency, receivership or other similar proceeding, regardless of whether allowed or allowable in such proceeding), any Financial Contract between the Borrower or a Subsidiary and a Lender and permitted under Section 6.17(e) (including any such Rate Management Obligations owing to one or more Lenders or their Affiliates), and any Cash Management Services Agreement between the Borrower or a Subsidiary and a Lender; provided that the Obligations shall exclude all Excluded Swap Obligations.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 and any successor thereto.</w:t>
      </w:r>
    </w:p>
    <w:p>
      <w:pPr>
        <w:spacing w:after="0" w:line="117" w:lineRule="exact"/>
        <w:rPr>
          <w:sz w:val="20"/>
          <w:szCs w:val="20"/>
          <w:color w:val="auto"/>
        </w:rPr>
      </w:pPr>
    </w:p>
    <w:p>
      <w:pPr>
        <w:ind w:right="160" w:firstLine="43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30" w:name="page31"/>
    <w:bookmarkEnd w:id="30"/>
    <w:p>
      <w:pPr>
        <w:ind w:right="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spacing w:after="0" w:line="79" w:lineRule="exact"/>
        <w:rPr>
          <w:sz w:val="20"/>
          <w:szCs w:val="20"/>
          <w:color w:val="auto"/>
        </w:rPr>
      </w:pPr>
    </w:p>
    <w:p>
      <w:pPr>
        <w:ind w:right="54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Credit Exposure</w:t>
      </w:r>
      <w:r>
        <w:rPr>
          <w:rFonts w:ascii="Arial" w:cs="Arial" w:eastAsia="Arial" w:hAnsi="Arial"/>
          <w:sz w:val="18"/>
          <w:szCs w:val="18"/>
          <w:color w:val="auto"/>
        </w:rPr>
        <w:t>” means, as to any Lender at any time, the sum of (i) such Lender’s Revolving Credit Exposure, plus (ii) the aggregate principal Dollar amount of its Term Loan outstanding at such time.</w:t>
      </w:r>
    </w:p>
    <w:p>
      <w:pPr>
        <w:spacing w:after="0" w:line="62" w:lineRule="exact"/>
        <w:rPr>
          <w:sz w:val="20"/>
          <w:szCs w:val="20"/>
          <w:color w:val="auto"/>
        </w:rPr>
      </w:pPr>
    </w:p>
    <w:p>
      <w:pPr>
        <w:ind w:right="1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 as amended from time to time, and any successor statute.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is defined in Section 12.2.4.</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Participants</w:t>
      </w:r>
      <w:r>
        <w:rPr>
          <w:rFonts w:ascii="Arial" w:cs="Arial" w:eastAsia="Arial" w:hAnsi="Arial"/>
          <w:sz w:val="18"/>
          <w:szCs w:val="18"/>
          <w:color w:val="auto"/>
        </w:rPr>
        <w:t>” is defined in Section 12.2.1.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thereto.</w:t>
      </w:r>
    </w:p>
    <w:p>
      <w:pPr>
        <w:spacing w:after="0" w:line="117" w:lineRule="exact"/>
        <w:rPr>
          <w:sz w:val="20"/>
          <w:szCs w:val="20"/>
          <w:color w:val="auto"/>
        </w:rPr>
      </w:pPr>
    </w:p>
    <w:p>
      <w:pPr>
        <w:ind w:firstLine="43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w:t>
      </w:r>
      <w:r>
        <w:rPr>
          <w:rFonts w:ascii="Arial" w:cs="Arial" w:eastAsia="Arial" w:hAnsi="Arial"/>
          <w:sz w:val="17"/>
          <w:szCs w:val="17"/>
          <w:color w:val="auto"/>
        </w:rPr>
        <w:t>” means any Acquisition made by the Borrower or any of its Subsidiaries, provided that, (i) as of the date of the consummation of such Acquisition, no Default or Event of Default shall have occurred and be continuing or would result from such Acquisition, and the representation and warranty in Section 5.11 shall be true both before and after giving effect to such Acquisition, (ii) such Acquisition is consummated on a non-hostile basis pursuant to a negotiated acquisition agreement approved by the board of directors or other applicable governing body of the seller or entity to be acquired, and no material challenge to such Acquisition (excluding the exercise of appraisal rights) shall be pending or threatened by any shareholder or director of the seller or entity to be acquired, (iii) the business to be acquired in such Acquisition is in substantially the same line of business as the Borrower’s or any of the Subsidiaries or any business reasonably related thereto, (iv) as of the date of the consummation of such Acquisition, all material approvals required in connection therewith shall have been obtained, (v) none of the entities that are targets of or material aspects of such Acquisition would qualify as a Foreign Subsidiary upon the consummation of such Acquisition, (vi) the Borrower shall have furnished to the Administrative Agent a certificate (A) demonstrating in reasonable detail (1) that the target of such Acquisition has positive EBITDA, (2) pro forma compliance with the financial covenants in Sections 6.31.1 and 6.31.2 for the period in which such Acquisition is consummated, in each case calculated as if such Acquisition, including the consideration therefor, had been consummated on the first day of the such period and (3) that the Borrower has pro forma liquidity of at least $20,000,000 after giving effect to any such Acquisition and (B) certifying to each of the matters described in</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74" w:right="259" w:bottom="1440" w:gutter="0" w:footer="0" w:header="0"/>
        </w:sectPr>
      </w:pPr>
    </w:p>
    <w:bookmarkStart w:id="31" w:name="page32"/>
    <w:bookmarkEnd w:id="3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clauses (i) through (v) above, and (vii) the aggregate amount of consideration provided in connection with all such Acquisitions in any Fiscal Year shall not exceed $20,000,000 after giving effect to all assumed Indebtedness, hold-backs, all scheduled earn-outs during such year for which it is reasonably certain that earn-out targets will be met, indemnity obligations and other similar consideration provided by the acquirer (using the Borrower’s good faith estimates of actual future payment obligations).</w:t>
      </w:r>
    </w:p>
    <w:p>
      <w:pPr>
        <w:spacing w:after="0" w:line="79" w:lineRule="exact"/>
        <w:rPr>
          <w:sz w:val="20"/>
          <w:szCs w:val="20"/>
          <w:color w:val="auto"/>
        </w:rPr>
      </w:pPr>
    </w:p>
    <w:p>
      <w:pPr>
        <w:ind w:right="1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firm, joint venture, partnership, limited liability company, association, enterprise, trust or other entity or organization or government or political subdivision or any agency, department or instrumentality thereof.</w:t>
      </w:r>
    </w:p>
    <w:p>
      <w:pPr>
        <w:spacing w:after="0" w:line="62" w:lineRule="exact"/>
        <w:rPr>
          <w:sz w:val="20"/>
          <w:szCs w:val="20"/>
          <w:color w:val="auto"/>
        </w:rPr>
      </w:pPr>
    </w:p>
    <w:p>
      <w:pPr>
        <w:ind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an employee pension benefit plan that is covered by Title IV of ERISA or subject to the minimum funding standards under § 412 of the Code as to which the Borrower or any member of the Controlled Group may have any liability; </w:t>
      </w:r>
      <w:r>
        <w:rPr>
          <w:rFonts w:ascii="Arial" w:cs="Arial" w:eastAsia="Arial" w:hAnsi="Arial"/>
          <w:sz w:val="18"/>
          <w:szCs w:val="18"/>
          <w:i w:val="1"/>
          <w:iCs w:val="1"/>
          <w:color w:val="auto"/>
        </w:rPr>
        <w:t>provided, however</w:t>
      </w:r>
      <w:r>
        <w:rPr>
          <w:rFonts w:ascii="Arial" w:cs="Arial" w:eastAsia="Arial" w:hAnsi="Arial"/>
          <w:sz w:val="18"/>
          <w:szCs w:val="18"/>
          <w:color w:val="auto"/>
        </w:rPr>
        <w:t>, that Plan shall not include a Multiemployer Plan.</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Schedule</w:t>
      </w:r>
      <w:r>
        <w:rPr>
          <w:rFonts w:ascii="Arial" w:cs="Arial" w:eastAsia="Arial" w:hAnsi="Arial"/>
          <w:sz w:val="18"/>
          <w:szCs w:val="18"/>
          <w:color w:val="auto"/>
        </w:rPr>
        <w:t>” means the Schedule attached hereto identified as such.</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Cash Management Accounts</w:t>
      </w:r>
      <w:r>
        <w:rPr>
          <w:rFonts w:ascii="Arial" w:cs="Arial" w:eastAsia="Arial" w:hAnsi="Arial"/>
          <w:sz w:val="18"/>
          <w:szCs w:val="18"/>
          <w:color w:val="auto"/>
        </w:rPr>
        <w:t>” is defined in Section 6.16(b).</w:t>
      </w:r>
    </w:p>
    <w:p>
      <w:pPr>
        <w:spacing w:after="0" w:line="117" w:lineRule="exact"/>
        <w:rPr>
          <w:sz w:val="20"/>
          <w:szCs w:val="20"/>
          <w:color w:val="auto"/>
        </w:rPr>
      </w:pPr>
    </w:p>
    <w:p>
      <w:pPr>
        <w:ind w:right="3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 rate per annum equal to the prime rate of interest announced from time to time by U.S. Bank or its parent (which is not necessarily the lowest rate charged to any customer), changing when and as said prime rate changes.</w:t>
      </w:r>
    </w:p>
    <w:p>
      <w:pPr>
        <w:spacing w:after="0" w:line="62" w:lineRule="exact"/>
        <w:rPr>
          <w:sz w:val="20"/>
          <w:szCs w:val="20"/>
          <w:color w:val="auto"/>
        </w:rPr>
      </w:pPr>
    </w:p>
    <w:p>
      <w:pPr>
        <w:ind w:right="14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xml:space="preserve">” means, with respect to a Lender, a portion equal to a fraction the numerator of which is such Lender’s Commitment and the denominator of which is the Aggregate Commitment,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if all of the Commitments are terminated pursuant to the terms of this Agreement, the “Pro Rata Share” means the percentage obtained by dividing (a) such Lender’s Outstanding Credit Exposure at such time by (b) the Aggregate Outstanding Credit Exposure at such time;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when a Defaulting Lender exists, “Pro Rata Share” shall mean the percentage of the Aggregate Commitment (disregarding any Defaulting Lender’s Commitment) represented by such Lender’s Commitment. If the Commitments have terminated or expired, the Pro Rata Shares shall be determined based upon the Commitments most recently in effect, giving effect to any assignments.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has the meanings given in § 4975 of the Code and § 406 of ERISA.</w:t>
      </w:r>
    </w:p>
    <w:p>
      <w:pPr>
        <w:spacing w:after="0" w:line="117" w:lineRule="exact"/>
        <w:rPr>
          <w:sz w:val="20"/>
          <w:szCs w:val="20"/>
          <w:color w:val="auto"/>
        </w:rPr>
      </w:pPr>
    </w:p>
    <w:p>
      <w:pPr>
        <w:ind w:right="200" w:firstLine="43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Property</w:t>
      </w:r>
      <w:r>
        <w:rPr>
          <w:rFonts w:ascii="Arial" w:cs="Arial" w:eastAsia="Arial" w:hAnsi="Arial"/>
          <w:sz w:val="16"/>
          <w:szCs w:val="16"/>
          <w:color w:val="auto"/>
        </w:rPr>
        <w:t>” of a Person means any and all property, whether real, personal, tangible, intangible or mixed, of such Person, or other assets owned, leased or operated by such Person. For the avoidance of doubt, “Property” of any Person shall not include Equity Interests issued by such Person.</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w:t>
      </w:r>
      <w:r>
        <w:rPr>
          <w:rFonts w:ascii="Arial" w:cs="Arial" w:eastAsia="Arial" w:hAnsi="Arial"/>
          <w:sz w:val="18"/>
          <w:szCs w:val="18"/>
          <w:color w:val="auto"/>
        </w:rPr>
        <w:t>” is defined in Section 12.3.1.</w:t>
      </w:r>
    </w:p>
    <w:p>
      <w:pPr>
        <w:spacing w:after="0" w:line="117"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Date</w:t>
      </w:r>
      <w:r>
        <w:rPr>
          <w:rFonts w:ascii="Arial" w:cs="Arial" w:eastAsia="Arial" w:hAnsi="Arial"/>
          <w:sz w:val="18"/>
          <w:szCs w:val="18"/>
          <w:color w:val="auto"/>
        </w:rPr>
        <w:t>” means, in relation to any Interest Period for which an interest rate is to be determined, two Business Days before the first day of that period.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74" w:right="239" w:bottom="1440" w:gutter="0" w:footer="0" w:header="0"/>
        </w:sectPr>
      </w:pPr>
    </w:p>
    <w:bookmarkStart w:id="32" w:name="page33"/>
    <w:bookmarkEnd w:id="32"/>
    <w:p>
      <w:pPr>
        <w:ind w:right="260" w:firstLine="43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Rate Management Obligations</w:t>
      </w:r>
      <w:r>
        <w:rPr>
          <w:rFonts w:ascii="Arial" w:cs="Arial" w:eastAsia="Arial" w:hAnsi="Arial"/>
          <w:sz w:val="16"/>
          <w:szCs w:val="16"/>
          <w:color w:val="auto"/>
        </w:rPr>
        <w:t>” of a Person means any and all obligations of such Person, whether absolute or contingent and howsoever and whensoever created, arising, evidenced or acquired (including all renewals, extensions and modifications thereof and substitutions therefor), under</w:t>
      </w:r>
    </w:p>
    <w:p>
      <w:pPr>
        <w:ind w:right="680" w:firstLine="4"/>
        <w:spacing w:after="0" w:line="261"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and all Rate Management Transactions, and (ii) any and all cancellations, buy backs, reversals, terminations or assignments of any Rate Management Transactions.</w:t>
      </w:r>
    </w:p>
    <w:p>
      <w:pPr>
        <w:spacing w:after="0" w:line="76"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Management Transaction</w:t>
      </w:r>
      <w:r>
        <w:rPr>
          <w:rFonts w:ascii="Arial" w:cs="Arial" w:eastAsia="Arial" w:hAnsi="Arial"/>
          <w:sz w:val="18"/>
          <w:szCs w:val="18"/>
          <w:color w:val="auto"/>
        </w:rPr>
        <w:t>” means any transaction (including an agreement with respect thereto) now existing or hereafter entered by the Borrower or the Subsidiaries that is a rate swap, basis swap, forward rate transaction, commodity swap, commodity option, equity or equity index swap, equity or equity index option, bond option, interest rate option, foreign exchange transaction, cap transaction, floor transaction, collar transaction, forward transaction, currency swap transaction, cross-currency rate swap transaction, currency option or any other similar transaction (including any option with respect to any of these transactions) or any combination thereof, whether linked to one or more interest rates, foreign currencies, commodity prices, equity prices or other financial measures.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 LC Issuer, as applicable.</w:t>
      </w:r>
    </w:p>
    <w:p>
      <w:pPr>
        <w:spacing w:after="0" w:line="117" w:lineRule="exact"/>
        <w:rPr>
          <w:sz w:val="20"/>
          <w:szCs w:val="20"/>
          <w:color w:val="auto"/>
        </w:rPr>
      </w:pPr>
    </w:p>
    <w:p>
      <w:pPr>
        <w:ind w:right="20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spacing w:after="0" w:line="73" w:lineRule="exact"/>
        <w:rPr>
          <w:sz w:val="20"/>
          <w:szCs w:val="20"/>
          <w:color w:val="auto"/>
        </w:rPr>
      </w:pPr>
    </w:p>
    <w:p>
      <w:pPr>
        <w:ind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of Governors of the Federal Reserve System as from time to time in effect and any successor or other regulation or official interpretation of said Board of Governors relating to the extension of credit by banks for the purpose of purchasing or carrying margin stock applicable to member banks of the Federal Reserve System.</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Change</w:t>
      </w:r>
      <w:r>
        <w:rPr>
          <w:rFonts w:ascii="Arial" w:cs="Arial" w:eastAsia="Arial" w:hAnsi="Arial"/>
          <w:sz w:val="18"/>
          <w:szCs w:val="18"/>
          <w:color w:val="auto"/>
        </w:rPr>
        <w:t>” is defined in Section 3.1.</w:t>
      </w:r>
    </w:p>
    <w:p>
      <w:pPr>
        <w:spacing w:after="0" w:line="117" w:lineRule="exact"/>
        <w:rPr>
          <w:sz w:val="20"/>
          <w:szCs w:val="20"/>
          <w:color w:val="auto"/>
        </w:rPr>
      </w:pPr>
    </w:p>
    <w:p>
      <w:pPr>
        <w:ind w:right="60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Reimbursement Obligations</w:t>
      </w:r>
      <w:r>
        <w:rPr>
          <w:rFonts w:ascii="Arial" w:cs="Arial" w:eastAsia="Arial" w:hAnsi="Arial"/>
          <w:sz w:val="17"/>
          <w:szCs w:val="17"/>
          <w:color w:val="auto"/>
        </w:rPr>
        <w:t>” means, at any time, the aggregate of all obligations of the Borrower then outstanding under Section 2.17 to reimburse an LC Issuer for amounts paid by such LC Issuer in respect of any one or more drawings under Facility LCs.</w:t>
      </w:r>
    </w:p>
    <w:p>
      <w:pPr>
        <w:spacing w:after="0" w:line="38" w:lineRule="exact"/>
        <w:rPr>
          <w:sz w:val="20"/>
          <w:szCs w:val="20"/>
          <w:color w:val="auto"/>
        </w:rPr>
      </w:pPr>
    </w:p>
    <w:p>
      <w:pPr>
        <w:ind w:right="20" w:firstLine="43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xml:space="preserve">” means a reportable event as defined in § 4043 of ERISA and the regulations issued under such section, with respect to a Plan, excluding, however, such events as to which the PBGC has, as of the Closing Date, by regulation waived the requirement of § 4043(a) of ERISA that it be notified within 30 days of the occurrence of such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failure to meet the minimum funding standard of § 412 of the Code and of § 302 of ERISA shall be a Reportable Event regardless of the issuance of any such waiver of the notice requirement in accordance with either § 4043(a) of ERISA or § 412(d) of the Code.</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Reports</w:t>
      </w:r>
      <w:r>
        <w:rPr>
          <w:rFonts w:ascii="Arial" w:cs="Arial" w:eastAsia="Arial" w:hAnsi="Arial"/>
          <w:sz w:val="18"/>
          <w:szCs w:val="18"/>
          <w:color w:val="auto"/>
        </w:rPr>
        <w:t>” is defined in Section 9.6(a).</w:t>
      </w:r>
    </w:p>
    <w:p>
      <w:pPr>
        <w:spacing w:after="0" w:line="117"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least two Lenders (to the extent there are two or more Lenders and excluding any Defaulting Lender) in the aggregate having greater than 66 2/3% of the sum of (a) the Aggregate Revolving Commitment (or, if the Aggregate Revolving Commitment has been terminated, Lenders in the aggregate holding greater than 66 2/3% of the Aggregate Revolving Credit Exposure) plus (b) the aggregate outstanding principal amount of the Term Loans.</w:t>
      </w:r>
    </w:p>
    <w:p>
      <w:pPr>
        <w:spacing w:after="0" w:line="79"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Requirement</w:t>
      </w:r>
      <w:r>
        <w:rPr>
          <w:rFonts w:ascii="Arial" w:cs="Arial" w:eastAsia="Arial" w:hAnsi="Arial"/>
          <w:sz w:val="18"/>
          <w:szCs w:val="18"/>
          <w:color w:val="auto"/>
        </w:rPr>
        <w:t>” means, with respect to an Interest Period, the maximum aggregate reserve requirement (including all basic, supplemental, marginal and other reserves) that is imposed under Regulation D on Eurocurrency liabilities.</w:t>
      </w:r>
    </w:p>
    <w:p>
      <w:pPr>
        <w:spacing w:after="0" w:line="62" w:lineRule="exact"/>
        <w:rPr>
          <w:sz w:val="20"/>
          <w:szCs w:val="20"/>
          <w:color w:val="auto"/>
        </w:rPr>
      </w:pPr>
    </w:p>
    <w:p>
      <w:pPr>
        <w:ind w:right="60" w:firstLine="43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 any dividend or other distribution (whether in cash, securities or other property) with respect to any Equity Interest in the Borrower and the Subsidiaries, or any payment (whether in cash, securities or other property), including any sinking fund or similar deposit, on account of the purchase, redemption, retirement, acquisition, cancellation or termination of any such Equity Interests in the Borrower and the Subsidiaries or any option, warrant or other right to acquire any such Equity Interest, (b) any amount paid on account of any Indebtedness, promissory notes, or other liabilities or obligations owed by the Borrower and the Subsidiaries to any holder of Equity Interests in such Person other than the Lenders, but excluding (i) compensation to officers, employees and directors in the ordinary course of business (including any Equity Interests of the Borrower or Subsidiary issued pursuant to an equity incentive compensation plan adopted by the board of managers of the Borrower or Subsidiary), (ii) Subordinated Indebtedness paid in accordance with and subject to the terms of any applicable subordination agreement, or</w:t>
      </w:r>
    </w:p>
    <w:p>
      <w:pPr>
        <w:spacing w:after="0" w:line="1" w:lineRule="exact"/>
        <w:rPr>
          <w:sz w:val="20"/>
          <w:szCs w:val="20"/>
          <w:color w:val="auto"/>
        </w:rPr>
      </w:pPr>
    </w:p>
    <w:p>
      <w:pPr>
        <w:ind w:right="340" w:firstLine="4"/>
        <w:spacing w:after="0" w:line="261"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intercompany Indebtedness owed to the Borrower or a Guarantor or (c) any amount voluntarily prepaid directly or indirectly on account of any Subordinated Indebtedness to the extent not in violation of the terms of the applicable subordination agreement.</w:t>
      </w:r>
    </w:p>
    <w:p>
      <w:pPr>
        <w:spacing w:after="0" w:line="76" w:lineRule="exact"/>
        <w:rPr>
          <w:sz w:val="20"/>
          <w:szCs w:val="20"/>
          <w:color w:val="auto"/>
        </w:rPr>
      </w:pPr>
    </w:p>
    <w:p>
      <w:pPr>
        <w:jc w:val="both"/>
        <w:ind w:right="2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for each Lender, the obligation of such Lender to make Revolving Loans to the Borrower, and participate in Facility LCs issued upon the application of the Borrower, in an aggregate amount not exceeding the amount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as its Revolving Commitment, as it may be modified as a result of any assignment that has become effective pursuant to Section 12.3 or as otherwise modified from time to time pursuant to the terms hereof.</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Fees</w:t>
      </w:r>
      <w:r>
        <w:rPr>
          <w:rFonts w:ascii="Arial" w:cs="Arial" w:eastAsia="Arial" w:hAnsi="Arial"/>
          <w:sz w:val="18"/>
          <w:szCs w:val="18"/>
          <w:color w:val="auto"/>
        </w:rPr>
        <w:t>” shall have the meaning set forth in Section 2.3.</w:t>
      </w:r>
    </w:p>
    <w:p>
      <w:pPr>
        <w:spacing w:after="0" w:line="117" w:lineRule="exact"/>
        <w:rPr>
          <w:sz w:val="20"/>
          <w:szCs w:val="20"/>
          <w:color w:val="auto"/>
        </w:rPr>
      </w:pPr>
    </w:p>
    <w:p>
      <w:pPr>
        <w:jc w:val="both"/>
        <w:ind w:right="1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Lender at any time, the sum of (i) the aggregate principal Dollar amount of its Revolving Loans outstanding at such time, plus (ii) an amount equal to its Revolving Percentage of the aggregate principal amount of Swing Line Loans outstanding at such time, plus (iii) an amount equal to its Revolving Percentage of the LC Obligations at such time.</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74" w:right="239" w:bottom="1440" w:gutter="0" w:footer="0" w:header="0"/>
        </w:sectPr>
      </w:pPr>
    </w:p>
    <w:bookmarkStart w:id="34" w:name="page35"/>
    <w:bookmarkEnd w:id="34"/>
    <w:p>
      <w:pPr>
        <w:ind w:right="160" w:firstLine="43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with respect to a Lender, such Lender’s loan made pursuant to its Revolving Commitment set forth in Section 2.1 (or any conversion or continuation thereof).</w:t>
      </w:r>
    </w:p>
    <w:p>
      <w:pPr>
        <w:spacing w:after="0" w:line="62" w:lineRule="exact"/>
        <w:rPr>
          <w:sz w:val="20"/>
          <w:szCs w:val="20"/>
          <w:color w:val="auto"/>
        </w:rPr>
      </w:pPr>
    </w:p>
    <w:p>
      <w:pPr>
        <w:ind w:right="20" w:firstLine="43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Percentage</w:t>
      </w:r>
      <w:r>
        <w:rPr>
          <w:rFonts w:ascii="Arial" w:cs="Arial" w:eastAsia="Arial" w:hAnsi="Arial"/>
          <w:sz w:val="17"/>
          <w:szCs w:val="17"/>
          <w:color w:val="auto"/>
        </w:rPr>
        <w:t xml:space="preserve">” means, with respect to a Lender, the percentage obtained by dividing such Lender’s Revolving Commitment by the Aggregate Revolving Commitment,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if all of the Revolving Commitments are terminated pursuant to the terms of this Agreement, the “Revolving Percentage” means the percentage obtained by dividing (a) such Lender’s Revolving Credit Exposure at such time by (b) the Aggregate Revolving Credit Exposure at such time;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when a Defaulting Lender exists, “Revolving Percentage” shall mean the percentage of the Aggregate Revolving Commitment (disregarding any Defaulting Lender’s Revolving Commitment) represented by such Lender’s Revolving Commitment. If the Revolving Commitments have terminated or expired, the Revolving Percentage shall be determined based upon the Revolving Commitments most recently in effect, giving effect to any assignments.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and Poor’s Ratings Services, a division of The McGraw Hill Companies, Inc.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and Leaseback Transaction</w:t>
      </w:r>
      <w:r>
        <w:rPr>
          <w:rFonts w:ascii="Arial" w:cs="Arial" w:eastAsia="Arial" w:hAnsi="Arial"/>
          <w:sz w:val="16"/>
          <w:szCs w:val="16"/>
          <w:color w:val="auto"/>
        </w:rPr>
        <w:t>” means any sale or other transfer of Property by any Person with the intent to lease such Property as lessee.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means, at any time, any country or territory which is itself the subject or target of any comprehensive Sanctions.</w:t>
      </w:r>
    </w:p>
    <w:p>
      <w:pPr>
        <w:spacing w:after="0" w:line="129" w:lineRule="exact"/>
        <w:rPr>
          <w:sz w:val="20"/>
          <w:szCs w:val="20"/>
          <w:color w:val="auto"/>
        </w:rPr>
      </w:pPr>
    </w:p>
    <w:p>
      <w:pPr>
        <w:ind w:right="40" w:firstLine="43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 any Person or group listed in any Sanctions-related list of designated Persons maintained by OFAC or the U.S. Department of State, the United Nations Security Council, the European Union or any EU member state, (b) any Person or group operating, organized or resident in a Sanctioned Country, (c) any agency, political subdivision or instrumentality of the government of a Sanctioned Country, or (d) any Person 50% or more owned, directly or indirectly, by any of the above.</w:t>
      </w:r>
    </w:p>
    <w:p>
      <w:pPr>
        <w:spacing w:after="0" w:line="63" w:lineRule="exact"/>
        <w:rPr>
          <w:sz w:val="20"/>
          <w:szCs w:val="20"/>
          <w:color w:val="auto"/>
        </w:rPr>
      </w:pPr>
    </w:p>
    <w:p>
      <w:pPr>
        <w:ind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Her Majesty’s Treasury of the United Kingdom.</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refers to a specific schedule to this Agreement, unless another document is specifically referenced.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w:t>
      </w:r>
      <w:r>
        <w:rPr>
          <w:rFonts w:ascii="Arial" w:cs="Arial" w:eastAsia="Arial" w:hAnsi="Arial"/>
          <w:sz w:val="18"/>
          <w:szCs w:val="18"/>
          <w:color w:val="auto"/>
        </w:rPr>
        <w:t>” means a numbered section of this Agreement, unless another document is specifically referenced.</w:t>
      </w:r>
    </w:p>
    <w:p>
      <w:pPr>
        <w:spacing w:after="0" w:line="117" w:lineRule="exact"/>
        <w:rPr>
          <w:sz w:val="20"/>
          <w:szCs w:val="20"/>
          <w:color w:val="auto"/>
        </w:rPr>
      </w:pPr>
    </w:p>
    <w:p>
      <w:pPr>
        <w:ind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w:t>
      </w:r>
      <w:r>
        <w:rPr>
          <w:rFonts w:ascii="Arial" w:cs="Arial" w:eastAsia="Arial" w:hAnsi="Arial"/>
          <w:sz w:val="17"/>
          <w:szCs w:val="17"/>
          <w:color w:val="auto"/>
        </w:rPr>
        <w:t>” means the Pledge and Security Agreement dated as of the Closing Date between the Borrower and each Material Domestic Subsidiary and the Administrative Agent, as amended, restated, supplemented, or otherwise modified from time to time.</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74" w:right="25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Sellers (SPH)</w:t>
      </w:r>
      <w:r>
        <w:rPr>
          <w:rFonts w:ascii="Arial" w:cs="Arial" w:eastAsia="Arial" w:hAnsi="Arial"/>
          <w:sz w:val="18"/>
          <w:szCs w:val="18"/>
          <w:color w:val="auto"/>
        </w:rPr>
        <w:t>” means the “Stockholders” as defined in the Acquisition Agreement (SPH).</w:t>
      </w:r>
    </w:p>
    <w:p>
      <w:pPr>
        <w:spacing w:after="0" w:line="117" w:lineRule="exact"/>
        <w:rPr>
          <w:sz w:val="20"/>
          <w:szCs w:val="20"/>
          <w:color w:val="auto"/>
        </w:rPr>
      </w:pPr>
    </w:p>
    <w:p>
      <w:pPr>
        <w:ind w:right="80" w:firstLine="43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Acquisition Agreement Representations</w:t>
      </w:r>
      <w:r>
        <w:rPr>
          <w:rFonts w:ascii="Arial" w:cs="Arial" w:eastAsia="Arial" w:hAnsi="Arial"/>
          <w:sz w:val="18"/>
          <w:szCs w:val="18"/>
          <w:color w:val="auto"/>
        </w:rPr>
        <w:t>” means the representations and warranties with respect to the Target (SPH) made by the Sellers (SPH) in the Acquisition Agreement (SPH) as are material to the interests of the Lenders, but only to the extent the Borrower or its Affiliates have the right to terminate such Person’s obligations under the Acquisition Agreement (SPH) or decline to consummate the Acquisition (SPH) as a result of a breach of such representations and warranties (as determined without giving effect to any waiver, amendment, consent or other modification thereto).</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Rate</w:t>
      </w:r>
      <w:r>
        <w:rPr>
          <w:rFonts w:ascii="Arial" w:cs="Arial" w:eastAsia="Arial" w:hAnsi="Arial"/>
          <w:sz w:val="18"/>
          <w:szCs w:val="18"/>
          <w:color w:val="auto"/>
        </w:rPr>
        <w:t>” is defined in Section 2.19.</w:t>
      </w:r>
    </w:p>
    <w:p>
      <w:pPr>
        <w:spacing w:after="0" w:line="117"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Stauber Restructuring</w:t>
      </w:r>
      <w:r>
        <w:rPr>
          <w:rFonts w:ascii="Arial" w:cs="Arial" w:eastAsia="Arial" w:hAnsi="Arial"/>
          <w:sz w:val="16"/>
          <w:szCs w:val="16"/>
          <w:color w:val="auto"/>
        </w:rPr>
        <w:t xml:space="preserve">” means a series of transactions approved by the Administrative Agent in its reasonable discretion pursuant to which (i) the separate corporate existence of Stauber Holdings, Inc. and Pharmline Holdings, Inc. will cease (which action may include the merger of such entities into the Target (SPH)), (ii) the separate limited liability company existence of Stauber Performance Ingredients, LLC will cease (which action may include the merger of such entity into Stauber Performance Ingredients, Inc.), (iii) the Target (SPH) and certain of its Subsidiaries will change their legal name and jurisdictions of organization, and (iv) certain changes will be made to the outstanding Equity Interests for the Target (SPH) and certain of its Subsidiaries, with all such changes to be consummated within thirty Business Days after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any such entity may be merged only into the Borrower or a Guarantor, (b) all assets of the Borrower and its Subsidiaries following such transactions must be held by the Borrower or its Subsidiaries, and (c) the Borrower shall (and shall causes its Subsidiaries to) comply with Section 6.16(f).</w:t>
      </w:r>
    </w:p>
    <w:p>
      <w:pPr>
        <w:spacing w:after="0" w:line="58" w:lineRule="exact"/>
        <w:rPr>
          <w:sz w:val="20"/>
          <w:szCs w:val="20"/>
          <w:color w:val="auto"/>
        </w:rPr>
      </w:pPr>
    </w:p>
    <w:p>
      <w:pPr>
        <w:ind w:right="3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the payment of which is subordinated to payment of the Obligations to the written satisfaction of the Required Lenders, in their sole discretion, and none of the principal of which is payable until at least six months after the Facility Termination Date.</w:t>
      </w:r>
    </w:p>
    <w:p>
      <w:pPr>
        <w:spacing w:after="0" w:line="73" w:lineRule="exact"/>
        <w:rPr>
          <w:sz w:val="20"/>
          <w:szCs w:val="20"/>
          <w:color w:val="auto"/>
        </w:rPr>
      </w:pPr>
    </w:p>
    <w:p>
      <w:pPr>
        <w:ind w:right="100" w:firstLine="43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(i) any corporation more than 50% of the outstanding securities having ordinary voting power of which shall at the time be owned or controlled, directly or indirectly, by such Person or by one or more of its Subsidiaries, or (ii) any partnership, limited liability company, association, joint venture or similar business organization more than 50% of the ownership interests having ordinary voting power of which shall at the time be so owned or controlled. Unless otherwise expressly provided, all references herein to a “Subsidiary” shall mean a Subsidiary of the Borrower.</w:t>
      </w:r>
    </w:p>
    <w:p>
      <w:pPr>
        <w:spacing w:after="0" w:line="80" w:lineRule="exact"/>
        <w:rPr>
          <w:sz w:val="20"/>
          <w:szCs w:val="20"/>
          <w:color w:val="auto"/>
        </w:rPr>
      </w:pPr>
    </w:p>
    <w:p>
      <w:pPr>
        <w:ind w:right="36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Substantial Portion</w:t>
      </w:r>
      <w:r>
        <w:rPr>
          <w:rFonts w:ascii="Arial" w:cs="Arial" w:eastAsia="Arial" w:hAnsi="Arial"/>
          <w:sz w:val="17"/>
          <w:szCs w:val="17"/>
          <w:color w:val="auto"/>
        </w:rPr>
        <w:t>” means, with respect to the Property of the Borrower and its Subsidiaries, Property that represents more than 10% of the consolidated assets of the Borrower and the Subsidiaries as would be shown in the consolidated financial statements</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74" w:right="239" w:bottom="1440" w:gutter="0" w:footer="0" w:header="0"/>
        </w:sectPr>
      </w:pPr>
    </w:p>
    <w:bookmarkStart w:id="36" w:name="page37"/>
    <w:bookmarkEnd w:id="36"/>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Borrower and the Subsidiaries as at the beginning of the twelve-month period ending with the month in which such determination is made (or if financial statements have not been delivered hereunder for the month that begins the twelve-month period, then the financial statements delivered hereunder for the quarter ending immediately prior to that month).</w:t>
      </w:r>
    </w:p>
    <w:p>
      <w:pPr>
        <w:spacing w:after="0" w:line="73"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Counterparty</w:t>
      </w:r>
      <w:r>
        <w:rPr>
          <w:rFonts w:ascii="Arial" w:cs="Arial" w:eastAsia="Arial" w:hAnsi="Arial"/>
          <w:sz w:val="18"/>
          <w:szCs w:val="18"/>
          <w:color w:val="auto"/>
        </w:rPr>
        <w:t>” means, with respect to any swap with a Lender or an Affiliate of a Lender, any person or entity that is or becomes a party to such swap.</w:t>
      </w:r>
    </w:p>
    <w:p>
      <w:pPr>
        <w:spacing w:after="0" w:line="62" w:lineRule="exact"/>
        <w:rPr>
          <w:sz w:val="20"/>
          <w:szCs w:val="20"/>
          <w:color w:val="auto"/>
        </w:rPr>
      </w:pPr>
    </w:p>
    <w:p>
      <w:pPr>
        <w:ind w:right="5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the Borrower or Guarantor, any obligation to pay or perform under any agreement, contract or transaction that constitutes a “swap” within the meaning of section 1a(47) of the Commodity Exchange Act between any Lender or Affiliate of a Lender and one or more Swap Counterparties.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 Notice</w:t>
      </w:r>
      <w:r>
        <w:rPr>
          <w:rFonts w:ascii="Arial" w:cs="Arial" w:eastAsia="Arial" w:hAnsi="Arial"/>
          <w:sz w:val="18"/>
          <w:szCs w:val="18"/>
          <w:color w:val="auto"/>
        </w:rPr>
        <w:t>” is defined in Section 2.21(b).</w:t>
      </w:r>
    </w:p>
    <w:p>
      <w:pPr>
        <w:spacing w:after="0" w:line="117"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U.S. Bank or any other Lender that succeeds to U.S. Bank’s rights and obligations as Swing Line Lender pursuant to the terms of this Agreement.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means a Loan made available to the Borrower by the Swing Line Lender pursuant to Section 2.21.</w:t>
      </w:r>
    </w:p>
    <w:p>
      <w:pPr>
        <w:spacing w:after="0" w:line="117" w:lineRule="exact"/>
        <w:rPr>
          <w:sz w:val="20"/>
          <w:szCs w:val="20"/>
          <w:color w:val="auto"/>
        </w:rPr>
      </w:pPr>
    </w:p>
    <w:p>
      <w:pPr>
        <w:ind w:right="6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the maximum principal amount of Swing Line Loans the Swing Line Lender may have outstanding to the Borrower at any one time, which, as of the Closing Date, is $8,000,000.</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(SPH)</w:t>
      </w:r>
      <w:r>
        <w:rPr>
          <w:rFonts w:ascii="Arial" w:cs="Arial" w:eastAsia="Arial" w:hAnsi="Arial"/>
          <w:sz w:val="18"/>
          <w:szCs w:val="18"/>
          <w:color w:val="auto"/>
        </w:rPr>
        <w:t>” means SPH Holdings, Inc., a Delaware corporation.</w:t>
      </w:r>
    </w:p>
    <w:p>
      <w:pPr>
        <w:spacing w:after="0" w:line="117" w:lineRule="exact"/>
        <w:rPr>
          <w:sz w:val="20"/>
          <w:szCs w:val="20"/>
          <w:color w:val="auto"/>
        </w:rPr>
      </w:pPr>
    </w:p>
    <w:p>
      <w:pPr>
        <w:ind w:right="10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38" w:lineRule="exact"/>
        <w:rPr>
          <w:sz w:val="20"/>
          <w:szCs w:val="20"/>
          <w:color w:val="auto"/>
        </w:rPr>
      </w:pPr>
    </w:p>
    <w:p>
      <w:pPr>
        <w:ind w:right="20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with respect to a Lender, such Lender’s loan made pursuant to its Term Loan Commitment set forth in Section 2.1 (or any conversion or continuation thereof).</w:t>
      </w:r>
    </w:p>
    <w:p>
      <w:pPr>
        <w:spacing w:after="0" w:line="62" w:lineRule="exact"/>
        <w:rPr>
          <w:sz w:val="20"/>
          <w:szCs w:val="20"/>
          <w:color w:val="auto"/>
        </w:rPr>
      </w:pPr>
    </w:p>
    <w:p>
      <w:pPr>
        <w:ind w:right="1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means, for each Lender, the obligation of such Lender to make a Term Loan to the Borrower on the Closing Date in an aggregate amount not exceeding the amount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as its Term Loan Commitment.</w:t>
      </w:r>
    </w:p>
    <w:p>
      <w:pPr>
        <w:spacing w:after="0" w:line="62" w:lineRule="exact"/>
        <w:rPr>
          <w:sz w:val="20"/>
          <w:szCs w:val="20"/>
          <w:color w:val="auto"/>
        </w:rPr>
      </w:pPr>
    </w:p>
    <w:p>
      <w:pPr>
        <w:ind w:right="24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Cash Flow Leverage Ratio</w:t>
      </w:r>
      <w:r>
        <w:rPr>
          <w:rFonts w:ascii="Arial" w:cs="Arial" w:eastAsia="Arial" w:hAnsi="Arial"/>
          <w:sz w:val="18"/>
          <w:szCs w:val="18"/>
          <w:color w:val="auto"/>
        </w:rPr>
        <w:t>” means, for any period of determination, the ratio of (a) Total Funded Debt (net of domestic cash on hand in excess of $10,000,000 and to the extent such cash does not exceed an additional $25,000,000) to (b) EBITDA.</w:t>
      </w:r>
    </w:p>
    <w:p>
      <w:pPr>
        <w:spacing w:after="0" w:line="62" w:lineRule="exact"/>
        <w:rPr>
          <w:sz w:val="20"/>
          <w:szCs w:val="20"/>
          <w:color w:val="auto"/>
        </w:rPr>
      </w:pPr>
    </w:p>
    <w:p>
      <w:pPr>
        <w:ind w:right="1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Funded Debt</w:t>
      </w:r>
      <w:r>
        <w:rPr>
          <w:rFonts w:ascii="Arial" w:cs="Arial" w:eastAsia="Arial" w:hAnsi="Arial"/>
          <w:sz w:val="18"/>
          <w:szCs w:val="18"/>
          <w:color w:val="auto"/>
        </w:rPr>
        <w:t>” means, as of any date of determination, without duplication, the sum of (a) outstanding borrowings under this Agreement, plus (b) the undrawn face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74" w:right="259" w:bottom="1440" w:gutter="0" w:footer="0" w:header="0"/>
        </w:sectPr>
      </w:pPr>
    </w:p>
    <w:bookmarkStart w:id="37" w:name="page38"/>
    <w:bookmarkEnd w:id="37"/>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of issued and outstanding Facility LCs and all other LC Obligations, in each case that are outstanding on such date (less any amounts deposited by the Borrower to cash collateralize such LC Obligations), plus, (c) the aggregate outstanding principal balance of all other interest-bearing Consolidated Indebtedness including Capitalized Leases and Subordinated Indebtedness, plus (d) Contingent Obligations covering any of the indebtedness listed in clauses (a), (b) or (c) of this definition (without duplication). Clause (a) of this definition shall be calculated (i) after giving effect to any amortization payments made on such date of determination and (ii) with respect to the Revolving Loans, based on the outstanding Aggregate Revolving Credit Exposure with respect to such Loans for such quarter, as determined on the last Business Day of the applicable Fiscal Quarter.</w:t>
      </w:r>
    </w:p>
    <w:p>
      <w:pPr>
        <w:spacing w:after="0" w:line="57" w:lineRule="exact"/>
        <w:rPr>
          <w:sz w:val="20"/>
          <w:szCs w:val="20"/>
          <w:color w:val="auto"/>
        </w:rPr>
      </w:pPr>
    </w:p>
    <w:p>
      <w:pPr>
        <w:ind w:right="340" w:firstLine="43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Revolving Outstandings</w:t>
      </w:r>
      <w:r>
        <w:rPr>
          <w:rFonts w:ascii="Arial" w:cs="Arial" w:eastAsia="Arial" w:hAnsi="Arial"/>
          <w:sz w:val="16"/>
          <w:szCs w:val="16"/>
          <w:color w:val="auto"/>
        </w:rPr>
        <w:t>” means, as of any date of determination, the sum of (a) the aggregate unpaid principal balance of Revolving Loans outstanding on such date, (b) the aggregate maximum amount available to be drawn under Letters of Credit outstanding on such date, (c) the aggregate unpaid balance of all outstanding Swing Line Loans on such date, and (d) the aggregate amount of Unpaid Drawings on such date.</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the Acquisition Documents (SPH) and the Loan Documents.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is defined in Section 12.4.</w:t>
      </w:r>
    </w:p>
    <w:p>
      <w:pPr>
        <w:spacing w:after="0" w:line="117" w:lineRule="exact"/>
        <w:rPr>
          <w:sz w:val="20"/>
          <w:szCs w:val="20"/>
          <w:color w:val="auto"/>
        </w:rPr>
      </w:pPr>
    </w:p>
    <w:p>
      <w:pPr>
        <w:ind w:right="3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any Advance, its nature as a Base Rate Advance or a Eurocurrency Advance and with respect to any Loan, its nature as a Base Rate Loan or a Eurocurrency Loan.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Bank</w:t>
      </w:r>
      <w:r>
        <w:rPr>
          <w:rFonts w:ascii="Arial" w:cs="Arial" w:eastAsia="Arial" w:hAnsi="Arial"/>
          <w:sz w:val="18"/>
          <w:szCs w:val="18"/>
          <w:color w:val="auto"/>
        </w:rPr>
        <w:t>” means U.S. Bank National Association, a national banking association, in its individual capacity, and its successors.</w:t>
      </w:r>
    </w:p>
    <w:p>
      <w:pPr>
        <w:spacing w:after="0" w:line="117"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Bank Fee Letter</w:t>
      </w:r>
      <w:r>
        <w:rPr>
          <w:rFonts w:ascii="Arial" w:cs="Arial" w:eastAsia="Arial" w:hAnsi="Arial"/>
          <w:sz w:val="18"/>
          <w:szCs w:val="18"/>
          <w:color w:val="auto"/>
        </w:rPr>
        <w:t>” means that certain fee letter dated November 20, 2015 and any fee letters dated as of the Closing Date between U.S. Bank and the Borrower with respect to fees payable in connection with this Agreement.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is defined in Section 3.5(g).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Drawings</w:t>
      </w:r>
      <w:r>
        <w:rPr>
          <w:rFonts w:ascii="Arial" w:cs="Arial" w:eastAsia="Arial" w:hAnsi="Arial"/>
          <w:sz w:val="18"/>
          <w:szCs w:val="18"/>
          <w:color w:val="auto"/>
        </w:rPr>
        <w:t>” is defined in Section 2.17.6.</w:t>
      </w:r>
    </w:p>
    <w:p>
      <w:pPr>
        <w:spacing w:after="0" w:line="117"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 Person means (i) any Subsidiary of which 100% of the beneficial ownership interests are at the time owned or controlled, directly or indirectly, by such Person or one or more Wholly-Owned Subsidiaries of such Person, or (ii) any partnership, limited liability company, association, joint venture or similar business organization of which 100% of the beneficial ownership interests are at the time so owned or controlled.</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74" w:right="259" w:bottom="1440" w:gutter="0" w:footer="0" w:header="0"/>
        </w:sectPr>
      </w:pPr>
    </w:p>
    <w:bookmarkStart w:id="38" w:name="page39"/>
    <w:bookmarkEnd w:id="38"/>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the Borrower or any Guarantor and the Administrative Agent.</w:t>
      </w:r>
    </w:p>
    <w:p>
      <w:pPr>
        <w:spacing w:after="0" w:line="117" w:lineRule="exact"/>
        <w:rPr>
          <w:sz w:val="20"/>
          <w:szCs w:val="20"/>
          <w:color w:val="auto"/>
        </w:rPr>
      </w:pPr>
    </w:p>
    <w:p>
      <w:pPr>
        <w:ind w:left="460" w:right="160" w:firstLine="43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Working Capital Adjustments</w:t>
      </w:r>
      <w:r>
        <w:rPr>
          <w:rFonts w:ascii="Arial" w:cs="Arial" w:eastAsia="Arial" w:hAnsi="Arial"/>
          <w:sz w:val="17"/>
          <w:szCs w:val="17"/>
          <w:color w:val="auto"/>
        </w:rPr>
        <w:t>” means payments required to be made by the Borrower to the Sellers (SPH) or their representatives under Section 2.5 of the Acquisition Agreement (SPH) in connection with post-closing adjustments to working capital and other customary working capital adjustments required to be paid by the Borrower or its Subsidiaries in connection with a Permitted Acquisition.</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foregoing definitions shall be equally applicable to both the singular and plural forms of the defined terms. Unless the context requires otherwise, any definition of or reference to any agreement, instrument, or other document refers to such agreement, instrument, or other document as amended, restated, supplemented, or otherwise modified from time to time (subject to any restrictions herein on such modifications), and any definition of or reference to any statute, rule, or regulation refers to such statute, rule, or regulation as amended, supplemented, or otherwise modified and in effect from time to time, including any successor thereto.</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CREDITS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Commitment</w:t>
      </w:r>
      <w:r>
        <w:rPr>
          <w:rFonts w:ascii="Arial" w:cs="Arial" w:eastAsia="Arial" w:hAnsi="Arial"/>
          <w:sz w:val="18"/>
          <w:szCs w:val="18"/>
          <w:color w:val="auto"/>
        </w:rPr>
        <w:t>.</w:t>
      </w:r>
    </w:p>
    <w:p>
      <w:pPr>
        <w:spacing w:after="0" w:line="117" w:lineRule="exact"/>
        <w:rPr>
          <w:sz w:val="20"/>
          <w:szCs w:val="20"/>
          <w:color w:val="auto"/>
        </w:rPr>
      </w:pPr>
    </w:p>
    <w:p>
      <w:pPr>
        <w:ind w:left="460" w:firstLine="443"/>
        <w:spacing w:after="0" w:line="253" w:lineRule="auto"/>
        <w:tabs>
          <w:tab w:leader="none" w:pos="114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Revolving Credit</w:t>
      </w:r>
      <w:r>
        <w:rPr>
          <w:rFonts w:ascii="Arial" w:cs="Arial" w:eastAsia="Arial" w:hAnsi="Arial"/>
          <w:sz w:val="18"/>
          <w:szCs w:val="18"/>
          <w:color w:val="auto"/>
        </w:rPr>
        <w:t xml:space="preserve">. Subject to the terms and conditions hereof, each Lender severally agrees to make available a revolving credit facility available as Revolving Loans to the Borrower on the Closing Date on a revolving basis and participate in Facility LCs issued upon the request of the Borrower, at any time and from time to time during the period from the Closing Date to the Facility Termination Date, during which period the Borrower may borrow, repay and reborrow in accordance with the provisions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giving effect to the making of each Revolving Loan and the issuance of each Facility LC, (i) such Credit Extension would not cause the Aggregate Revolving Credit Exposure to exceed the Aggregate Revolving Commitment, and (ii) the Dollar amount of such Lender’s Revolving Credit Exposure shall not exceed its Revolving Commitment. The Revolving Commitments shall expire on the Facility Termination Date. The LC Issuers shall issue Facility LCs on the terms and conditions set forth in Section 2.17. The Revolving Loans and any portion of the balance thereof may be made, obtained, and maintained at the election of the Borrower, but subject to the limitations hereof, as Base Rate Advances or Eurocurrency Advances as the Borrower elects in its notice of borrowing, continuation, or conversion.</w:t>
      </w:r>
    </w:p>
    <w:p>
      <w:pPr>
        <w:spacing w:after="0" w:line="86" w:lineRule="exact"/>
        <w:rPr>
          <w:rFonts w:ascii="Arial" w:cs="Arial" w:eastAsia="Arial" w:hAnsi="Arial"/>
          <w:sz w:val="18"/>
          <w:szCs w:val="18"/>
          <w:color w:val="auto"/>
        </w:rPr>
      </w:pPr>
    </w:p>
    <w:p>
      <w:pPr>
        <w:ind w:left="460" w:right="40" w:firstLine="443"/>
        <w:spacing w:after="0" w:line="257" w:lineRule="auto"/>
        <w:tabs>
          <w:tab w:leader="none" w:pos="115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 On the Closing Date, each Lender severally agrees, on the terms and conditions set forth in this Agreement, to make a Term Loan to the Borrower in Dollars in the amount of such Lender’s Term Loan Commitment. Each Lender’s Term Loan shall be available to the Borrower on the Closing Date and, once repaid, may not be reborrowed. The Term Loans and any portion of the balance thereof may be made, obtained, and maintained at the election of the Borrower, but subject to the limitations hereof, as Base Rate Advances or Eurocurrency Advances as the Borrower elects in its notice of borrowing, continuation or conversion.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39" w:name="page40"/>
    <w:bookmarkEnd w:id="39"/>
    <w:p>
      <w:pPr>
        <w:ind w:left="460" w:right="120" w:firstLine="443"/>
        <w:spacing w:after="0" w:line="273" w:lineRule="auto"/>
        <w:tabs>
          <w:tab w:leader="none" w:pos="1143"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Aggregate Commitment</w:t>
      </w:r>
      <w:r>
        <w:rPr>
          <w:rFonts w:ascii="Arial" w:cs="Arial" w:eastAsia="Arial" w:hAnsi="Arial"/>
          <w:sz w:val="17"/>
          <w:szCs w:val="17"/>
          <w:color w:val="auto"/>
        </w:rPr>
        <w:t>. If at any time the Dollar amount of the Aggregate Revolving Credit Exposure exceeds the then current Aggregate Revolving Commitment, the Borrower shall promptly, and in any event within one Business Day, make a payment on Revolving Loans, Swing Line Loans, or Reimbursement Obligations sufficient to eliminate such excess. Any such payments shall be applied to the Revolving Loans first against Base Rate Advances and then to Eurocurrency Advances in order starting with the Eurocurrency Advances having the shortest time to the end of the applicable Interest Period. If, after payment of all outstanding Revolving Loans, the Aggregate Revolving Credit Exposure still exceeds the Aggregate Revolving Commitment, the remaining amount paid by the Borrower shall be Cash Collateral.</w:t>
      </w:r>
    </w:p>
    <w:p>
      <w:pPr>
        <w:spacing w:after="0" w:line="70" w:lineRule="exact"/>
        <w:rPr>
          <w:rFonts w:ascii="Arial" w:cs="Arial" w:eastAsia="Arial" w:hAnsi="Arial"/>
          <w:sz w:val="17"/>
          <w:szCs w:val="17"/>
          <w:color w:val="auto"/>
        </w:rPr>
      </w:pPr>
    </w:p>
    <w:p>
      <w:pPr>
        <w:ind w:left="460" w:right="40" w:firstLine="443"/>
        <w:spacing w:after="0" w:line="286" w:lineRule="auto"/>
        <w:tabs>
          <w:tab w:leader="none" w:pos="1153"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Term Loans</w:t>
      </w:r>
      <w:r>
        <w:rPr>
          <w:rFonts w:ascii="Arial" w:cs="Arial" w:eastAsia="Arial" w:hAnsi="Arial"/>
          <w:sz w:val="16"/>
          <w:szCs w:val="16"/>
          <w:color w:val="auto"/>
        </w:rPr>
        <w:t>. The Borrower shall make quarterly principal payments for application to the Term Loans on the last Business Day of each Fiscal Quarter ending, commencing on April 1, 2016, in the amount of (i) $1,250,000 on the last Business Day of each Fiscal Quarter beginning with the Fiscal Quarter ending April 3, 2016 through the Fiscal Quarter ending on January 1, 2017, (ii) $1,875,000 on the last Business Day of each Fiscal Quarter beginning with the first Fiscal Quarter ending in calendar year 2017 through the last Fiscal Quarter ending in calendar year 2017,</w:t>
      </w:r>
    </w:p>
    <w:p>
      <w:pPr>
        <w:spacing w:after="0" w:line="1" w:lineRule="exact"/>
        <w:rPr>
          <w:rFonts w:ascii="Arial" w:cs="Arial" w:eastAsia="Arial" w:hAnsi="Arial"/>
          <w:sz w:val="16"/>
          <w:szCs w:val="16"/>
          <w:color w:val="auto"/>
        </w:rPr>
      </w:pPr>
    </w:p>
    <w:p>
      <w:pPr>
        <w:jc w:val="both"/>
        <w:ind w:left="460" w:right="100" w:firstLine="4"/>
        <w:spacing w:after="0" w:line="254" w:lineRule="auto"/>
        <w:tabs>
          <w:tab w:leader="none" w:pos="7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$2,500,000 on the last Business Day of each Fiscal Quarter beginning with the first Fiscal Quarter ending in calendar year 2018 through the Fiscal Quarter ending on September 27, 2020, with all remaining outstanding Term Loans to be paid in full on the Facility Termination Date. If the aggregate principal amount outstanding under the Term Loan as of the date any principal payment is due is less than the amount specified above, the principal amount payable on such date shall be such amount outstanding.</w:t>
      </w:r>
    </w:p>
    <w:p>
      <w:pPr>
        <w:spacing w:after="0" w:line="81" w:lineRule="exact"/>
        <w:rPr>
          <w:rFonts w:ascii="Arial" w:cs="Arial" w:eastAsia="Arial" w:hAnsi="Arial"/>
          <w:sz w:val="18"/>
          <w:szCs w:val="18"/>
          <w:color w:val="auto"/>
        </w:rPr>
      </w:pPr>
    </w:p>
    <w:p>
      <w:pPr>
        <w:ind w:left="460" w:right="140" w:firstLine="443"/>
        <w:spacing w:after="0" w:line="259" w:lineRule="auto"/>
        <w:tabs>
          <w:tab w:leader="none" w:pos="1143"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Revolving Loan Repayment; Facility Termination Date</w:t>
      </w:r>
      <w:r>
        <w:rPr>
          <w:rFonts w:ascii="Arial" w:cs="Arial" w:eastAsia="Arial" w:hAnsi="Arial"/>
          <w:sz w:val="18"/>
          <w:szCs w:val="18"/>
          <w:color w:val="auto"/>
        </w:rPr>
        <w:t>. The Aggregate Outstanding Credit Exposure and all other unpaid Obligations (other than inchoate indemnity obligations and LC Obligations, Rate Management Obligations or obligations related to Cash Management Services Agreements for which any exposure is either cash collateralized or otherwise addressed to the reasonable satisfaction of the Administrative Agent and the Initial Lenders) shall be paid in full by the Borrower on the Facility Termination Date.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Ratable Loans; Types of Advances</w:t>
      </w:r>
      <w:r>
        <w:rPr>
          <w:rFonts w:ascii="Arial" w:cs="Arial" w:eastAsia="Arial" w:hAnsi="Arial"/>
          <w:sz w:val="18"/>
          <w:szCs w:val="18"/>
          <w:color w:val="auto"/>
        </w:rPr>
        <w:t>. Each Advance hereunder (other than any Swing Line Loan) shall consist of (a) Revolving Loans made from the several Lenders ratably according to their Revolving Percentages or (b) Term Loans made from the Lenders ratably according to their Term Loan Commitment. The Advances may be Base Rate Advances or Eurocurrency Advances, or a combination thereof, selected by the Borrower in accordance with Sections 2.6, 2.7 and 2.8, or Swing Line Loans selected by the Borrower in accordance with Section 2.21.</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Commitment Fee</w:t>
      </w:r>
      <w:r>
        <w:rPr>
          <w:rFonts w:ascii="Arial" w:cs="Arial" w:eastAsia="Arial" w:hAnsi="Arial"/>
          <w:sz w:val="18"/>
          <w:szCs w:val="18"/>
          <w:color w:val="auto"/>
        </w:rPr>
        <w:t>. The Borrower agrees to pay to the Administrative Agent for the account of each Lender according to its Revolving Percentage a commitment fee at a per annum rate equal to the Applicable Fee Rate on the average daily Available Aggregate Revolving Commitment from the Closing Date to and including the Facility Termination Date, payable on the last day of each Fiscal Quarter and on the Facility Termination Date (the “</w:t>
      </w:r>
      <w:r>
        <w:rPr>
          <w:rFonts w:ascii="Arial" w:cs="Arial" w:eastAsia="Arial" w:hAnsi="Arial"/>
          <w:sz w:val="18"/>
          <w:szCs w:val="18"/>
          <w:u w:val="single" w:color="auto"/>
          <w:color w:val="auto"/>
        </w:rPr>
        <w:t>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 Fee</w:t>
      </w:r>
      <w:r>
        <w:rPr>
          <w:rFonts w:ascii="Arial" w:cs="Arial" w:eastAsia="Arial" w:hAnsi="Arial"/>
          <w:sz w:val="18"/>
          <w:szCs w:val="18"/>
          <w:color w:val="auto"/>
        </w:rPr>
        <w:t>”). Swing Line Loans shall not count as usage of the Aggregate Revolving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0" w:name="page41"/>
    <w:bookmarkEnd w:id="40"/>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Commitment for the purpose of calculating the commitment fee due hereunder with respect to any Lender other than the Swing Line Lender, except to the extent another Lender’s participation in such Swing Line Loans has been funded by such Lender.</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Minimum Amount of Each Advance</w:t>
      </w:r>
      <w:r>
        <w:rPr>
          <w:rFonts w:ascii="Arial" w:cs="Arial" w:eastAsia="Arial" w:hAnsi="Arial"/>
          <w:sz w:val="17"/>
          <w:szCs w:val="17"/>
          <w:color w:val="auto"/>
        </w:rPr>
        <w:t xml:space="preserve">. Each Eurocurrency Advance shall be in the minimum amount of $250,000, or if more, in integral multiples of $100,000 above $250,000 and each Base Rate Advance (other than an Advance to repay Swing Line Loans) shall be in the minimum amount of $250,000, or if more, in integral multiples of $100,000 above $250,000, </w:t>
      </w:r>
      <w:r>
        <w:rPr>
          <w:rFonts w:ascii="Arial" w:cs="Arial" w:eastAsia="Arial" w:hAnsi="Arial"/>
          <w:sz w:val="17"/>
          <w:szCs w:val="17"/>
          <w:i w:val="1"/>
          <w:iCs w:val="1"/>
          <w:color w:val="auto"/>
        </w:rPr>
        <w:t>provided, however</w:t>
      </w:r>
      <w:r>
        <w:rPr>
          <w:rFonts w:ascii="Arial" w:cs="Arial" w:eastAsia="Arial" w:hAnsi="Arial"/>
          <w:sz w:val="17"/>
          <w:szCs w:val="17"/>
          <w:color w:val="auto"/>
        </w:rPr>
        <w:t>, that (x) any Base Rate Advance in respect of a Revolving Loan may be in the amount of the then current Available Aggregate Revolving Commitment (y) the entire unpaid principal balance of the Term Loan may be continued as a Eurocurrency Advance and (z) any Base Rate Advance or Eurocurrency Advance in respect of a Term Loan may be maintained and converted in such lesser amounts to reflect any mandatory or voluntary prepayments permitted or required hereunder.</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Reductions in Aggregate Revolving Commitment; Optional Principal Payments</w:t>
      </w:r>
      <w:r>
        <w:rPr>
          <w:rFonts w:ascii="Arial" w:cs="Arial" w:eastAsia="Arial" w:hAnsi="Arial"/>
          <w:sz w:val="16"/>
          <w:szCs w:val="16"/>
          <w:color w:val="auto"/>
        </w:rPr>
        <w:t xml:space="preserve">. The Borrower may permanently reduce the Aggregate Revolving Commitment in whole, or in part ratably among the Lenders in the minimum amount of $500,000, upon at least three Business Days’ written notice to the Administrative Agent, which notice shall specify the amount of any such reduction,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amount of the Aggregate Revolving Commitment may not be reduced below the Aggregate Revolving Credit Exposure. Upon termination of the Revolving Commitments pursuant to this Section, no further Swing Line Loans shall be permitted and the Borrower shall pay to the Administrative Agent for the account of the Lenders the full amount of all outstanding Revolving Loans and Swing Line Loans, all accrued and unpaid interest thereon, all unpaid Revolving Commitment Fees, and LC Fees accrued to the date of such termination, any indemnities payable with respect to Revolving Loans or Swing Line Loans pursuant to Section 3.4 and all other unpaid Obligations in connection with any Revolving Loans or Swing Line Loans. The Borrower may from time to time pay, without penalty or premium, all outstanding Base Rate Advances (other than Swing Line Loans), or, in a minimum aggregate amount of $250,000, or if more, in integral multiples of $100,000 above $250,000, any portion of the outstanding Base Rate Advances (other than Swing Line Loans) upon same day notice to the Administrative Agent. The Borrower may at any time pay, without penalty or premium, all outstanding Swing Line Loans, or any portion of the outstanding Swing Line Loans, with notice to the Administrative Agent and the Swing Line Lender by 11:00 a.m. (Minneapolis time) on the date of repayment. The Borrower may from time to time pay, subject to the payment of any funding indemnification amounts required by Section 3.4 but without penalty or premium, all outstanding Eurocurrency Advances, or, in a minimum aggregate amount of $250,000 or if more, in integral multiples of $100,000 above $250,000 (or such lesser amount to the extent such payment is made in connection with any overnight sweep account with the Administrative Agent), any portion of the outstanding Eurocurrency Advances upon three Business Days’ prior notice to the Administrative Agent and the Initial Lenders. Amounts paid or prepaid on the Revolving Loans under this Section shall be for the account of each Lender in proportion to its share of outstanding Revolving Loans. Amount paid or prepaid on the Term Loans under this Section shall be for the account of each Lender in proportion to its share of outstanding Term Loans and applied pro rata to all remaining scheduled principal payments on the Term Loans. Any optional prepayments that the Administrative Agent receives after 2:00 p.m. (Minneapolis time) shall be deemed to have been received on the next Business Day.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41" w:name="page42"/>
    <w:bookmarkEnd w:id="41"/>
    <w:p>
      <w:pPr>
        <w:ind w:right="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2.6. </w:t>
      </w:r>
      <w:r>
        <w:rPr>
          <w:rFonts w:ascii="Arial" w:cs="Arial" w:eastAsia="Arial" w:hAnsi="Arial"/>
          <w:sz w:val="18"/>
          <w:szCs w:val="18"/>
          <w:u w:val="single" w:color="auto"/>
          <w:color w:val="auto"/>
        </w:rPr>
        <w:t>Method of Selecting Types and Interest Periods for New Advances</w:t>
      </w:r>
      <w:r>
        <w:rPr>
          <w:rFonts w:ascii="Arial" w:cs="Arial" w:eastAsia="Arial" w:hAnsi="Arial"/>
          <w:sz w:val="18"/>
          <w:szCs w:val="18"/>
          <w:color w:val="auto"/>
        </w:rPr>
        <w:t xml:space="preserve">. The Borrower shall select the Type of Advance and, in the case of each Eurocurrency Advance, the Interest Period applicable thereto from time to time and shall designate the Borrower on whose behalf such Advance is requested. The Borrower shall give the Administrative Agent irrevocable notice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 “</w:t>
      </w:r>
      <w:r>
        <w:rPr>
          <w:rFonts w:ascii="Arial" w:cs="Arial" w:eastAsia="Arial" w:hAnsi="Arial"/>
          <w:sz w:val="18"/>
          <w:szCs w:val="18"/>
          <w:u w:val="single" w:color="auto"/>
          <w:color w:val="auto"/>
        </w:rPr>
        <w:t>Borrowing Notice</w:t>
      </w:r>
      <w:r>
        <w:rPr>
          <w:rFonts w:ascii="Arial" w:cs="Arial" w:eastAsia="Arial" w:hAnsi="Arial"/>
          <w:sz w:val="18"/>
          <w:szCs w:val="18"/>
          <w:color w:val="auto"/>
        </w:rPr>
        <w:t>”) not later than 12:00 p.m. (Minneapolis time) on the Borrowing Date of each Base Rate Advance (other than a Swing Line Loan) and three Business Days before the Borrowing Date for each Eurocurrency Advance, specifying:</w:t>
      </w:r>
    </w:p>
    <w:p>
      <w:pPr>
        <w:spacing w:after="0" w:line="80" w:lineRule="exact"/>
        <w:rPr>
          <w:sz w:val="20"/>
          <w:szCs w:val="20"/>
          <w:color w:val="auto"/>
        </w:rPr>
      </w:pPr>
    </w:p>
    <w:p>
      <w:pPr>
        <w:ind w:left="1140" w:hanging="237"/>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Borrowing Date, which shall be a Business Day, of such Advance,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amount of such Advance,</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Type of Advance selected,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each Eurocurrency Advance, the Interest Period applicable thereto;</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Not later than 2:00 p.m. (Minneapolis time) on each Borrowing Date, each Lender shall make available its Loan or Loans in funds immediately available to the Administrative Agent at its address specified pursuant to Article XIII. The Administrative Agent will make the funds so received from the Lenders available to the applicable Borrower pursuant to the Borrowing Notice.</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Conversion and Continuation of Outstanding Advances</w:t>
      </w:r>
      <w:r>
        <w:rPr>
          <w:rFonts w:ascii="Arial" w:cs="Arial" w:eastAsia="Arial" w:hAnsi="Arial"/>
          <w:sz w:val="16"/>
          <w:szCs w:val="16"/>
          <w:color w:val="auto"/>
        </w:rPr>
        <w:t>. Base Rate Advances (other than Swing Line Loans) shall continue as Base Rate Advances unless and until such Base Rate Advances are converted into Eurocurrency Advances pursuant to this Section or are repaid in accordance with Section 2.5. Each Eurocurrency Advance denominated in Dollars shall continue as a Eurocurrency Advance until the end of the then applicable Interest Period therefor, at which time such Eurocurrency Advance shall be automatically converted into a Base Rate Advance unless (x) such Eurocurrency Advance is or was repaid in accordance with Section 2.5 or (y) the Borrower has given the Administrative Agent a Conversion/Continuation Notice (as defined below) requesting that, at the end of such Interest Period, such Eurocurrency Advance continue as a Eurocurrency Advance for the same or another Interest Period. Subject to the terms of Section 2.4, the Borrower may elect from time to time to convert all or any part of a Base Rate Advance (other than a Swing Line Loan) into a Eurocurrency Advance. The Borrower shall give the Administrative Agent irrevocable notice (a “</w:t>
      </w:r>
      <w:r>
        <w:rPr>
          <w:rFonts w:ascii="Arial" w:cs="Arial" w:eastAsia="Arial" w:hAnsi="Arial"/>
          <w:sz w:val="16"/>
          <w:szCs w:val="16"/>
          <w:u w:val="single" w:color="auto"/>
          <w:color w:val="auto"/>
        </w:rPr>
        <w:t>Conversion/Continuation Notice</w:t>
      </w:r>
      <w:r>
        <w:rPr>
          <w:rFonts w:ascii="Arial" w:cs="Arial" w:eastAsia="Arial" w:hAnsi="Arial"/>
          <w:sz w:val="16"/>
          <w:szCs w:val="16"/>
          <w:color w:val="auto"/>
        </w:rPr>
        <w:t>”) of each conversion of a Base Rate Advance into a Eurocurrency Advance, conversion of a Eurocurrency Advance to a Base Rate Advance, or continuation of a Eurocurrency Advance not later than 12:00 p.m. (Minneapolis time) at least three Business Days prior to the date of the requested conversion or continuation, specifying:</w:t>
      </w:r>
    </w:p>
    <w:p>
      <w:pPr>
        <w:spacing w:after="0" w:line="61" w:lineRule="exact"/>
        <w:rPr>
          <w:sz w:val="20"/>
          <w:szCs w:val="20"/>
          <w:color w:val="auto"/>
        </w:rPr>
      </w:pPr>
    </w:p>
    <w:p>
      <w:pPr>
        <w:ind w:left="1140" w:hanging="237"/>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requested date, which shall be a Business Day, of such conversion or continuation,</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Type of the Advance that is to be converted or continued, and</w:t>
      </w:r>
    </w:p>
    <w:p>
      <w:pPr>
        <w:spacing w:after="0" w:line="117" w:lineRule="exact"/>
        <w:rPr>
          <w:rFonts w:ascii="Arial" w:cs="Arial" w:eastAsia="Arial" w:hAnsi="Arial"/>
          <w:sz w:val="18"/>
          <w:szCs w:val="18"/>
          <w:color w:val="auto"/>
        </w:rPr>
      </w:pPr>
    </w:p>
    <w:p>
      <w:pPr>
        <w:ind w:left="460" w:right="460" w:firstLine="443"/>
        <w:spacing w:after="0" w:line="277" w:lineRule="auto"/>
        <w:tabs>
          <w:tab w:leader="none" w:pos="11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such Advance that is to be converted into or continued as a Eurocurrency Advance and the duration of the Interest Period applicable thereto.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42" w:name="page43"/>
    <w:bookmarkEnd w:id="42"/>
    <w:p>
      <w:pPr>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in this Agreement, any Lender may exchange, continue or roll 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Interest Rates</w:t>
      </w:r>
      <w:r>
        <w:rPr>
          <w:rFonts w:ascii="Arial" w:cs="Arial" w:eastAsia="Arial" w:hAnsi="Arial"/>
          <w:sz w:val="16"/>
          <w:szCs w:val="16"/>
          <w:color w:val="auto"/>
        </w:rPr>
        <w:t xml:space="preserve">. Each Base Rate Advance (other than a Swing Line Loan) shall bear interest on the outstanding principal amount thereof, for each day from and including the date such Advance is made or is automatically converted from a Eurocurrency Advance into a Base Rate Advance pursuant to Section 2.7, to but excluding the date it becomes due or is converted into a Eurocurrency Advance pursuant to Section 2.7, at a rate per annum equal to the Base Rate for such day; </w:t>
      </w:r>
      <w:r>
        <w:rPr>
          <w:rFonts w:ascii="Arial" w:cs="Arial" w:eastAsia="Arial" w:hAnsi="Arial"/>
          <w:sz w:val="16"/>
          <w:szCs w:val="16"/>
          <w:i w:val="1"/>
          <w:iCs w:val="1"/>
          <w:color w:val="auto"/>
        </w:rPr>
        <w:t>provided</w:t>
      </w:r>
      <w:r>
        <w:rPr>
          <w:rFonts w:ascii="Arial" w:cs="Arial" w:eastAsia="Arial" w:hAnsi="Arial"/>
          <w:sz w:val="16"/>
          <w:szCs w:val="16"/>
          <w:color w:val="auto"/>
        </w:rPr>
        <w:t>, that if a Base Rate Advance is due as a result of an Event of Default or is otherwise outstanding during the continuance of an Event of Default, the Base Rate shall continue to apply thereto plus such other amounts as required under Section 2.9. Changes in the rate of interest on the portion of any Advance maintained as a Base Rate Advance will take effect simultaneously with each change in the Base Rate. Each Swing Line Loan shall bear interest on the outstanding principal amount thereof, for each day from and including the day such Swing Line Loan is made to but excluding the date it is paid, at a rate per annum equal to either the Base Rate for such day or if elected by Borrower, at the Eurocurrency Rate for a one month Interest Period on such day. Each Eurocurrency Advance shall bear interest on the outstanding principal amount thereof from and including the first day of the Interest Period applicable thereto to (but not including) the last day of such Interest Period at the interest rate reasonably determined by the Administrative Agent as applicable to such Eurocurrency Advance based upon the Borrower’s selections under Sections 2.6 and 2.7 and otherwise in accordance with the terms hereof. No Interest Period may end after the Facility Termination Date. Notwithstanding anything to the contrary in this Agreement, without the prior written consent of the Required Lenders, the Borrower shall not maintain more than six Eurocurrency Advances at any time.</w:t>
      </w:r>
    </w:p>
    <w:p>
      <w:pPr>
        <w:spacing w:after="0" w:line="175"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Rates Applicable After Event of Default</w:t>
      </w:r>
      <w:r>
        <w:rPr>
          <w:rFonts w:ascii="Arial" w:cs="Arial" w:eastAsia="Arial" w:hAnsi="Arial"/>
          <w:sz w:val="16"/>
          <w:szCs w:val="16"/>
          <w:color w:val="auto"/>
        </w:rPr>
        <w:t>. Notwithstanding anything to the contrary in Section 2.6, 2.7, or 2.8, during the continuance of a Default or Event of Default, the Required Lenders may, at their option, by notice to the Borrower (which notice may be revoked at the option of all of the Lenders), declare that no Advance may be made as, converted into or continued as a Eurocurrency Advance until such Default or Event of Default is cured or waived.</w:t>
      </w:r>
    </w:p>
    <w:p>
      <w:pPr>
        <w:ind w:right="60"/>
        <w:spacing w:after="0" w:line="268" w:lineRule="auto"/>
        <w:rPr>
          <w:sz w:val="20"/>
          <w:szCs w:val="20"/>
          <w:color w:val="auto"/>
        </w:rPr>
      </w:pPr>
      <w:r>
        <w:rPr>
          <w:rFonts w:ascii="Arial" w:cs="Arial" w:eastAsia="Arial" w:hAnsi="Arial"/>
          <w:sz w:val="17"/>
          <w:szCs w:val="17"/>
          <w:color w:val="auto"/>
        </w:rPr>
        <w:t xml:space="preserve">During the continuance of an Event of Default, the Required Lenders may, at their option, by notice to the Borrower (which notice and implementation of the Default Rate may be revoked at the option of all of the Lenders), declare that (i) each Eurocurrency Advance shall bear interest for the remainder of the applicable Interest Period at the rate otherwise applicable to such Interest Period plus 2% per annum, (ii) each Base Rate Advance shall bear interest at a rate per annum equal to the Base Rate in effect from time to time plus 2% per annum, and (iii) the LC Fee shall be increased by 2% per annum,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during the continuance of an Event of Default under Section 7.2, 7.6 or 7.7, the interest rates set forth in clauses (i) and (ii) above and the increase in the LC Fee set forth in clause (iii) above shall be applicable automatically to all Credit Extensions without any election or action on the part of the Administrative Agent or any Lender. After an Event of Default has been cured or waived, the interest rate applicable to Advances and the LC Fee shall revert to the rates applicable prior to the occurrence of an Event of Default. Notwithstanding anything herein to the contrary, failure by the Administrative Agent to deliver written notice of an election to declare that the interest rates set forth in clauses (i) and (ii) above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43" w:name="page44"/>
    <w:bookmarkEnd w:id="43"/>
    <w:p>
      <w:pPr>
        <w:ind w:right="3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increase in the LC Fee set forth in clause (iii) above shall be so increased on the date of the occurrence of the applicable Event of Default shall not limit or restrict the Administrative Agent from declaring that interest rates set forth in clauses (i) and (ii) above and the increase in the LC Fee set forth in clause (iii) above shall be so increased as of the date of the occurrence of the applicable Event of Default, so long as (x) the Administrative Agent delivers notice of such election within 90 days of obtaining knowledge of such Event of Default, and (y) such Event of Default is continuing at the time of such election.</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Method of Payment</w:t>
      </w:r>
      <w:r>
        <w:rPr>
          <w:rFonts w:ascii="Arial" w:cs="Arial" w:eastAsia="Arial" w:hAnsi="Arial"/>
          <w:sz w:val="16"/>
          <w:szCs w:val="16"/>
          <w:color w:val="auto"/>
        </w:rPr>
        <w:t>. Each Advance shall be repaid and each payment of interest thereon shall be paid in Dollars. All payments of the Obligations hereunder shall be made, without setoff, deduction or counterclaim, in immediately available funds to the Administrative Agent at the Administrative Agent’s address specified pursuant to Article XIII, or at any other Lending Installation of the Administrative Agent specified in writing by the Administrative Agent to the Borrower (which written notice shall be delivered to Borrower at least one Business Day prior to the due date of the applicable payment) by 12:00 p.m. (Minneapolis time) on the date when due and shall (except (i) with respect to payments of Swing Line Loans, (ii) in the case of Reimbursement Obligations for which the LC Issuers have not been fully indemnified by the Lenders or (iii) as otherwise specifically required hereunder) be applied ratably by the Administrative Agent among the Lenders. Each payment delivered to the Administrative Agent for the account of any Lender shall be delivered promptly by the Administrative Agent to such Lender in the same type of funds that the Administrative Agent received at its address specified pursuant to Article XIII or at any Lending Installation specified in a notice received by the Administrative Agent from such Lender. The Administrative Agent is hereby authorized to charge the account of the Borrower maintained with U.S. Bank for each payment of principal, interest, Reimbursement Obligations and fees as it becomes due hereunder. Each reference to the Administrative Agent in this Section shall also be deemed to refer, and shall apply equally, to the LC Issuers, in the case of payments required to be made by the Borrower to the LC Issuers pursuant to Section 2.17.6.</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Evidence of Indebtedness</w:t>
      </w:r>
      <w:r>
        <w:rPr>
          <w:rFonts w:ascii="Arial" w:cs="Arial" w:eastAsia="Arial" w:hAnsi="Arial"/>
          <w:sz w:val="18"/>
          <w:szCs w:val="18"/>
          <w:color w:val="auto"/>
        </w:rPr>
        <w:t>.</w:t>
      </w:r>
    </w:p>
    <w:p>
      <w:pPr>
        <w:spacing w:after="0" w:line="117" w:lineRule="exact"/>
        <w:rPr>
          <w:sz w:val="20"/>
          <w:szCs w:val="20"/>
          <w:color w:val="auto"/>
        </w:rPr>
      </w:pPr>
    </w:p>
    <w:p>
      <w:pPr>
        <w:ind w:left="460" w:right="120" w:firstLine="443"/>
        <w:spacing w:after="0" w:line="264" w:lineRule="auto"/>
        <w:tabs>
          <w:tab w:leader="none" w:pos="1143"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73" w:lineRule="exact"/>
        <w:rPr>
          <w:rFonts w:ascii="Arial" w:cs="Arial" w:eastAsia="Arial" w:hAnsi="Arial"/>
          <w:sz w:val="18"/>
          <w:szCs w:val="18"/>
          <w:color w:val="auto"/>
        </w:rPr>
      </w:pPr>
    </w:p>
    <w:p>
      <w:pPr>
        <w:ind w:left="460" w:right="140" w:firstLine="443"/>
        <w:spacing w:after="0" w:line="288" w:lineRule="auto"/>
        <w:tabs>
          <w:tab w:leader="none" w:pos="1153"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Administrative Agent shall also maintain accounts in which it will record (i) the amount of each Loan made hereunder, the Type thereof and the Interest Period with respect thereto, (ii) the amount of any principal or interest due and payable or to become due and payable from the Borrower to each Lender hereunder, (iii) the original stated amount of each Facility LC and the amount of LC Obligations outstanding at any time and</w:t>
      </w:r>
    </w:p>
    <w:p>
      <w:pPr>
        <w:ind w:left="760" w:hanging="296"/>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any sum received by the Administrative Agent hereunder from the Borrower and each Lender’s share thereof.</w:t>
      </w:r>
    </w:p>
    <w:p>
      <w:pPr>
        <w:spacing w:after="0" w:line="102" w:lineRule="exact"/>
        <w:rPr>
          <w:rFonts w:ascii="Arial" w:cs="Arial" w:eastAsia="Arial" w:hAnsi="Arial"/>
          <w:sz w:val="18"/>
          <w:szCs w:val="18"/>
          <w:color w:val="auto"/>
        </w:rPr>
      </w:pPr>
    </w:p>
    <w:p>
      <w:pPr>
        <w:ind w:left="460" w:right="60" w:firstLine="443"/>
        <w:spacing w:after="0" w:line="277" w:lineRule="auto"/>
        <w:tabs>
          <w:tab w:leader="none" w:pos="1143"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The entries in the accounts maintained pursuant to paragraphs (a) and (b) above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Obligations therein recorded;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failure of the Administrative Agent or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44" w:name="page45"/>
    <w:bookmarkEnd w:id="44"/>
    <w:p>
      <w:pPr>
        <w:ind w:left="460"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to maintain such accounts or any error therein shall not in any manner affect the joint and several obligation of the Borrower to repay the Obligations in accordance with their terms.</w:t>
      </w:r>
    </w:p>
    <w:p>
      <w:pPr>
        <w:spacing w:after="0" w:line="62" w:lineRule="exact"/>
        <w:rPr>
          <w:sz w:val="20"/>
          <w:szCs w:val="20"/>
          <w:color w:val="auto"/>
        </w:rPr>
      </w:pPr>
    </w:p>
    <w:p>
      <w:pPr>
        <w:ind w:left="460" w:right="160" w:firstLine="443"/>
        <w:spacing w:after="0" w:line="284" w:lineRule="auto"/>
        <w:tabs>
          <w:tab w:leader="none" w:pos="1153"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Any Lender may request that its Revolving Loans be evidenced by a promissory note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or that its Term Loan be evidenced by a promissory note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or, in the case of the Swing Line Lender, that its Swing Line Loans be evidenced by a promissory note substantially in the form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Note</w:t>
      </w:r>
      <w:r>
        <w:rPr>
          <w:rFonts w:ascii="Arial" w:cs="Arial" w:eastAsia="Arial" w:hAnsi="Arial"/>
          <w:sz w:val="16"/>
          <w:szCs w:val="16"/>
          <w:color w:val="auto"/>
        </w:rPr>
        <w:t>”). In such event, the Borrower shall prepare, execute and deliver to such Lender such Notes payable to such Lender. Thereafter, the Loans evidenced by such Note and interest thereon shall at all times (prior to any assignment pursuant to Section 12.3) be represented by one or more Notes payable to the payee named therein, except to the extent that any such Lender subsequently returns any such Note for cancellation and requests that such Loans once again be evidenced as described in clauses (b)(i) and</w:t>
      </w:r>
    </w:p>
    <w:p>
      <w:pPr>
        <w:spacing w:after="0" w:line="4" w:lineRule="exact"/>
        <w:rPr>
          <w:rFonts w:ascii="Arial" w:cs="Arial" w:eastAsia="Arial" w:hAnsi="Arial"/>
          <w:sz w:val="16"/>
          <w:szCs w:val="16"/>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above.</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Telephonic Notices</w:t>
      </w:r>
      <w:r>
        <w:rPr>
          <w:rFonts w:ascii="Arial" w:cs="Arial" w:eastAsia="Arial" w:hAnsi="Arial"/>
          <w:sz w:val="18"/>
          <w:szCs w:val="18"/>
          <w:color w:val="auto"/>
        </w:rPr>
        <w:t>. The Borrower hereby authorizes the Lenders and the Administrative Agent to extend, convert or continue Advances, effect selections of Types of Advances and transfer funds based on telephonic notices made by any person or persons the Administrative Agent or any Lender in good faith believes to be acting on behalf of the Borrower, it being understood that the foregoing authorization is specifically intended to allow Borrowing Notices and Conversion/Continuation Notices to be given telephonically. The Borrower agrees to deliver promptly to the Administrative Agent a written confirmation (which may be an e-mail confirmation) of each telephonic notice authenticated by an Authorized Officer. If the written confirmation differs in any material respect from the action taken by the Administrative Agent and the Lenders, the records of the Administrative Agent and the Lenders shall govern absent manifest error.</w:t>
      </w:r>
    </w:p>
    <w:p>
      <w:pPr>
        <w:spacing w:after="0" w:line="18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Interest Payment Dates; Interest and Fee Basis</w:t>
      </w:r>
      <w:r>
        <w:rPr>
          <w:rFonts w:ascii="Arial" w:cs="Arial" w:eastAsia="Arial" w:hAnsi="Arial"/>
          <w:sz w:val="17"/>
          <w:szCs w:val="17"/>
          <w:color w:val="auto"/>
        </w:rPr>
        <w:t>. Interest accrued on each Base Rate Advance shall be payable in arrears quarterly on the first Business Day of each quarter commencing with the first such date after the Fiscal Quarter ending April 3, 2016 and at maturity. Interest accrued on each Eurocurrency Advance shall be payable on the last Business Day of its applicable Interest Period, on any date on which the Eurocurrency Advance is prepaid, whether by acceleration or otherwise, and at maturity. Interest accrued on each Eurocurrency Advance having an Interest Period longer than three months shall also be payable on the last Business Day of each three-month interval during such Interest Period. Interest accrued pursuant to Section 2.9 shall be payable on demand. Interest on all Advances and fees shall be calculated for actual days elapsed on the basis of a 360-day year, except that interest computed by reference to the Base Rate based on the Prime Rate shall be calculated for actual days elapsed on the basis of a 365/366-day year. Interest shall be payable for the day an Advance is made but not for the day of any payment on the amount paid if payment is received prior to noon (local time) at the place of payment. If any payment of principal of or interest on an Advance becomes due on a day that is not a Business Day, such payment shall be made on the next succeeding Business Day; provided that if the next succeeding Business Day is in the next calendar month, such payment shall be made on the immediately preceding Business Day.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45" w:name="page46"/>
    <w:bookmarkEnd w:id="45"/>
    <w:p>
      <w:pPr>
        <w:ind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2.14. </w:t>
      </w:r>
      <w:r>
        <w:rPr>
          <w:rFonts w:ascii="Arial" w:cs="Arial" w:eastAsia="Arial" w:hAnsi="Arial"/>
          <w:sz w:val="16"/>
          <w:szCs w:val="16"/>
          <w:u w:val="single" w:color="auto"/>
          <w:color w:val="auto"/>
        </w:rPr>
        <w:t>Notification of Advances, Interest Rates, Prepayments and Commitment Reductions</w:t>
      </w:r>
      <w:r>
        <w:rPr>
          <w:rFonts w:ascii="Arial" w:cs="Arial" w:eastAsia="Arial" w:hAnsi="Arial"/>
          <w:sz w:val="16"/>
          <w:szCs w:val="16"/>
          <w:color w:val="auto"/>
        </w:rPr>
        <w:t>. Promptly after receipt thereof, the Administrative Agent will notify each Lender of the contents of each Aggregate Commitment reduction notice, Borrowing Notice, Swing Line Borrowing Notice, Conversion/Continuation Notice and repayment notice. Promptly after notice from the applicable LC Issuer, the Administrative Agent will notify each Lender of the contents of each request for issuance of a Facility LC hereunder. The Administrative Agent will notify each Lender of the interest rate applicable to each Eurocurrency Advance promptly upon determination of such interest rate and will give each Lender prompt notice of each change in the Base Rate.</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Lending Installations</w:t>
      </w:r>
      <w:r>
        <w:rPr>
          <w:rFonts w:ascii="Arial" w:cs="Arial" w:eastAsia="Arial" w:hAnsi="Arial"/>
          <w:sz w:val="18"/>
          <w:szCs w:val="18"/>
          <w:color w:val="auto"/>
        </w:rPr>
        <w:t>. Each Lender may book its Advances and its participation in any LC Obligations, and an LC Issuer may book the Facility LCs, at any Lending Installation selected by such Lender or such LC Issuer, as the case may be, and any Lender or the LC Issuer may change its Lending Installation from time to time. All terms of this Agreement shall apply to any such Lending Installation, and the Loans, Facility LCs, participations in LC Obligations and any Notes issued hereunder shall be deemed held by each Lender or each LC Issuer, as the case may be, for the benefit of any such Lending Installation. Each Lender and each LC Issuer may, by written notice to the Administrative Agent and the Borrower in accordance with Article XIII, designate replacement or additional Lending Installations through which it will make Loans or issue Facility LCs and for whose account Loan payments or payments with respect to Facility LCs are to be made.</w:t>
      </w:r>
    </w:p>
    <w:p>
      <w:pPr>
        <w:spacing w:after="0" w:line="18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Non-Receipt of Funds by the Administrative Agent</w:t>
      </w:r>
      <w:r>
        <w:rPr>
          <w:rFonts w:ascii="Arial" w:cs="Arial" w:eastAsia="Arial" w:hAnsi="Arial"/>
          <w:sz w:val="17"/>
          <w:szCs w:val="17"/>
          <w:color w:val="auto"/>
        </w:rPr>
        <w:t>. Unless the Borrower or a Lender, as the case may be, notifies the Administrative Agent, prior to the date on which it is scheduled to make payment to the Administrative Agent of (i) in the case of a Lender, the proceeds of a Loan or (ii) in the case of the Borrower, a payment of principal, interest or fees to the Administrative Agent for the account of the Lenders, that it does not intend to make such payment, the Administrative Agent may assume that such payment has been made. The Administrative Agent may, but shall not be obligated to, make the amount of such payment available to the intended recipient in reliance upon such assumption. If such Lender or the Borrower, as the case may be, has not in fact made such payment to the Administrative Agent, the recipient of such payment shall, on demand by the Administrative Agent, repay to the Administrative Agent the amount so made available together with interest thereon in respect of each day during the period from and including the date such amount was so made available by the Administrative Agent until the date the Administrative Agent recovers such amount at a rate per annum equal to (x) in the case of payment by a Lender, the Federal Funds Effective Rate for such day for the first three days and, thereafter, the interest rate applicable to the relevant Loan or (y) in the case of payment by the Borrower, the interest rate applicable to the relevant Loan.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Facility LCs</w:t>
      </w:r>
      <w:r>
        <w:rPr>
          <w:rFonts w:ascii="Arial" w:cs="Arial" w:eastAsia="Arial" w:hAnsi="Arial"/>
          <w:sz w:val="18"/>
          <w:szCs w:val="18"/>
          <w:color w:val="auto"/>
        </w:rPr>
        <w:t>.</w:t>
      </w:r>
    </w:p>
    <w:p>
      <w:pPr>
        <w:spacing w:after="0" w:line="117"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 xml:space="preserve">2.17.1 </w:t>
      </w:r>
      <w:r>
        <w:rPr>
          <w:rFonts w:ascii="Arial" w:cs="Arial" w:eastAsia="Arial" w:hAnsi="Arial"/>
          <w:sz w:val="18"/>
          <w:szCs w:val="18"/>
          <w:u w:val="single" w:color="auto"/>
          <w:color w:val="auto"/>
        </w:rPr>
        <w:t>Issuance</w:t>
      </w:r>
      <w:r>
        <w:rPr>
          <w:rFonts w:ascii="Arial" w:cs="Arial" w:eastAsia="Arial" w:hAnsi="Arial"/>
          <w:sz w:val="18"/>
          <w:szCs w:val="18"/>
          <w:color w:val="auto"/>
        </w:rPr>
        <w:t>. Each LC Issuer hereby agrees, on the terms and conditions set forth in this Agreement, to issue (or continue) Letters of Credit denominated in Dollars (each, a “</w:t>
      </w:r>
      <w:r>
        <w:rPr>
          <w:rFonts w:ascii="Arial" w:cs="Arial" w:eastAsia="Arial" w:hAnsi="Arial"/>
          <w:sz w:val="18"/>
          <w:szCs w:val="18"/>
          <w:u w:val="single" w:color="auto"/>
          <w:color w:val="auto"/>
        </w:rPr>
        <w:t>Facility LC</w:t>
      </w:r>
      <w:r>
        <w:rPr>
          <w:rFonts w:ascii="Arial" w:cs="Arial" w:eastAsia="Arial" w:hAnsi="Arial"/>
          <w:sz w:val="18"/>
          <w:szCs w:val="18"/>
          <w:color w:val="auto"/>
        </w:rPr>
        <w:t>”) and to renew, extend, increase, decrease or otherwise modify each Facility LC (“</w:t>
      </w:r>
      <w:r>
        <w:rPr>
          <w:rFonts w:ascii="Arial" w:cs="Arial" w:eastAsia="Arial" w:hAnsi="Arial"/>
          <w:sz w:val="18"/>
          <w:szCs w:val="18"/>
          <w:u w:val="single" w:color="auto"/>
          <w:color w:val="auto"/>
        </w:rPr>
        <w:t>Modify</w:t>
      </w:r>
      <w:r>
        <w:rPr>
          <w:rFonts w:ascii="Arial" w:cs="Arial" w:eastAsia="Arial" w:hAnsi="Arial"/>
          <w:sz w:val="18"/>
          <w:szCs w:val="18"/>
          <w:color w:val="auto"/>
        </w:rPr>
        <w:t>,” and each such action a “</w:t>
      </w:r>
      <w:r>
        <w:rPr>
          <w:rFonts w:ascii="Arial" w:cs="Arial" w:eastAsia="Arial" w:hAnsi="Arial"/>
          <w:sz w:val="18"/>
          <w:szCs w:val="18"/>
          <w:u w:val="single" w:color="auto"/>
          <w:color w:val="auto"/>
        </w:rPr>
        <w:t>Modification</w:t>
      </w:r>
      <w:r>
        <w:rPr>
          <w:rFonts w:ascii="Arial" w:cs="Arial" w:eastAsia="Arial" w:hAnsi="Arial"/>
          <w:sz w:val="18"/>
          <w:szCs w:val="18"/>
          <w:color w:val="auto"/>
        </w:rPr>
        <w:t xml:space="preserve">”), from time to time from and including the Closing Date and prior to the Facility Termination Date upon the request of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immediately after each such Facility LC is issued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46" w:name="page47"/>
    <w:bookmarkEnd w:id="46"/>
    <w:p>
      <w:pPr>
        <w:ind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Modified, (i) the aggregate Dollar amount of the outstanding LC Obligations shall not exceed $5,000,000 and (ii) the Aggregate Revolving Credit Exposure shall not exceed the Aggregate Revolving Commitment;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no LC Issuer shall be required to issue any Facility LC if</w:t>
      </w:r>
    </w:p>
    <w:p>
      <w:pPr>
        <w:ind w:right="20" w:firstLine="4"/>
        <w:spacing w:after="0" w:line="281" w:lineRule="auto"/>
        <w:tabs>
          <w:tab w:leader="none" w:pos="2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binding order, judgment or decree of any Governmental Authority or arbitrator by its terms purports to enjoin or restrain such LC Issuer from issuing such Facility LC, or any legal requirement of general application applicable to such LC Issuer or any request or directive (whether or not having the force of law) from any governmental or public body authority with jurisdiction over the LC Issuer prohibits, or requests that such LC Issuer refrain from, the issuance of Letters of Credit or such Facility LC or imposes upon such LC Issuer with respect to such Facility LC any restriction, reserve or capital requirement (for which such LC Issuer is not otherwise compensated hereunder) not in effect on the Closing Date, or imposes upon such LC Issuer any unreimbursed loss, cost, or expense that was not applicable on the Closing Date and that such LC Issuer in good faith deems material to it;</w:t>
      </w:r>
    </w:p>
    <w:p>
      <w:pPr>
        <w:spacing w:after="0" w:line="4" w:lineRule="exact"/>
        <w:rPr>
          <w:rFonts w:ascii="Arial" w:cs="Arial" w:eastAsia="Arial" w:hAnsi="Arial"/>
          <w:sz w:val="16"/>
          <w:szCs w:val="16"/>
          <w:color w:val="auto"/>
        </w:rPr>
      </w:pPr>
    </w:p>
    <w:p>
      <w:pPr>
        <w:ind w:left="280" w:hanging="276"/>
        <w:spacing w:after="0"/>
        <w:tabs>
          <w:tab w:leader="none" w:pos="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issuance of such Facility LC would violate any legal requirements or one or more policies of such LC Issuer applicable to Letters of Credit;</w:t>
      </w:r>
    </w:p>
    <w:p>
      <w:pPr>
        <w:spacing w:after="0" w:line="20" w:lineRule="exact"/>
        <w:rPr>
          <w:rFonts w:ascii="Arial" w:cs="Arial" w:eastAsia="Arial" w:hAnsi="Arial"/>
          <w:sz w:val="17"/>
          <w:szCs w:val="17"/>
          <w:color w:val="auto"/>
        </w:rPr>
      </w:pPr>
    </w:p>
    <w:p>
      <w:pPr>
        <w:ind w:firstLine="4"/>
        <w:spacing w:after="0" w:line="281" w:lineRule="auto"/>
        <w:tabs>
          <w:tab w:leader="none" w:pos="2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such Facility LC is to be denominated in a currency other than Dollars, (D) such Facility LC contains any provision for automatic reinstatement of the stated amount after any drawing thereunder, or (E) a default of any Lender’s reimbursement obligations under Section 2.17.5 exists or any Lender at such time is a Defaulting Lender, unless arrangements satisfactory to such LC Issuer have been entered into to eliminate such LC Issuer’s risk with respect to the participation in Facility LCs of such Defaulting Lender or Lenders, which may include requiring the Borrower to post cash collateral with the Administrative Agent in an amount equal to each Defaulting Lender’s pro rata share (based on such Lender’s Revolving Percentage) of all LC Obligations. No Facility LC shall have an expiry date later than the earlier of (x) the fifth Business Day prior to the Facility Termination Date and</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 one year after its issuance.</w:t>
      </w:r>
    </w:p>
    <w:p>
      <w:pPr>
        <w:spacing w:after="0" w:line="103" w:lineRule="exact"/>
        <w:rPr>
          <w:sz w:val="20"/>
          <w:szCs w:val="20"/>
          <w:color w:val="auto"/>
        </w:rPr>
      </w:pPr>
    </w:p>
    <w:p>
      <w:pPr>
        <w:jc w:val="both"/>
        <w:ind w:right="60" w:firstLine="438"/>
        <w:spacing w:after="0" w:line="259" w:lineRule="auto"/>
        <w:rPr>
          <w:sz w:val="20"/>
          <w:szCs w:val="20"/>
          <w:color w:val="auto"/>
        </w:rPr>
      </w:pPr>
      <w:r>
        <w:rPr>
          <w:rFonts w:ascii="Arial" w:cs="Arial" w:eastAsia="Arial" w:hAnsi="Arial"/>
          <w:sz w:val="18"/>
          <w:szCs w:val="18"/>
          <w:color w:val="auto"/>
        </w:rPr>
        <w:t xml:space="preserve">2.17.2 </w:t>
      </w:r>
      <w:r>
        <w:rPr>
          <w:rFonts w:ascii="Arial" w:cs="Arial" w:eastAsia="Arial" w:hAnsi="Arial"/>
          <w:sz w:val="18"/>
          <w:szCs w:val="18"/>
          <w:u w:val="single" w:color="auto"/>
          <w:color w:val="auto"/>
        </w:rPr>
        <w:t>Participations</w:t>
      </w:r>
      <w:r>
        <w:rPr>
          <w:rFonts w:ascii="Arial" w:cs="Arial" w:eastAsia="Arial" w:hAnsi="Arial"/>
          <w:sz w:val="18"/>
          <w:szCs w:val="18"/>
          <w:color w:val="auto"/>
        </w:rPr>
        <w:t>. Upon the issuance or Modification by a LC Issuer of a Facility LC, such LC Issuer shall be deemed, without further action by any party hereto, to have unconditionally and irrevocably sold to each Lender, and each Lender shall be deemed, without further action by any party hereto, to have unconditionally and irrevocably purchased from such LC Issuer, a participation in such Facility LC (and each Modification thereof) and the related LC Obligations in proportion to its Revolving Percentage.</w:t>
      </w:r>
    </w:p>
    <w:p>
      <w:pPr>
        <w:spacing w:after="0" w:line="79" w:lineRule="exact"/>
        <w:rPr>
          <w:sz w:val="20"/>
          <w:szCs w:val="20"/>
          <w:color w:val="auto"/>
        </w:rPr>
      </w:pPr>
    </w:p>
    <w:p>
      <w:pPr>
        <w:ind w:right="120" w:firstLine="438"/>
        <w:spacing w:after="0" w:line="291" w:lineRule="auto"/>
        <w:rPr>
          <w:sz w:val="20"/>
          <w:szCs w:val="20"/>
          <w:color w:val="auto"/>
        </w:rPr>
      </w:pPr>
      <w:r>
        <w:rPr>
          <w:rFonts w:ascii="Arial" w:cs="Arial" w:eastAsia="Arial" w:hAnsi="Arial"/>
          <w:sz w:val="16"/>
          <w:szCs w:val="16"/>
          <w:color w:val="auto"/>
        </w:rPr>
        <w:t xml:space="preserve">2.17.3 </w:t>
      </w:r>
      <w:r>
        <w:rPr>
          <w:rFonts w:ascii="Arial" w:cs="Arial" w:eastAsia="Arial" w:hAnsi="Arial"/>
          <w:sz w:val="16"/>
          <w:szCs w:val="16"/>
          <w:u w:val="single" w:color="auto"/>
          <w:color w:val="auto"/>
        </w:rPr>
        <w:t>Notice</w:t>
      </w:r>
      <w:r>
        <w:rPr>
          <w:rFonts w:ascii="Arial" w:cs="Arial" w:eastAsia="Arial" w:hAnsi="Arial"/>
          <w:sz w:val="16"/>
          <w:szCs w:val="16"/>
          <w:color w:val="auto"/>
        </w:rPr>
        <w:t>. Subject to Section 2.17.1, the Borrower shall give the Administrative Agent notice prior to 12:00 p.m. (Minneapolis time) at least three Business Days prior to the proposed date of issuance or Modification of each Facility LC, specifying the LC Issuer, the beneficiary, the proposed date of issuance (or Modification) and the expiry date of such Facility LC, and describing the proposed terms of such Facility LC and the nature of the transactions proposed to be supported thereby. Upon receipt of such notice, the Administrative Agent shall promptly notify the applicable LC Issuer and each Lender of the contents thereof and of the amount of such Lender’s participation in such proposed Facility LC. The issuance or Modification by an LC Issuer of any Facility LC shall, in addition to the conditions precedent set forth in Article IV, be subject to the conditions precedent that such Facility LC shall be satisfactory to such LC Issuer and that the Borrower shall have executed and delivered such application agreement and/or such</w:t>
      </w:r>
    </w:p>
    <w:p>
      <w:pPr>
        <w:spacing w:after="0" w:line="1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700" w:top="274" w:right="239" w:bottom="1440" w:gutter="0" w:footer="0" w:header="0"/>
        </w:sectPr>
      </w:pPr>
    </w:p>
    <w:bookmarkStart w:id="47" w:name="page48"/>
    <w:bookmarkEnd w:id="47"/>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instruments and agreements relating to such Facility LC as such LC Issuer shall have reasonably requested (each, a “</w:t>
      </w:r>
      <w:r>
        <w:rPr>
          <w:rFonts w:ascii="Arial" w:cs="Arial" w:eastAsia="Arial" w:hAnsi="Arial"/>
          <w:sz w:val="17"/>
          <w:szCs w:val="17"/>
          <w:u w:val="single" w:color="auto"/>
          <w:color w:val="auto"/>
        </w:rPr>
        <w:t>Facility LC Application</w:t>
      </w:r>
      <w:r>
        <w:rPr>
          <w:rFonts w:ascii="Arial" w:cs="Arial" w:eastAsia="Arial" w:hAnsi="Arial"/>
          <w:sz w:val="17"/>
          <w:szCs w:val="17"/>
          <w:color w:val="auto"/>
        </w:rPr>
        <w:t xml:space="preserve">”). The applicable LC Issuer shall have no independent duty to ascertain whether the conditions set forth in Article IV have been satisfied;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such LC Issuer shall not issue a Facility LC if, on or before the proposed date of issuance, such LC Issuer has received notice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or the Required Lenders that any such condition has not been satisfied or waived. In the event of any conflict between the terms of this Agreement and the terms of any Facility LC Application, the terms of this Agreement shall control.</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2.17.4 </w:t>
      </w:r>
      <w:r>
        <w:rPr>
          <w:rFonts w:ascii="Arial" w:cs="Arial" w:eastAsia="Arial" w:hAnsi="Arial"/>
          <w:sz w:val="18"/>
          <w:szCs w:val="18"/>
          <w:u w:val="single" w:color="auto"/>
          <w:color w:val="auto"/>
        </w:rPr>
        <w:t>LC Fees</w:t>
      </w:r>
      <w:r>
        <w:rPr>
          <w:rFonts w:ascii="Arial" w:cs="Arial" w:eastAsia="Arial" w:hAnsi="Arial"/>
          <w:sz w:val="18"/>
          <w:szCs w:val="18"/>
          <w:color w:val="auto"/>
        </w:rPr>
        <w:t>.</w:t>
      </w:r>
    </w:p>
    <w:p>
      <w:pPr>
        <w:spacing w:after="0" w:line="117" w:lineRule="exact"/>
        <w:rPr>
          <w:sz w:val="20"/>
          <w:szCs w:val="20"/>
          <w:color w:val="auto"/>
        </w:rPr>
      </w:pPr>
    </w:p>
    <w:p>
      <w:pPr>
        <w:ind w:left="460" w:right="20" w:firstLine="421"/>
        <w:spacing w:after="0" w:line="264" w:lineRule="auto"/>
        <w:tabs>
          <w:tab w:leader="none" w:pos="112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Borrower shall pay to the applicable LC Issuer with respect to each Facility LC, a nonrefundable fronting fee in an amount equal to 0.125% per annum of the face amount of each such Facility LC (the “</w:t>
      </w:r>
      <w:r>
        <w:rPr>
          <w:rFonts w:ascii="Arial" w:cs="Arial" w:eastAsia="Arial" w:hAnsi="Arial"/>
          <w:sz w:val="18"/>
          <w:szCs w:val="18"/>
          <w:u w:val="single" w:color="auto"/>
          <w:color w:val="auto"/>
        </w:rPr>
        <w:t>LC Fronting Fees</w:t>
      </w:r>
      <w:r>
        <w:rPr>
          <w:rFonts w:ascii="Arial" w:cs="Arial" w:eastAsia="Arial" w:hAnsi="Arial"/>
          <w:sz w:val="18"/>
          <w:szCs w:val="18"/>
          <w:color w:val="auto"/>
        </w:rPr>
        <w:t>”), and such LC Fronting Fees shall be due and payable on the date of the issuance (or renewal, if applicable) of each Facility LC.</w:t>
      </w:r>
    </w:p>
    <w:p>
      <w:pPr>
        <w:spacing w:after="0" w:line="73" w:lineRule="exact"/>
        <w:rPr>
          <w:rFonts w:ascii="Arial" w:cs="Arial" w:eastAsia="Arial" w:hAnsi="Arial"/>
          <w:sz w:val="18"/>
          <w:szCs w:val="18"/>
          <w:color w:val="auto"/>
        </w:rPr>
      </w:pPr>
    </w:p>
    <w:p>
      <w:pPr>
        <w:ind w:left="1140" w:hanging="259"/>
        <w:spacing w:after="0"/>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Borrower shall pay to the Administrative Agent, for the account of the Lenders ratably in accordance with their respective</w:t>
      </w:r>
    </w:p>
    <w:p>
      <w:pPr>
        <w:spacing w:after="0" w:line="34" w:lineRule="exact"/>
        <w:rPr>
          <w:rFonts w:ascii="Arial" w:cs="Arial" w:eastAsia="Arial" w:hAnsi="Arial"/>
          <w:sz w:val="17"/>
          <w:szCs w:val="17"/>
          <w:color w:val="auto"/>
        </w:rPr>
      </w:pPr>
    </w:p>
    <w:p>
      <w:pPr>
        <w:ind w:left="460"/>
        <w:spacing w:after="0" w:line="252" w:lineRule="auto"/>
        <w:rPr>
          <w:rFonts w:ascii="Arial" w:cs="Arial" w:eastAsia="Arial" w:hAnsi="Arial"/>
          <w:sz w:val="17"/>
          <w:szCs w:val="17"/>
          <w:color w:val="auto"/>
        </w:rPr>
      </w:pPr>
      <w:r>
        <w:rPr>
          <w:rFonts w:ascii="Arial" w:cs="Arial" w:eastAsia="Arial" w:hAnsi="Arial"/>
          <w:sz w:val="18"/>
          <w:szCs w:val="18"/>
          <w:color w:val="auto"/>
        </w:rPr>
        <w:t>Revolving Percentage, with respect to each Facility LC, a letter of credit fee at a per annum rate equal to the Applicable Margin for Eurocurrency Loans in effect from time to time on the original face amount of the Facility LC for the period from the date of issuance to the scheduled expiration date of such Facility LC, such fee to be payable in arrears on the last day of each Fiscal Quarter (the “</w:t>
      </w:r>
      <w:r>
        <w:rPr>
          <w:rFonts w:ascii="Arial" w:cs="Arial" w:eastAsia="Arial" w:hAnsi="Arial"/>
          <w:sz w:val="18"/>
          <w:szCs w:val="18"/>
          <w:u w:val="single" w:color="auto"/>
          <w:color w:val="auto"/>
        </w:rPr>
        <w:t>LC Fee</w:t>
      </w:r>
      <w:r>
        <w:rPr>
          <w:rFonts w:ascii="Arial" w:cs="Arial" w:eastAsia="Arial" w:hAnsi="Arial"/>
          <w:sz w:val="18"/>
          <w:szCs w:val="18"/>
          <w:color w:val="auto"/>
        </w:rPr>
        <w:t>”). The Borrower shall also pay to the applicable LC Issuer for its own account on demand all amendment, drawing and other fees regularly charged by such LC Issuer to its letter of credit customers and all out-of-pocket expenses reasonably incurred by such LC Issuer in connection with the issuance, Modification, administration or payment of any Facility LC.</w:t>
      </w:r>
    </w:p>
    <w:p>
      <w:pPr>
        <w:spacing w:after="0" w:line="86" w:lineRule="exact"/>
        <w:rPr>
          <w:sz w:val="20"/>
          <w:szCs w:val="20"/>
          <w:color w:val="auto"/>
        </w:rPr>
      </w:pPr>
    </w:p>
    <w:p>
      <w:pPr>
        <w:ind w:right="60" w:firstLine="438"/>
        <w:spacing w:after="0" w:line="288" w:lineRule="auto"/>
        <w:rPr>
          <w:sz w:val="20"/>
          <w:szCs w:val="20"/>
          <w:color w:val="auto"/>
        </w:rPr>
      </w:pPr>
      <w:r>
        <w:rPr>
          <w:rFonts w:ascii="Arial" w:cs="Arial" w:eastAsia="Arial" w:hAnsi="Arial"/>
          <w:sz w:val="16"/>
          <w:szCs w:val="16"/>
          <w:color w:val="auto"/>
        </w:rPr>
        <w:t xml:space="preserve">2.17.5 </w:t>
      </w:r>
      <w:r>
        <w:rPr>
          <w:rFonts w:ascii="Arial" w:cs="Arial" w:eastAsia="Arial" w:hAnsi="Arial"/>
          <w:sz w:val="16"/>
          <w:szCs w:val="16"/>
          <w:u w:val="single" w:color="auto"/>
          <w:color w:val="auto"/>
        </w:rPr>
        <w:t>Administration; Reimbursement by Lenders</w:t>
      </w:r>
      <w:r>
        <w:rPr>
          <w:rFonts w:ascii="Arial" w:cs="Arial" w:eastAsia="Arial" w:hAnsi="Arial"/>
          <w:sz w:val="16"/>
          <w:szCs w:val="16"/>
          <w:color w:val="auto"/>
        </w:rPr>
        <w:t>. Upon receipt of any demand for payment under any Facility LC from the beneficiary of such Facility LC, the applicable LC Issuer shall notify the Administrative Agent and the Administrative Agent shall promptly notify the Borrower and each other Lender as to the amount to be paid by such LC Issuer as a result of such demand and the proposed payment date (the “</w:t>
      </w:r>
      <w:r>
        <w:rPr>
          <w:rFonts w:ascii="Arial" w:cs="Arial" w:eastAsia="Arial" w:hAnsi="Arial"/>
          <w:sz w:val="16"/>
          <w:szCs w:val="16"/>
          <w:u w:val="single" w:color="auto"/>
          <w:color w:val="auto"/>
        </w:rPr>
        <w:t>LC Payment Date</w:t>
      </w:r>
      <w:r>
        <w:rPr>
          <w:rFonts w:ascii="Arial" w:cs="Arial" w:eastAsia="Arial" w:hAnsi="Arial"/>
          <w:sz w:val="16"/>
          <w:szCs w:val="16"/>
          <w:color w:val="auto"/>
        </w:rPr>
        <w:t>”). The responsibility of the applicable LC Issuer to the Borrower and each Lender shall be only to determine that the documents (including each demand for payment) delivered under each Facility LC in connection with such presentment are in conformity in all material respects with such Facility LC. The applicable LC Issuer shall endeavor to exercise the same care in the issuance and administration of the Facility LCs as it does with respect to Letters of Credit in which no participations are granted, it being understood that in the absence of any gross negligence or willful misconduct by such LC Issuer, each Lender shall be unconditionally and irrevocably liable, without regard to any Event of Default or any condition precedent whatsoever, to reimburse such LC Issuer on demand for (i) such Lender’s Revolving Percentage of the amount of each payment made by such LC Issuer under each Facility LC to the extent such amount is not reimbursed by the Borrower pursuant to Section 2.17.6 below and there is not Cash Collateral to cover</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700" w:top="274" w:right="259" w:bottom="1440" w:gutter="0" w:footer="0" w:header="0"/>
        </w:sectPr>
      </w:pPr>
    </w:p>
    <w:bookmarkStart w:id="48" w:name="page49"/>
    <w:bookmarkEnd w:id="48"/>
    <w:p>
      <w:pPr>
        <w:jc w:val="both"/>
        <w:ind w:right="2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same, plus (ii) interest on the foregoing amount to be reimbursed by such Lender, for each day from the date of such LC Issuer’s demand for such reimbursement (or, if such demand is made after 12:00 p.m. (Minneapolis time) on such date, from the next succeeding Business Day) to the date on which such Lender pays the amount to be reimbursed by it, at a rate of interest per annum equal to the Federal Funds Effective Rate for the first three days and, thereafter, at a rate of interest equal to the rate applicable to Base Rate Advances.</w:t>
      </w:r>
    </w:p>
    <w:p>
      <w:pPr>
        <w:spacing w:after="0" w:line="63" w:lineRule="exact"/>
        <w:rPr>
          <w:sz w:val="20"/>
          <w:szCs w:val="20"/>
          <w:color w:val="auto"/>
        </w:rPr>
      </w:pPr>
    </w:p>
    <w:p>
      <w:pPr>
        <w:ind w:right="140" w:firstLine="438"/>
        <w:spacing w:after="0" w:line="286" w:lineRule="auto"/>
        <w:rPr>
          <w:sz w:val="20"/>
          <w:szCs w:val="20"/>
          <w:color w:val="auto"/>
        </w:rPr>
      </w:pPr>
      <w:r>
        <w:rPr>
          <w:rFonts w:ascii="Arial" w:cs="Arial" w:eastAsia="Arial" w:hAnsi="Arial"/>
          <w:sz w:val="16"/>
          <w:szCs w:val="16"/>
          <w:color w:val="auto"/>
        </w:rPr>
        <w:t xml:space="preserve">2.17.6 </w:t>
      </w:r>
      <w:r>
        <w:rPr>
          <w:rFonts w:ascii="Arial" w:cs="Arial" w:eastAsia="Arial" w:hAnsi="Arial"/>
          <w:sz w:val="16"/>
          <w:szCs w:val="16"/>
          <w:u w:val="single" w:color="auto"/>
          <w:color w:val="auto"/>
        </w:rPr>
        <w:t>Reimbursement by Borrower</w:t>
      </w:r>
      <w:r>
        <w:rPr>
          <w:rFonts w:ascii="Arial" w:cs="Arial" w:eastAsia="Arial" w:hAnsi="Arial"/>
          <w:sz w:val="16"/>
          <w:szCs w:val="16"/>
          <w:color w:val="auto"/>
        </w:rPr>
        <w:t xml:space="preserve">. The Borrower shall be irrevocably and unconditionally obligated to reimburse the applicable LC Issuer on or before the applicable LC Payment Date for any amounts required to be paid by such LC Issuer upon any drawing under any Facility LC, without presentment, demand, protest or other formalities of any kind;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Borrower nor any Lender shall hereby be precluded from asserting any claim for direct (but not consequential) damages suffered by the Borrower or such Lender to the extent, but only to the extent, caused by</w:t>
      </w:r>
    </w:p>
    <w:p>
      <w:pPr>
        <w:spacing w:after="0" w:line="2" w:lineRule="exact"/>
        <w:rPr>
          <w:sz w:val="20"/>
          <w:szCs w:val="20"/>
          <w:color w:val="auto"/>
        </w:rPr>
      </w:pPr>
    </w:p>
    <w:p>
      <w:pPr>
        <w:ind w:firstLine="4"/>
        <w:spacing w:after="0" w:line="267" w:lineRule="auto"/>
        <w:tabs>
          <w:tab w:leader="none" w:pos="2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willful misconduct or gross negligence of such LC Issuer in determining whether a request presented under any Facility LC complied with the terms of such Facility LC or (ii) such LC Issuer’s failure to pay under any Facility LC issued by it after the presentation to it of a request complying with the terms and conditions of such Facility LC. All such amounts paid by the applicable LC Issuer and remaining unpaid by the Borrower (“</w:t>
      </w:r>
      <w:r>
        <w:rPr>
          <w:rFonts w:ascii="Arial" w:cs="Arial" w:eastAsia="Arial" w:hAnsi="Arial"/>
          <w:sz w:val="17"/>
          <w:szCs w:val="17"/>
          <w:u w:val="single" w:color="auto"/>
          <w:color w:val="auto"/>
        </w:rPr>
        <w:t>Unpaid</w:t>
      </w:r>
      <w:r>
        <w:rPr>
          <w:rFonts w:ascii="Arial" w:cs="Arial" w:eastAsia="Arial" w:hAnsi="Arial"/>
          <w:sz w:val="17"/>
          <w:szCs w:val="17"/>
          <w:color w:val="auto"/>
        </w:rPr>
        <w:t xml:space="preserve"> </w:t>
      </w:r>
      <w:r>
        <w:rPr>
          <w:rFonts w:ascii="Arial" w:cs="Arial" w:eastAsia="Arial" w:hAnsi="Arial"/>
          <w:sz w:val="17"/>
          <w:szCs w:val="17"/>
          <w:u w:val="single" w:color="auto"/>
          <w:color w:val="auto"/>
        </w:rPr>
        <w:t>Drawings</w:t>
      </w:r>
      <w:r>
        <w:rPr>
          <w:rFonts w:ascii="Arial" w:cs="Arial" w:eastAsia="Arial" w:hAnsi="Arial"/>
          <w:sz w:val="17"/>
          <w:szCs w:val="17"/>
          <w:color w:val="auto"/>
        </w:rPr>
        <w:t>”) shall bear interest, payable on demand, for each day until paid at a rate per annum equal to (x) the rate applicable to Base Rate Advances for such day if such day falls on or before the applicable LC Payment Date and (y) the sum of 2% plus the rate applicable to Base Rate Advances for such day if such day falls after such LC Payment Date. The applicable LC Issuer will pay to each Lender ratably in accordance with its Revolving Percentage all amounts received by it from the Borrower for application in payment, in whole or in part, of the Reimbursement Obligation in respect of any Facility LC issued by such LC Issuer, but only to the extent such Lender has made payment to such LC Issuer in respect of such Facility LC pursuant to Section 2.17.5. Subject to the terms and conditions of this Agreement (including without limitation the submission of a Borrowing Notice in compliance with Section 2.6 and the satisfaction of the applicable conditions precedent set forth in Article IV), the Borrower may request an Advance hereunder for the purpose of satisfying any Reimbursement Obligation.</w:t>
      </w:r>
    </w:p>
    <w:p>
      <w:pPr>
        <w:spacing w:after="0" w:line="79" w:lineRule="exact"/>
        <w:rPr>
          <w:sz w:val="20"/>
          <w:szCs w:val="20"/>
          <w:color w:val="auto"/>
        </w:rPr>
      </w:pPr>
    </w:p>
    <w:p>
      <w:pPr>
        <w:ind w:right="20" w:firstLine="438"/>
        <w:spacing w:after="0" w:line="271" w:lineRule="auto"/>
        <w:rPr>
          <w:sz w:val="20"/>
          <w:szCs w:val="20"/>
          <w:color w:val="auto"/>
        </w:rPr>
      </w:pPr>
      <w:r>
        <w:rPr>
          <w:rFonts w:ascii="Arial" w:cs="Arial" w:eastAsia="Arial" w:hAnsi="Arial"/>
          <w:sz w:val="17"/>
          <w:szCs w:val="17"/>
          <w:color w:val="auto"/>
        </w:rPr>
        <w:t xml:space="preserve">2.17.7 </w:t>
      </w: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Borrower’s obligations under this Section shall be absolute and unconditional under any and all circumstances and irrespective of any setoff, counterclaim or defense to payment that the Borrower may have or have had against any LC Issuer, any Lender or any beneficiary of a Facility LC. The Borrower further agrees with the LC Issuers and the Lenders that the LC Issuers and the Lenders shall not be responsible for, and the Borrower’s Reimbursement Obligation in respect of any Facility LC shall not be affected by, among other things, the validity or genuineness of documents or of any endorsements thereon, even if such documents in fact prove to be in any or all respects invalid, fraudulent or forged, or any dispute between or among the Borrower, any of its Affiliates, the beneficiary of any Facility LC or any financing institution or other party to whom any Facility LC may be transferred or any claims or defenses whatsoever of the Borrower or of any of its Affiliates against the beneficiary of any Facility LC or any such transferee. No LC Issuer shall not be liable for any error,</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74" w:right="239" w:bottom="1440" w:gutter="0" w:footer="0" w:header="0"/>
        </w:sectPr>
      </w:pPr>
    </w:p>
    <w:bookmarkStart w:id="49" w:name="page50"/>
    <w:bookmarkEnd w:id="49"/>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omission, interruption or delay in transmission, dispatch or delivery of any message or advice, however transmitted, in connection with any Facility LC except to the extent determined in a final non-appealable judgment by a court of competent jurisdiction to be attributable to the gross negligence or willful misconduct of such LC Issuer. The Borrower agrees that any action taken or omitted by any LC Issuer or any Lender under or in connection with each Facility LC and the related drafts and documents, if done without gross negligence or willful misconduct, shall be binding upon the Borrower and shall not put any LC Issuer or any Lender under any liability to the Borrower. Nothing in this Section is intended to limit the right of the Borrower to make a claim against an LC Issuer for damages as contemplated by the proviso to the first sentence of Section 2.17.6.</w:t>
      </w:r>
    </w:p>
    <w:p>
      <w:pPr>
        <w:spacing w:after="0" w:line="57" w:lineRule="exact"/>
        <w:rPr>
          <w:sz w:val="20"/>
          <w:szCs w:val="20"/>
          <w:color w:val="auto"/>
        </w:rPr>
      </w:pPr>
    </w:p>
    <w:p>
      <w:pPr>
        <w:ind w:firstLine="438"/>
        <w:spacing w:after="0" w:line="270" w:lineRule="auto"/>
        <w:rPr>
          <w:sz w:val="20"/>
          <w:szCs w:val="20"/>
          <w:color w:val="auto"/>
        </w:rPr>
      </w:pPr>
      <w:r>
        <w:rPr>
          <w:rFonts w:ascii="Arial" w:cs="Arial" w:eastAsia="Arial" w:hAnsi="Arial"/>
          <w:sz w:val="17"/>
          <w:szCs w:val="17"/>
          <w:color w:val="auto"/>
        </w:rPr>
        <w:t xml:space="preserve">2.17.8 </w:t>
      </w:r>
      <w:r>
        <w:rPr>
          <w:rFonts w:ascii="Arial" w:cs="Arial" w:eastAsia="Arial" w:hAnsi="Arial"/>
          <w:sz w:val="17"/>
          <w:szCs w:val="17"/>
          <w:u w:val="single" w:color="auto"/>
          <w:color w:val="auto"/>
        </w:rPr>
        <w:t>Actions of LC Issuer</w:t>
      </w:r>
      <w:r>
        <w:rPr>
          <w:rFonts w:ascii="Arial" w:cs="Arial" w:eastAsia="Arial" w:hAnsi="Arial"/>
          <w:sz w:val="17"/>
          <w:szCs w:val="17"/>
          <w:color w:val="auto"/>
        </w:rPr>
        <w:t>. Each LC Issuer shall be entitled to rely, and shall be fully protected in relying, upon any Facility LC, draft, writing, resolution, notice, consent, certificate, affidavit, letter, cablegram, telegram, telecopy, telex, teletype or electronic mail message, statement, order or other document it reasonably believes to be genuine and correct and to have been signed, sent or made by the proper Person or Persons, and upon advice and statements of legal counsel, independent accountants and other experts selected by such LC Issuer. Each LC Issuer shall be fully justified in failing or refusing to take any action under this Agreement unless it first receives such advice or concurrence of the Required Lenders as it reasonably deems appropriate or it is first indemnified to its reasonable satisfaction by the Lenders against any and all liability and expense that may be incurred by it by reason of taking or continuing to take any such action. Notwithstanding any other provision of this Section, each LC Issuer shall in all cases be fully protected by the Lenders in acting, or in refraining from acting, under this Agreement in accordance with a request of the Required Lenders, and such request and any action taken or failure to act pursuant thereto shall be binding upon the Lenders and any future holders of a participation in any Facility LC.</w:t>
      </w:r>
    </w:p>
    <w:p>
      <w:pPr>
        <w:spacing w:after="0" w:line="70" w:lineRule="exact"/>
        <w:rPr>
          <w:sz w:val="20"/>
          <w:szCs w:val="20"/>
          <w:color w:val="auto"/>
        </w:rPr>
      </w:pPr>
    </w:p>
    <w:p>
      <w:pPr>
        <w:ind w:right="20" w:firstLine="438"/>
        <w:spacing w:after="0" w:line="287" w:lineRule="auto"/>
        <w:rPr>
          <w:sz w:val="20"/>
          <w:szCs w:val="20"/>
          <w:color w:val="auto"/>
        </w:rPr>
      </w:pPr>
      <w:r>
        <w:rPr>
          <w:rFonts w:ascii="Arial" w:cs="Arial" w:eastAsia="Arial" w:hAnsi="Arial"/>
          <w:sz w:val="16"/>
          <w:szCs w:val="16"/>
          <w:color w:val="auto"/>
        </w:rPr>
        <w:t xml:space="preserve">2.17.9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Borrower agrees to indemnify and hold harmless each Lender, each LC Issuer and the Administrative Agent, and their respective directors, officers, agents and employees, from and against any and all claims and damages, losses, liabilities, costs or expenses that such Lender, such LC Issuer or the Administrative Agent may incur (or that may be claimed against such Lender, such LC Issuer or the Administrative Agent by any Person whatsoever) by reason of or in connection with the issuance, execution and delivery or transfer of or payment or failure to pay under any Facility LC or any actual or proposed use of any Facility LC, including, without limitation, any claims, damages, losses, liabilities, costs or expenses that such LC Issuer may incur by reason of or in connection with (i) the failure of any other Lender to fulfill or comply with its obligations to such LC Issuer hereunder (but nothing herein shall affect any rights the Borrower may have against any Defaulting Lender) or (ii) by reason of or on account of such LC Issuer issuing any Facility LC that specifies that the term “Beneficiary” included therein includes any successor by operation of law of the named Beneficiary, but which Facility LC does not require that any drawing by any such successor Beneficiary be accompanied by a copy of a legal document, satisfactory to such LC Issuer, evidencing the appointment of such successor Beneficiary;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not be required to indemnify any Lender, any LC Issuer or the Administrative Agent for any claims, damages, losses, liabilities, costs or expenses to the</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700" w:top="274" w:right="239" w:bottom="1440" w:gutter="0" w:footer="0" w:header="0"/>
        </w:sectPr>
      </w:pPr>
    </w:p>
    <w:bookmarkStart w:id="50" w:name="page51"/>
    <w:bookmarkEnd w:id="5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but only to the extent, caused by (x) the willful misconduct or gross negligence of such LC Issuer in determining whether a request presented under any Facility LC complied with the terms of such Facility LC or (y) such LC Issuer’s failure to pay under any Facility LC after the presentation to it of a request complying with the terms and conditions of such Facility LC. Nothing in this Section is intended to limit the obligations of the Borrower under any other provision of this Agreement.</w:t>
      </w:r>
    </w:p>
    <w:p>
      <w:pPr>
        <w:spacing w:after="0" w:line="79" w:lineRule="exact"/>
        <w:rPr>
          <w:sz w:val="20"/>
          <w:szCs w:val="20"/>
          <w:color w:val="auto"/>
        </w:rPr>
      </w:pPr>
    </w:p>
    <w:p>
      <w:pPr>
        <w:ind w:right="180" w:firstLine="438"/>
        <w:spacing w:after="0" w:line="255" w:lineRule="auto"/>
        <w:rPr>
          <w:sz w:val="20"/>
          <w:szCs w:val="20"/>
          <w:color w:val="auto"/>
        </w:rPr>
      </w:pPr>
      <w:r>
        <w:rPr>
          <w:rFonts w:ascii="Arial" w:cs="Arial" w:eastAsia="Arial" w:hAnsi="Arial"/>
          <w:sz w:val="18"/>
          <w:szCs w:val="18"/>
          <w:color w:val="auto"/>
        </w:rPr>
        <w:t xml:space="preserve">2.17.10 </w:t>
      </w:r>
      <w:r>
        <w:rPr>
          <w:rFonts w:ascii="Arial" w:cs="Arial" w:eastAsia="Arial" w:hAnsi="Arial"/>
          <w:sz w:val="18"/>
          <w:szCs w:val="18"/>
          <w:u w:val="single" w:color="auto"/>
          <w:color w:val="auto"/>
        </w:rPr>
        <w:t>Lenders’ Indemnification</w:t>
      </w:r>
      <w:r>
        <w:rPr>
          <w:rFonts w:ascii="Arial" w:cs="Arial" w:eastAsia="Arial" w:hAnsi="Arial"/>
          <w:sz w:val="18"/>
          <w:szCs w:val="18"/>
          <w:color w:val="auto"/>
        </w:rPr>
        <w:t>. Each Lender shall, in accordance with its Revolving Percentage, indemnify each LC Issuer, its affiliates and their respective directors, officers, agents and employees (to the extent not reimbursed by the Borrower) against any cost, expense (including reasonable counsel fees and disbursements), claim, demand, action, loss or liability (except such as result from such indemnitees’ gross negligence or willful misconduct or such LC Issuer’s failure to pay under any Facility LC after the presentation to it of a request complying with the terms and conditions of the Facility LC) that such indemnitees may suffer or incur in connection with this Section or any action taken or omitted by such indemnitees hereunder.</w:t>
      </w:r>
    </w:p>
    <w:p>
      <w:pPr>
        <w:spacing w:after="0" w:line="85" w:lineRule="exact"/>
        <w:rPr>
          <w:sz w:val="20"/>
          <w:szCs w:val="20"/>
          <w:color w:val="auto"/>
        </w:rPr>
      </w:pPr>
    </w:p>
    <w:p>
      <w:pPr>
        <w:ind w:right="200" w:firstLine="438"/>
        <w:spacing w:after="0" w:line="279" w:lineRule="auto"/>
        <w:rPr>
          <w:sz w:val="20"/>
          <w:szCs w:val="20"/>
          <w:color w:val="auto"/>
        </w:rPr>
      </w:pPr>
      <w:r>
        <w:rPr>
          <w:rFonts w:ascii="Arial" w:cs="Arial" w:eastAsia="Arial" w:hAnsi="Arial"/>
          <w:sz w:val="17"/>
          <w:szCs w:val="17"/>
          <w:color w:val="auto"/>
        </w:rPr>
        <w:t xml:space="preserve">2.17.11 </w:t>
      </w:r>
      <w:r>
        <w:rPr>
          <w:rFonts w:ascii="Arial" w:cs="Arial" w:eastAsia="Arial" w:hAnsi="Arial"/>
          <w:sz w:val="17"/>
          <w:szCs w:val="17"/>
          <w:u w:val="single" w:color="auto"/>
          <w:color w:val="auto"/>
        </w:rPr>
        <w:t>Cash Collateral</w:t>
      </w:r>
      <w:r>
        <w:rPr>
          <w:rFonts w:ascii="Arial" w:cs="Arial" w:eastAsia="Arial" w:hAnsi="Arial"/>
          <w:sz w:val="17"/>
          <w:szCs w:val="17"/>
          <w:color w:val="auto"/>
        </w:rPr>
        <w:t>. At any time that there is a Defaulting Lender, within one Business Day following the written request of the Administrative Agent or the applicable LC Issuer (with a copy to the Administrative Agent), the Borrower shall Cash Collateralize the applicable LC Issuer’s Fronting Exposure with respect to such Defaulting Lender (determined after giving effect to Section 2.20(a)(iv) and any Cash Collateral provided by such Defaulting Lender pursuant to Section 2.20(a)(ii)) in an amount not less than the Minimum Collateral Amount.</w:t>
      </w:r>
    </w:p>
    <w:p>
      <w:pPr>
        <w:spacing w:after="0" w:line="63" w:lineRule="exact"/>
        <w:rPr>
          <w:sz w:val="20"/>
          <w:szCs w:val="20"/>
          <w:color w:val="auto"/>
        </w:rPr>
      </w:pPr>
    </w:p>
    <w:p>
      <w:pPr>
        <w:ind w:left="460" w:firstLine="421"/>
        <w:spacing w:after="0" w:line="291" w:lineRule="auto"/>
        <w:tabs>
          <w:tab w:leader="none" w:pos="1124"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The Borrower, and to the extent provided by any Defaulting Lender, such Defaulting Lender, hereby grant to the Administrative Agent, for the benefit of the LC Issuers, and agree to maintain, a first-priority security interest in all such Cash Collateral as security for the Defaulting Lenders’ obligation to fund participations in respect of LC Obligations, to be applied pursuant to Section 2.17.11(b). If at any time the Administrative Agent determines that Cash Collateral is subject to any right or claim of any Person other than the Administrative Agent and the LC Issuers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59" w:lineRule="exact"/>
        <w:rPr>
          <w:rFonts w:ascii="Arial" w:cs="Arial" w:eastAsia="Arial" w:hAnsi="Arial"/>
          <w:sz w:val="16"/>
          <w:szCs w:val="16"/>
          <w:color w:val="auto"/>
        </w:rPr>
      </w:pPr>
    </w:p>
    <w:p>
      <w:pPr>
        <w:ind w:left="460" w:right="20" w:firstLine="421"/>
        <w:spacing w:after="0" w:line="279" w:lineRule="auto"/>
        <w:tabs>
          <w:tab w:leader="none" w:pos="113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Notwithstanding anything to the contrary in this Agreement, Cash Collateral provided under this Section 2.17.11 or 2.20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63" w:lineRule="exact"/>
        <w:rPr>
          <w:rFonts w:ascii="Arial" w:cs="Arial" w:eastAsia="Arial" w:hAnsi="Arial"/>
          <w:sz w:val="17"/>
          <w:szCs w:val="17"/>
          <w:color w:val="auto"/>
        </w:rPr>
      </w:pPr>
    </w:p>
    <w:p>
      <w:pPr>
        <w:ind w:left="460" w:firstLine="421"/>
        <w:spacing w:after="0" w:line="272" w:lineRule="auto"/>
        <w:tabs>
          <w:tab w:leader="none" w:pos="1124"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Termination of Requirement</w:t>
      </w:r>
      <w:r>
        <w:rPr>
          <w:rFonts w:ascii="Arial" w:cs="Arial" w:eastAsia="Arial" w:hAnsi="Arial"/>
          <w:sz w:val="17"/>
          <w:szCs w:val="17"/>
          <w:color w:val="auto"/>
        </w:rPr>
        <w:t>. Cash Collateral (or the appropriate portion thereof) provided to reduce the applicable LC Issuer’s Fronting Exposure shall no longer be required to be held as Cash Collateral pursuant to this Section 2.17.11 following (A) the elimination of the applicable Fronting Exposure (including by the termination of Defaulting Lender status of the applicable Lender), or (B) the determination by the Administrative Agent and the applicable LC Issuer that there exists excess Cash Collateral; provided that, subject to Section 2.20, the Person providing Cash Collateral and the applicable LC Issuer may agree that Cash Collateral shall be held to support future anticipated Fronting Exposure or other obligations and provided further that to the extent that such Cash Collateral was provided by the Borrower, such Cash Collateral shall remain subject to the security interest granted pursuant to the Loan Documents.</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700" w:top="274" w:right="239" w:bottom="1440" w:gutter="0" w:footer="0" w:header="0"/>
        </w:sectPr>
      </w:pPr>
    </w:p>
    <w:bookmarkStart w:id="51" w:name="page52"/>
    <w:bookmarkEnd w:id="51"/>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2.17.12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In its capacity as a Lender, each LC Issuer shall have the same rights and obligations as any other Lender.</w:t>
      </w:r>
    </w:p>
    <w:p>
      <w:pPr>
        <w:spacing w:after="0" w:line="129" w:lineRule="exact"/>
        <w:rPr>
          <w:sz w:val="20"/>
          <w:szCs w:val="20"/>
          <w:color w:val="auto"/>
        </w:rPr>
      </w:pPr>
    </w:p>
    <w:p>
      <w:pPr>
        <w:ind w:left="460" w:right="380" w:firstLine="438"/>
        <w:spacing w:after="0" w:line="264" w:lineRule="auto"/>
        <w:rPr>
          <w:sz w:val="20"/>
          <w:szCs w:val="20"/>
          <w:color w:val="auto"/>
        </w:rPr>
      </w:pPr>
      <w:r>
        <w:rPr>
          <w:rFonts w:ascii="Arial" w:cs="Arial" w:eastAsia="Arial" w:hAnsi="Arial"/>
          <w:sz w:val="18"/>
          <w:szCs w:val="18"/>
          <w:color w:val="auto"/>
        </w:rPr>
        <w:t xml:space="preserve">2.17.13 </w:t>
      </w:r>
      <w:r>
        <w:rPr>
          <w:rFonts w:ascii="Arial" w:cs="Arial" w:eastAsia="Arial" w:hAnsi="Arial"/>
          <w:sz w:val="18"/>
          <w:szCs w:val="18"/>
          <w:u w:val="single" w:color="auto"/>
          <w:color w:val="auto"/>
        </w:rPr>
        <w:t>Separate Reimbursement Agreement</w:t>
      </w:r>
      <w:r>
        <w:rPr>
          <w:rFonts w:ascii="Arial" w:cs="Arial" w:eastAsia="Arial" w:hAnsi="Arial"/>
          <w:sz w:val="18"/>
          <w:szCs w:val="18"/>
          <w:color w:val="auto"/>
        </w:rPr>
        <w:t>. In the event an LC Issuer enters into a separate reimbursement agreement with the Borrower covering the Facility LCs and the terms of such reimbursement agreement conflict with or contradict the terms of this Agreement, the terms of this Agreement shall control.</w:t>
      </w:r>
    </w:p>
    <w:p>
      <w:pPr>
        <w:spacing w:after="0" w:line="18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Replacement of Lender</w:t>
      </w:r>
      <w:r>
        <w:rPr>
          <w:rFonts w:ascii="Arial" w:cs="Arial" w:eastAsia="Arial" w:hAnsi="Arial"/>
          <w:sz w:val="17"/>
          <w:szCs w:val="17"/>
          <w:color w:val="auto"/>
        </w:rPr>
        <w:t>. If the Borrower is required pursuant to Section 3.1, 3.2 or 3.5 to make any additional payment to any Lender, if any Lender’s obligation to make or continue, or to convert Base Rate Advances into, Eurocurrency Advances is suspended pursuant to Section 3.2(b) or 3.3, or if any Lender declines to approve an amendment or waiver approved by the Required Lenders but that otherwise requires unanimous consent of the Lenders, or if any Lender becomes a Defaulting Lender (any Lender so affected an “</w:t>
      </w:r>
      <w:r>
        <w:rPr>
          <w:rFonts w:ascii="Arial" w:cs="Arial" w:eastAsia="Arial" w:hAnsi="Arial"/>
          <w:sz w:val="17"/>
          <w:szCs w:val="17"/>
          <w:u w:val="single" w:color="auto"/>
          <w:color w:val="auto"/>
        </w:rPr>
        <w:t>Affected Lender</w:t>
      </w:r>
      <w:r>
        <w:rPr>
          <w:rFonts w:ascii="Arial" w:cs="Arial" w:eastAsia="Arial" w:hAnsi="Arial"/>
          <w:sz w:val="17"/>
          <w:szCs w:val="17"/>
          <w:color w:val="auto"/>
        </w:rPr>
        <w:t xml:space="preserve">”), the Borrower may elect, upon such default or declination or if such amounts continue to be charged or such suspension is still effective, to replace such Affected Lender as a Lender party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have elected to replace such Lender within 90 days of the date of the occurrence of the event or circumstance that gives rise to the right of the Borrower to elect to replace such Lender;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Default or Event of Default shall have occurred and be continuing at the time of such replacement,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concurrently with such replacement, (i) another bank or other entity that is reasonably satisfactory to the Borrower and the Administrative Agent and, to the Borrower’s and the Administrative Agent’s reasonable satisfaction, which other bank or entity does not suffer from and is not impacted by the issue or event causing the replacement of the Affected Lender, shall agree, as of such date, to purchase for cash the Advances and other Obligations due to the Affected Lender pursuant to an assignment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to become a Lender for all purposes under this Agreement, to assume all obligations of the Affected Lender to be terminated as of such date and to comply with the requirements of Section 12.3 applicable to assignments, and (ii) the Borrower shall pay to such Affected Lender in same day funds on the day of such replacement (A) all interest, fees and other amounts then accrued but unpaid to such Affected Lender by the Borrower hereunder to and including the date of termination, including without limitation payments due to such Affected Lender under Sections 3.1, 3.2 and 3.5, and (B) an amount, if any, equal to the payment that would have been due to such Lender on the day of such replacement under Section 3.4 had the Loans of such Affected Lender been prepaid on such date rather than sold to the replacement Lender.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52" w:name="page53"/>
    <w:bookmarkEnd w:id="52"/>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2.19. </w:t>
      </w:r>
      <w:r>
        <w:rPr>
          <w:rFonts w:ascii="Arial" w:cs="Arial" w:eastAsia="Arial" w:hAnsi="Arial"/>
          <w:sz w:val="16"/>
          <w:szCs w:val="16"/>
          <w:u w:val="single" w:color="auto"/>
          <w:color w:val="auto"/>
        </w:rPr>
        <w:t>Limitation of Interest</w:t>
      </w:r>
      <w:r>
        <w:rPr>
          <w:rFonts w:ascii="Arial" w:cs="Arial" w:eastAsia="Arial" w:hAnsi="Arial"/>
          <w:sz w:val="16"/>
          <w:szCs w:val="16"/>
          <w:color w:val="auto"/>
        </w:rPr>
        <w:t xml:space="preserve">. The Borrower, the Administrative Agent and the Lenders intend to strictly comply with all applicable laws, including applicable usury laws. Accordingly, the provisions of this Section shall govern and control over every other provision of this Agreement or any other Loan Document that conflicts or is inconsistent with this Section, even if such provision declares that it controls. As used in this Section, the term “interest” includes the aggregate of all charges, fees, benefits or other compensation that constitute interest under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maximum extent permitted by applicable law, (a) any non-principal payment shall be characterized as an expense or as compensation for something other than the use, forbearance or detention of money and not as interest, and (b) all interest at any time contracted for, reserved, charged or received shall be amortized, prorated, allocated and spread, in equal parts during the full term of the Obligations. In no event shall the Borrower or any other Person be obligated to pay, or any Lender have any right or privilege to reserve, receive or retain, (x) any interest in excess of the maximum amount of nonusurious interest permitted under the applicable laws (if any) of the United States or of any applicable state, or (y) total interest in excess of the amount such Lender could lawfully have contracted for, reserved, received, retained or charged had the interest been calculated for the full term of the Obligations at the Highest Lawful Rate. On each day, if any, that the interest rate (the “</w:t>
      </w:r>
      <w:r>
        <w:rPr>
          <w:rFonts w:ascii="Arial" w:cs="Arial" w:eastAsia="Arial" w:hAnsi="Arial"/>
          <w:sz w:val="16"/>
          <w:szCs w:val="16"/>
          <w:u w:val="single" w:color="auto"/>
          <w:color w:val="auto"/>
        </w:rPr>
        <w:t>Stated Rate</w:t>
      </w:r>
      <w:r>
        <w:rPr>
          <w:rFonts w:ascii="Arial" w:cs="Arial" w:eastAsia="Arial" w:hAnsi="Arial"/>
          <w:sz w:val="16"/>
          <w:szCs w:val="16"/>
          <w:color w:val="auto"/>
        </w:rPr>
        <w:t xml:space="preserve">”) called for under this Agreement or any other Loan Document exceeds the Highest Lawful Rate, the rate at which interest shall accrue shall automatically be fixed by operation of this sentence at the Highest Lawful Rate for that day, and shall remain fixed at the Highest Lawful Rate for each day thereafter until the total amount of interest accrued equals the total amount of interest that would have accrued if there were no such ceiling rate as is imposed by this sentence. Thereafter, interest shall accrue at the Stated Rate unless and until the Stated Rate again exceeds the Highest Lawful Rate, at which time the provisions of the immediately preceding sentence shall again automatically operate to limit the interest accrual rate. The daily interest rates to be used in calculating interest at the Highest Lawful Rate shall be determined by dividing the applicable Highest Lawful Rate per annum by the number of days in the calendar year for which such calculation is being made. None of the terms and provisions of this Agreement or any other Loan Document that directly or indirectly relate to interest shall ever be construed without reference to this Section, or be construed to create a contract to pay for the use, forbearance or detention of money at an interest rate in excess of the Highest Lawful Rate. If the term of any Obligation is shortened by reason of acceleration of maturity as a result of any Event of Default or by any other cause, or by reason of any required or permitted prepayment, and if for that (or any other) reason any Lender at any time, including but not limited to the stated maturity, is owed or receives (and/or has received) interest in excess of interest calculated at the Highest Lawful Rate, then and in any such event all of any such excess interest shall be canceled automatically as of the date of such acceleration, prepayment or other event, and, if such excess interest has been paid to such Lender, it shall be credited </w:t>
      </w:r>
      <w:r>
        <w:rPr>
          <w:rFonts w:ascii="Arial" w:cs="Arial" w:eastAsia="Arial" w:hAnsi="Arial"/>
          <w:sz w:val="16"/>
          <w:szCs w:val="16"/>
          <w:i w:val="1"/>
          <w:iCs w:val="1"/>
          <w:color w:val="auto"/>
        </w:rPr>
        <w:t>pro tanto</w:t>
      </w:r>
      <w:r>
        <w:rPr>
          <w:rFonts w:ascii="Arial" w:cs="Arial" w:eastAsia="Arial" w:hAnsi="Arial"/>
          <w:sz w:val="16"/>
          <w:szCs w:val="16"/>
          <w:color w:val="auto"/>
        </w:rPr>
        <w:t xml:space="preserve"> against the then-outstanding principal balance of the Borrower’s obligations to such Lender, effective as of the date or dates when the event occurs that causes it to be excess interest, until such excess is exhausted or all of such principal has been fully paid and satisfied, whichever occurs first, and any remaining balance of such excess shall be promptly refunded to its payor.</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right="180" w:firstLine="443"/>
        <w:spacing w:after="0" w:line="277" w:lineRule="auto"/>
        <w:tabs>
          <w:tab w:leader="none" w:pos="68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Defaulting Lender Adjustments</w:t>
      </w:r>
      <w:r>
        <w:rPr>
          <w:rFonts w:ascii="Arial" w:cs="Arial" w:eastAsia="Arial" w:hAnsi="Arial"/>
          <w:sz w:val="18"/>
          <w:szCs w:val="18"/>
          <w:color w:val="auto"/>
        </w:rPr>
        <w:t>. Notwithstanding anything to the contrary contained in this Agreement, if any Lender becomes a Defaulting Lender, then, until such Lender is no longer a Defaulting Lender, to the extent permitted by applicable law:</w:t>
      </w:r>
    </w:p>
    <w:p>
      <w:pPr>
        <w:spacing w:after="0" w:line="62" w:lineRule="exact"/>
        <w:rPr>
          <w:rFonts w:ascii="Arial" w:cs="Arial" w:eastAsia="Arial" w:hAnsi="Arial"/>
          <w:sz w:val="18"/>
          <w:szCs w:val="18"/>
          <w:color w:val="auto"/>
        </w:rPr>
      </w:pPr>
    </w:p>
    <w:p>
      <w:pPr>
        <w:ind w:left="460" w:right="140" w:firstLine="421"/>
        <w:spacing w:after="0" w:line="277" w:lineRule="auto"/>
        <w:tabs>
          <w:tab w:leader="none" w:pos="109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set forth in the definition of “Required Lenders.”</w:t>
      </w:r>
    </w:p>
    <w:p>
      <w:pPr>
        <w:spacing w:after="0" w:line="62" w:lineRule="exact"/>
        <w:rPr>
          <w:rFonts w:ascii="Arial" w:cs="Arial" w:eastAsia="Arial" w:hAnsi="Arial"/>
          <w:sz w:val="18"/>
          <w:szCs w:val="18"/>
          <w:color w:val="auto"/>
        </w:rPr>
      </w:pPr>
    </w:p>
    <w:p>
      <w:pPr>
        <w:ind w:left="460" w:firstLine="421"/>
        <w:spacing w:after="0" w:line="284" w:lineRule="auto"/>
        <w:tabs>
          <w:tab w:leader="none" w:pos="1145"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11.1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to the payment on a pro rata basis of any amounts owing by such Defaulting Lender to the LC Issuers or Swing Line Lender hereunder;</w:t>
      </w:r>
      <w:r>
        <w:rPr>
          <w:rFonts w:ascii="Arial" w:cs="Arial" w:eastAsia="Arial" w:hAnsi="Arial"/>
          <w:sz w:val="16"/>
          <w:szCs w:val="16"/>
          <w:i w:val="1"/>
          <w:iCs w:val="1"/>
          <w:color w:val="auto"/>
        </w:rPr>
        <w:t xml:space="preserve"> third</w:t>
      </w:r>
      <w:r>
        <w:rPr>
          <w:rFonts w:ascii="Arial" w:cs="Arial" w:eastAsia="Arial" w:hAnsi="Arial"/>
          <w:sz w:val="16"/>
          <w:szCs w:val="16"/>
          <w:color w:val="auto"/>
        </w:rPr>
        <w:t>, to Cash Collateralize the LC Issuers’ Fronting Exposure with respect to such Defaulting Lender in accordance with Section 2.17.11;</w:t>
      </w:r>
      <w:r>
        <w:rPr>
          <w:rFonts w:ascii="Arial" w:cs="Arial" w:eastAsia="Arial" w:hAnsi="Arial"/>
          <w:sz w:val="16"/>
          <w:szCs w:val="16"/>
          <w:i w:val="1"/>
          <w:iCs w:val="1"/>
          <w:color w:val="auto"/>
        </w:rPr>
        <w:t xml:space="preserve"> fourth</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Facility LCs, in accordance with Section 2.17.11;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LC Issuers, or the Swing Line Lender as a result of any judgment of a court of competent jurisdiction obtained by any Lender, any LC Issuer, or the Swing Line Lenders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Obligations in respect of which such Defaulting Lender has not fully funded its appropriate share, and (y) such Loans were made or the related Facility LCs were issued at a time when the conditions set forth in Section 4.2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700" w:top="274" w:right="239" w:bottom="1440" w:gutter="0" w:footer="0" w:header="0"/>
        </w:sectPr>
      </w:pPr>
    </w:p>
    <w:bookmarkStart w:id="54" w:name="page55"/>
    <w:bookmarkEnd w:id="54"/>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participations in LC Obligations and Swing Line Loans are held by the Lenders pro rata in accordance with the Commitments under the applicable facility without giving effect to Section 2.20(a)(iv). Any payments, prepayments or other amounts paid or payable to a Defaulting Lender that are applied (or held) to pay amounts owed by a Defaulting Lender or to post Cash Collateral pursuant to this Section 2.20(a)(ii) shall be deemed paid to and redirected by such Defaulting Lender, and each Lender irrevocably consents hereto.</w:t>
      </w:r>
    </w:p>
    <w:p>
      <w:pPr>
        <w:spacing w:after="0" w:line="63" w:lineRule="exact"/>
        <w:rPr>
          <w:sz w:val="20"/>
          <w:szCs w:val="20"/>
          <w:color w:val="auto"/>
        </w:rPr>
      </w:pPr>
    </w:p>
    <w:p>
      <w:pPr>
        <w:ind w:left="740" w:hanging="319"/>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80" w:firstLine="389"/>
        <w:spacing w:after="0" w:line="264" w:lineRule="auto"/>
        <w:tabs>
          <w:tab w:leader="none" w:pos="1272"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any fees pursuant to Section 2.3 for any period during which that Lender is a Defaulting Lender (and the Borrower shall not be required to pay any such fee that otherwise would have been required to have been paid to that Defaulting Lender).</w:t>
      </w:r>
    </w:p>
    <w:p>
      <w:pPr>
        <w:spacing w:after="0" w:line="73" w:lineRule="exact"/>
        <w:rPr>
          <w:rFonts w:ascii="Arial" w:cs="Arial" w:eastAsia="Arial" w:hAnsi="Arial"/>
          <w:sz w:val="18"/>
          <w:szCs w:val="18"/>
          <w:color w:val="auto"/>
        </w:rPr>
      </w:pPr>
    </w:p>
    <w:p>
      <w:pPr>
        <w:jc w:val="both"/>
        <w:ind w:left="580" w:right="300" w:firstLine="389"/>
        <w:spacing w:after="0" w:line="264" w:lineRule="auto"/>
        <w:tabs>
          <w:tab w:leader="none" w:pos="1262"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Defaulting Lender shall be entitled to receive LC Fees for any period during which that Lender is a Defaulting Lender only to the extent allocable to its Revolving Percentage of the stated amount of Facility LCs for which it has provided Cash Collateral pursuant to Section 2.17.11.</w:t>
      </w:r>
    </w:p>
    <w:p>
      <w:pPr>
        <w:spacing w:after="0" w:line="73" w:lineRule="exact"/>
        <w:rPr>
          <w:rFonts w:ascii="Arial" w:cs="Arial" w:eastAsia="Arial" w:hAnsi="Arial"/>
          <w:sz w:val="18"/>
          <w:szCs w:val="18"/>
          <w:color w:val="auto"/>
        </w:rPr>
      </w:pPr>
    </w:p>
    <w:p>
      <w:pPr>
        <w:ind w:left="580" w:right="120" w:firstLine="389"/>
        <w:spacing w:after="0" w:line="273" w:lineRule="auto"/>
        <w:tabs>
          <w:tab w:leader="none" w:pos="1262" w:val="left"/>
        </w:tabs>
        <w:numPr>
          <w:ilvl w:val="1"/>
          <w:numId w:val="31"/>
        </w:numPr>
        <w:rPr>
          <w:rFonts w:ascii="Arial" w:cs="Arial" w:eastAsia="Arial" w:hAnsi="Arial"/>
          <w:sz w:val="17"/>
          <w:szCs w:val="17"/>
          <w:color w:val="auto"/>
        </w:rPr>
      </w:pPr>
      <w:r>
        <w:rPr>
          <w:rFonts w:ascii="Arial" w:cs="Arial" w:eastAsia="Arial" w:hAnsi="Arial"/>
          <w:sz w:val="17"/>
          <w:szCs w:val="17"/>
          <w:color w:val="auto"/>
        </w:rPr>
        <w:t>With respect to any LC Fee not required to be paid to any Defaulting Lender pursuant to Section 2.20(a)(iii)(B), the Borrower shall (1) pay to each Non-Defaulting Lender that portion of any such fee otherwise payable to such Defaulting Lender with respect to such Defaulting Lender’s participation in LC Obligations or Swing Line Loans that has been reallocated to such Non-Defaulting Lender pursuant to Section 2.20(a)(iv), (2) pay to each LC Issuer and Swing Line Lender, as applicable, the amount of any such fee otherwise payable to such Defaulting Lender to the extent allocable to such LC Issuer’s or Swing Line Lender’s Fronting Exposure to such Defaulting Lender, and (3) not be required to pay the remaining amount of any such fee.</w:t>
      </w:r>
    </w:p>
    <w:p>
      <w:pPr>
        <w:spacing w:after="0" w:line="70" w:lineRule="exact"/>
        <w:rPr>
          <w:rFonts w:ascii="Arial" w:cs="Arial" w:eastAsia="Arial" w:hAnsi="Arial"/>
          <w:sz w:val="17"/>
          <w:szCs w:val="17"/>
          <w:color w:val="auto"/>
        </w:rPr>
      </w:pPr>
    </w:p>
    <w:p>
      <w:pPr>
        <w:ind w:right="140" w:firstLine="421"/>
        <w:spacing w:after="0" w:line="270" w:lineRule="auto"/>
        <w:tabs>
          <w:tab w:leader="none" w:pos="725"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Reallocation of Participations to Reduce Fronting Exposure</w:t>
      </w:r>
      <w:r>
        <w:rPr>
          <w:rFonts w:ascii="Arial" w:cs="Arial" w:eastAsia="Arial" w:hAnsi="Arial"/>
          <w:sz w:val="17"/>
          <w:szCs w:val="17"/>
          <w:color w:val="auto"/>
        </w:rPr>
        <w:t>. All or any part of such Defaulting Lender’s participation in LC Obligations and Swing Line Loans shall be reallocated among the Non-Defaulting Lenders in accordance with their respective Revolving Percentages (calculated without regard to such Defaulting Lender’s Revolving Commitment) but only to the extent that (A) the conditions set forth in Section 4.2 are satisfied at the time of such reallocation (and, unless the Borrower has otherwise notified the Administrative Agent at such time, the Borrower shall be deemed to have represented and warranted that such conditions are satisfied at such time), and (B) such reallocation does not cause the aggregate Revolving Credit Exposure of any Non-Defaulting Lender to exceed such Non-Defaulting Lender’s Revolving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73" w:lineRule="exact"/>
        <w:rPr>
          <w:rFonts w:ascii="Arial" w:cs="Arial" w:eastAsia="Arial" w:hAnsi="Arial"/>
          <w:sz w:val="17"/>
          <w:szCs w:val="17"/>
          <w:color w:val="auto"/>
        </w:rPr>
      </w:pPr>
    </w:p>
    <w:p>
      <w:pPr>
        <w:ind w:right="140" w:firstLine="421"/>
        <w:spacing w:after="0" w:line="259" w:lineRule="auto"/>
        <w:tabs>
          <w:tab w:leader="none" w:pos="67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If the reallocation described in Section 2.20(a)(iv) cannot, or can only partially, be effected, the Borrower shall, without prejudice to any right or remedy available to it hereunder or under law, (A) first, prepay Swing Line Loans in an amount equal to the Swing Line Lender’s Fronting Exposure and (B) second, Cash Collateralize each LC Issuer’s Fronting Exposure in accordance with the procedures set forth in Section 2.17.11.</w:t>
      </w:r>
    </w:p>
    <w:p>
      <w:pPr>
        <w:spacing w:after="0" w:line="11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00"/>
          </w:cols>
          <w:pgMar w:left="1160" w:top="274" w:right="239" w:bottom="1440" w:gutter="0" w:footer="0" w:header="0"/>
        </w:sectPr>
      </w:pPr>
    </w:p>
    <w:bookmarkStart w:id="55" w:name="page56"/>
    <w:bookmarkEnd w:id="55"/>
    <w:p>
      <w:pPr>
        <w:ind w:firstLine="443"/>
        <w:spacing w:after="0" w:line="270" w:lineRule="auto"/>
        <w:tabs>
          <w:tab w:leader="none" w:pos="693"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Defaulting Lender Cure</w:t>
      </w:r>
      <w:r>
        <w:rPr>
          <w:rFonts w:ascii="Arial" w:cs="Arial" w:eastAsia="Arial" w:hAnsi="Arial"/>
          <w:sz w:val="17"/>
          <w:szCs w:val="17"/>
          <w:color w:val="auto"/>
        </w:rPr>
        <w:t xml:space="preserve">. If the Borrower, the Administrative Agent, the Swing Line Lender, and each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Facility LCs and Swing Line Loans to be held pro rata by the Lenders in accordance with the Commitments under the applicable facility (without giving effect to Section 2.20(a)(iv)),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69" w:lineRule="exact"/>
        <w:rPr>
          <w:rFonts w:ascii="Arial" w:cs="Arial" w:eastAsia="Arial" w:hAnsi="Arial"/>
          <w:sz w:val="17"/>
          <w:szCs w:val="17"/>
          <w:color w:val="auto"/>
        </w:rPr>
      </w:pPr>
    </w:p>
    <w:p>
      <w:pPr>
        <w:ind w:right="220" w:firstLine="443"/>
        <w:spacing w:after="0" w:line="259" w:lineRule="auto"/>
        <w:tabs>
          <w:tab w:leader="none" w:pos="68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New Swing Line Loans/Facility LCs</w:t>
      </w:r>
      <w:r>
        <w:rPr>
          <w:rFonts w:ascii="Arial" w:cs="Arial" w:eastAsia="Arial" w:hAnsi="Arial"/>
          <w:sz w:val="18"/>
          <w:szCs w:val="18"/>
          <w:color w:val="auto"/>
        </w:rPr>
        <w:t>. So long as any Lender is a Defaulting Lender, (i) the Swing Line Lender shall not be required to fund any Swing Line Loans unless it is satisfied that it will have no Fronting Exposure after giving effect to such Swing Line Loan and (ii) no LC Issuer shall be required to issue, extend, renew or increase any Facility LC unless it is satisfied that it will have no Fronting Exposure after giving effect thereto.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117" w:lineRule="exact"/>
        <w:rPr>
          <w:sz w:val="20"/>
          <w:szCs w:val="20"/>
          <w:color w:val="auto"/>
        </w:rPr>
      </w:pPr>
    </w:p>
    <w:p>
      <w:pPr>
        <w:ind w:firstLine="443"/>
        <w:spacing w:after="0" w:line="273" w:lineRule="auto"/>
        <w:tabs>
          <w:tab w:leader="none" w:pos="683"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Amount of Swing Line Loans</w:t>
      </w:r>
      <w:r>
        <w:rPr>
          <w:rFonts w:ascii="Arial" w:cs="Arial" w:eastAsia="Arial" w:hAnsi="Arial"/>
          <w:sz w:val="17"/>
          <w:szCs w:val="17"/>
          <w:color w:val="auto"/>
        </w:rPr>
        <w:t xml:space="preserve">. Upon the satisfaction of the conditions precedent set forth in Sections 4.2 and, if such Swing Line Loan is to be made on the Closing Date, the satisfaction of the conditions precedent set forth in Section 4.1, from and including the Closing Date and prior to the Facility Termination Date, the Swing Line Lender may, at its option and in its sole discretion, on the terms and conditions set forth in this Agreement, make Swing Line Loans in Dollars to the Borrower from time to time in an aggregate principal amount not to exceed the Swing Line Sublimit, provided that the Aggregate Revolving Credit Exposure shall not at any time exceed the Aggregate Revolving Commitment, and provided further that at no time shall the sum of (i) the Swing Line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outstanding Revolving Loans made by the Swing Line</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700" w:top="274" w:right="259" w:bottom="1440" w:gutter="0" w:footer="0" w:header="0"/>
        </w:sectPr>
      </w:pPr>
    </w:p>
    <w:bookmarkStart w:id="56" w:name="page57"/>
    <w:bookmarkEnd w:id="56"/>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Lender pursuant to Section 2.1,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Swing Line Lender’s Revolving Percentage of the LC Obligations, exceed the Swing Line Lender’s Revolving Commitment at such time. Subject to the terms of this Agreement (including without limitation the discretion of the Swing Line Lender), the Borrower may borrow, repay and reborrow Swing Line Loans at any time prior to the Facility Termination Date.</w:t>
      </w:r>
    </w:p>
    <w:p>
      <w:pPr>
        <w:spacing w:after="0" w:line="73" w:lineRule="exact"/>
        <w:rPr>
          <w:sz w:val="20"/>
          <w:szCs w:val="20"/>
          <w:color w:val="auto"/>
        </w:rPr>
      </w:pPr>
    </w:p>
    <w:p>
      <w:pPr>
        <w:ind w:right="240" w:firstLine="443"/>
        <w:spacing w:after="0" w:line="312" w:lineRule="auto"/>
        <w:tabs>
          <w:tab w:leader="none" w:pos="693"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Borrowing Notice</w:t>
      </w:r>
      <w:r>
        <w:rPr>
          <w:rFonts w:ascii="Arial" w:cs="Arial" w:eastAsia="Arial" w:hAnsi="Arial"/>
          <w:sz w:val="16"/>
          <w:szCs w:val="16"/>
          <w:color w:val="auto"/>
        </w:rPr>
        <w:t>. The Borrower shall deliver to the Administrative Agent and the Swing Line Lender irrevocable notice (a “</w:t>
      </w:r>
      <w:r>
        <w:rPr>
          <w:rFonts w:ascii="Arial" w:cs="Arial" w:eastAsia="Arial" w:hAnsi="Arial"/>
          <w:sz w:val="16"/>
          <w:szCs w:val="16"/>
          <w:u w:val="single" w:color="auto"/>
          <w:color w:val="auto"/>
        </w:rPr>
        <w:t>Swing Line</w:t>
      </w:r>
      <w:r>
        <w:rPr>
          <w:rFonts w:ascii="Arial" w:cs="Arial" w:eastAsia="Arial" w:hAnsi="Arial"/>
          <w:sz w:val="16"/>
          <w:szCs w:val="16"/>
          <w:color w:val="auto"/>
        </w:rPr>
        <w:t xml:space="preserve"> </w:t>
      </w:r>
      <w:r>
        <w:rPr>
          <w:rFonts w:ascii="Arial" w:cs="Arial" w:eastAsia="Arial" w:hAnsi="Arial"/>
          <w:sz w:val="16"/>
          <w:szCs w:val="16"/>
          <w:u w:val="single" w:color="auto"/>
          <w:color w:val="auto"/>
        </w:rPr>
        <w:t>Borrowing Notice</w:t>
      </w:r>
      <w:r>
        <w:rPr>
          <w:rFonts w:ascii="Arial" w:cs="Arial" w:eastAsia="Arial" w:hAnsi="Arial"/>
          <w:sz w:val="16"/>
          <w:szCs w:val="16"/>
          <w:color w:val="auto"/>
        </w:rPr>
        <w:t>”) not later than noon (Minneapolis time) on the Borrowing Date of each Swing Line Loan specifying (i) the applicable Borrowing Date (which shall be a Business Day) and (ii) the aggregate amount of the requested Swing Line Loan, which shall not be less than $250,000.</w:t>
      </w:r>
    </w:p>
    <w:p>
      <w:pPr>
        <w:spacing w:after="0" w:line="38" w:lineRule="exact"/>
        <w:rPr>
          <w:rFonts w:ascii="Arial" w:cs="Arial" w:eastAsia="Arial" w:hAnsi="Arial"/>
          <w:sz w:val="16"/>
          <w:szCs w:val="16"/>
          <w:color w:val="auto"/>
        </w:rPr>
      </w:pPr>
    </w:p>
    <w:p>
      <w:pPr>
        <w:ind w:right="40" w:firstLine="443"/>
        <w:spacing w:after="0" w:line="255" w:lineRule="auto"/>
        <w:tabs>
          <w:tab w:leader="none" w:pos="68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Making of Swing Line Loans; Participations</w:t>
      </w:r>
      <w:r>
        <w:rPr>
          <w:rFonts w:ascii="Arial" w:cs="Arial" w:eastAsia="Arial" w:hAnsi="Arial"/>
          <w:sz w:val="18"/>
          <w:szCs w:val="18"/>
          <w:color w:val="auto"/>
        </w:rPr>
        <w:t>. Not later than 2:00 p.m. (Minneapolis time) on the applicable Borrowing Date, the Swing Line Lender shall make available the Swing Line Loan, in funds immediately available, to the Administrative Agent at its address specified pursuant to Article XIII. The Administrative Agent will promptly make such funds available to the Borrower on the Borrowing Date at such address. Each time the Swing Line Lender makes a Swing Line Loan, the Swing Line Lender shall be deemed, without further action by any party hereto, to have unconditionally and irrevocably sold to each Lender and each Lender shall be deemed, without further action by any party hereto, to have unconditionally and irrevocably purchased from the Swing Line Lender a participation in such Swing Line Loan in proportion to its Revolving Percentage.</w:t>
      </w:r>
    </w:p>
    <w:p>
      <w:pPr>
        <w:spacing w:after="0" w:line="81" w:lineRule="exact"/>
        <w:rPr>
          <w:rFonts w:ascii="Arial" w:cs="Arial" w:eastAsia="Arial" w:hAnsi="Arial"/>
          <w:sz w:val="18"/>
          <w:szCs w:val="18"/>
          <w:color w:val="auto"/>
        </w:rPr>
      </w:pPr>
    </w:p>
    <w:p>
      <w:pPr>
        <w:ind w:firstLine="443"/>
        <w:spacing w:after="0" w:line="286" w:lineRule="auto"/>
        <w:tabs>
          <w:tab w:leader="none" w:pos="693"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Repayment of Swing Line Loans</w:t>
      </w:r>
      <w:r>
        <w:rPr>
          <w:rFonts w:ascii="Arial" w:cs="Arial" w:eastAsia="Arial" w:hAnsi="Arial"/>
          <w:sz w:val="16"/>
          <w:szCs w:val="16"/>
          <w:color w:val="auto"/>
        </w:rPr>
        <w:t>. The Borrower shall pay each Swing Line Loan in full on the date selected by the Administrative Agent. In addition, the Swing Line Lender may at any time in its sole discretion with respect to any outstanding Swing Line Loan require each Lender to fund the participation acquired by such Lender pursuant to Section 2.21(c) or require each Lender (including the Swing Line Lender) to make a Revolving Loan in the amount of such Lender’s Revolving Percentage of such Swing Line Loan (including, without limitation, any interest accrued and unpaid thereon) for the purpose of repaying such Swing Line Loan. Not later than noon (Minneapolis time) on the date of any notice received pursuant to this Section, each Lender shall make available its required Revolving Loan, in funds immediately available to the Administrative Agent at its address specified pursuant to Article XIII. Revolving Loans made pursuant to this Section shall initially be Base Rate Loans and thereafter may be continued as Base Rate Loans or converted into Eurocurrency Loans in the manner provided in Section 2.7 and subject to the other conditions and limitations set forth in this Article II. Unless a Lender notifies the Swing Line Lender, prior to its making any Swing Line Loan, that any applicable condition precedent set forth in Section 4.1 or 4.2 has not been satisfied, such Lender’s obligation to make Revolving Loans pursuant to this Section to repay Swing Line Loans or to fund the participation acquired pursuant to Section 2.21(c) shall be unconditional, continuing, irrevocable and absolute and shall not be affected by any circumstances, including, without limitation, (a) any set-off, counterclaim, recoupment, defense or other right that such Lender may have against the Borrower, the Administrative Agent, the Swing Line Lender or any other Person, (b) the occurrence or continuance of a</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700" w:top="274" w:right="239" w:bottom="1440" w:gutter="0" w:footer="0" w:header="0"/>
        </w:sectPr>
      </w:pPr>
    </w:p>
    <w:bookmarkStart w:id="57" w:name="page58"/>
    <w:bookmarkEnd w:id="57"/>
    <w:p>
      <w:pPr>
        <w:ind w:left="4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or Event of Default, (c) any adverse change in the condition (financial or otherwise) of the Borrower, or (d) any other circumstances, happening or event whatsoever. In the event that any Lender fails to make payment to the Administrative Agent of any amount due under this Section, interest shall accrue thereon at the Federal Funds Effective Rate for each day during the period commencing on the date of demand and ending on the date such amount is received, and the Administrative Agent shall be entitled to receive, retain and apply against such obligation the principal and interest otherwise payable to such Lender hereunder until the Administrative Agent receives such payment from such Lender or such obligation is otherwise fully satisfied. On the Facility Termination Date, the Borrower shall repay in full the outstanding principal balance of the Swing Line Loans.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YIELD PROTECTION; TAXES</w:t>
      </w:r>
    </w:p>
    <w:p>
      <w:pPr>
        <w:spacing w:after="0" w:line="21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Yield Protection</w:t>
      </w:r>
      <w:r>
        <w:rPr>
          <w:rFonts w:ascii="Arial" w:cs="Arial" w:eastAsia="Arial" w:hAnsi="Arial"/>
          <w:sz w:val="17"/>
          <w:szCs w:val="17"/>
          <w:color w:val="auto"/>
        </w:rPr>
        <w:t>. If, on or after the Closing Date, the adoption of any law or any governmental or quasi-governmental rule, regulation, policy, guideline or directive (whether or not having the force of law), any change in the interpretation, promulgation, implementation or administration thereof, including, notwithstanding the foregoing, all requests, rules, guidelines or directives in connection with the Dodd-Frank Wall Street Reform and Consumer Protection Act regardless of the date enacted, adopted or issued and all requests, rules, guidelines or directives promulgated by the Bank for International Settlements, the Basel Committee on Banking Supervision (or any successor or similar authority) or the United States financial regulatory authorities, in each case pursuant to Basel III, regardless of the date adopted, issued, promulgated or implemented, by any Governmental Authority, central bank or comparable agency charged with the interpretation or administration thereof or compliance by any Lender or applicable Lending Installation or any LC Issuer with any request or directive (whether or not having the force of law) of any such authority, central bank or comparable agency related to such new adoption, interpretation or decision (a “</w:t>
      </w:r>
      <w:r>
        <w:rPr>
          <w:rFonts w:ascii="Arial" w:cs="Arial" w:eastAsia="Arial" w:hAnsi="Arial"/>
          <w:sz w:val="17"/>
          <w:szCs w:val="17"/>
          <w:u w:val="single" w:color="auto"/>
          <w:color w:val="auto"/>
        </w:rPr>
        <w:t>Regulatory Change</w:t>
      </w:r>
      <w:r>
        <w:rPr>
          <w:rFonts w:ascii="Arial" w:cs="Arial" w:eastAsia="Arial" w:hAnsi="Arial"/>
          <w:sz w:val="17"/>
          <w:szCs w:val="17"/>
          <w:color w:val="auto"/>
        </w:rPr>
        <w:t>”):</w:t>
      </w:r>
    </w:p>
    <w:p>
      <w:pPr>
        <w:spacing w:after="0" w:line="74" w:lineRule="exact"/>
        <w:rPr>
          <w:sz w:val="20"/>
          <w:szCs w:val="20"/>
          <w:color w:val="auto"/>
        </w:rPr>
      </w:pPr>
    </w:p>
    <w:p>
      <w:pPr>
        <w:ind w:left="1140" w:hanging="237"/>
        <w:spacing w:after="0"/>
        <w:tabs>
          <w:tab w:leader="none" w:pos="11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subjects any Lender or applicable Lending Installation or any LC Issuer to any Taxes, or changes the basis of taxation of payments (other than</w:t>
      </w:r>
    </w:p>
    <w:p>
      <w:pPr>
        <w:spacing w:after="0" w:line="46" w:lineRule="exact"/>
        <w:rPr>
          <w:rFonts w:ascii="Arial" w:cs="Arial" w:eastAsia="Arial" w:hAnsi="Arial"/>
          <w:sz w:val="16"/>
          <w:szCs w:val="16"/>
          <w:color w:val="auto"/>
        </w:rPr>
      </w:pPr>
    </w:p>
    <w:p>
      <w:pPr>
        <w:ind w:left="460" w:right="220" w:firstLine="4"/>
        <w:spacing w:after="0" w:line="261" w:lineRule="auto"/>
        <w:tabs>
          <w:tab w:leader="none" w:pos="7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Indemnified Taxes, (B) Taxes described in clauses (b) through (d) of the definition of Excluded Taxes, and (C) Connection Income Taxes) to any Lender or any LC Issuer in respect of its Eurocurrency Loans, Facility LCs or participations therein,</w:t>
      </w:r>
    </w:p>
    <w:p>
      <w:pPr>
        <w:spacing w:after="0" w:line="75" w:lineRule="exact"/>
        <w:rPr>
          <w:rFonts w:ascii="Arial" w:cs="Arial" w:eastAsia="Arial" w:hAnsi="Arial"/>
          <w:sz w:val="18"/>
          <w:szCs w:val="18"/>
          <w:color w:val="auto"/>
        </w:rPr>
      </w:pPr>
    </w:p>
    <w:p>
      <w:pPr>
        <w:ind w:left="460" w:right="280" w:firstLine="443"/>
        <w:spacing w:after="0" w:line="286" w:lineRule="auto"/>
        <w:tabs>
          <w:tab w:leader="none" w:pos="1153" w:val="left"/>
        </w:tabs>
        <w:numPr>
          <w:ilvl w:val="1"/>
          <w:numId w:val="36"/>
        </w:numPr>
        <w:rPr>
          <w:rFonts w:ascii="Arial" w:cs="Arial" w:eastAsia="Arial" w:hAnsi="Arial"/>
          <w:sz w:val="17"/>
          <w:szCs w:val="17"/>
          <w:color w:val="auto"/>
        </w:rPr>
      </w:pPr>
      <w:r>
        <w:rPr>
          <w:rFonts w:ascii="Arial" w:cs="Arial" w:eastAsia="Arial" w:hAnsi="Arial"/>
          <w:sz w:val="17"/>
          <w:szCs w:val="17"/>
          <w:color w:val="auto"/>
        </w:rPr>
        <w:t>imposes, increases or deems applicable any reserve, assessment, insurance charge, special deposit or similar requirement against assets of, deposits with or for the account of, or credit extended by, any Lender or applicable Lending Installation or any LC Issuer (other than reserves and assessments taken into account in determining the interest rate applicable to Eurocurrency Advances), or</w:t>
      </w:r>
    </w:p>
    <w:p>
      <w:pPr>
        <w:spacing w:after="0" w:line="57" w:lineRule="exact"/>
        <w:rPr>
          <w:rFonts w:ascii="Arial" w:cs="Arial" w:eastAsia="Arial" w:hAnsi="Arial"/>
          <w:sz w:val="17"/>
          <w:szCs w:val="17"/>
          <w:color w:val="auto"/>
        </w:rPr>
      </w:pPr>
    </w:p>
    <w:p>
      <w:pPr>
        <w:ind w:left="460" w:right="60" w:firstLine="443"/>
        <w:spacing w:after="0" w:line="286" w:lineRule="auto"/>
        <w:tabs>
          <w:tab w:leader="none" w:pos="1143" w:val="left"/>
        </w:tabs>
        <w:numPr>
          <w:ilvl w:val="1"/>
          <w:numId w:val="36"/>
        </w:numPr>
        <w:rPr>
          <w:rFonts w:ascii="Arial" w:cs="Arial" w:eastAsia="Arial" w:hAnsi="Arial"/>
          <w:sz w:val="17"/>
          <w:szCs w:val="17"/>
          <w:color w:val="auto"/>
        </w:rPr>
      </w:pPr>
      <w:r>
        <w:rPr>
          <w:rFonts w:ascii="Arial" w:cs="Arial" w:eastAsia="Arial" w:hAnsi="Arial"/>
          <w:sz w:val="17"/>
          <w:szCs w:val="17"/>
          <w:color w:val="auto"/>
        </w:rPr>
        <w:t>imposes any other condition the result of which is to increase the cost to any Lender or applicable Lending Installation or any LC Issuer of making, funding or maintaining its Eurocurrency Loans, or of issuing or participating in Facility LCs, reduces any amount receivable by any Lender or applicable Lending Installation or any LC Issuer in connection with its Eurocurrency Loans, Facility LCs or participations therein,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58" w:name="page59"/>
    <w:bookmarkEnd w:id="58"/>
    <w:p>
      <w:pPr>
        <w:ind w:left="460"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requires any Lender or applicable Lending Installation or any LC Issuer to make any payment calculated by reference to the amount of Eurocurrency Loans, Facility LCs or participations therein held or interest or LC Fees received by it, by an amount deemed material by such Lender or such LC Issuer as the case may be,</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and the result of any of the foregoing is to increase the cost to such Lender or applicable Lending Installation or such LC Issuer, as the case may be, of making or maintaining its Eurocurrency Loans or Commitment or of issuing or participating in Facility LCs or to reduce the return received by such Lender or applicable Lending Installation or such LC Issuer, as the case may be, in connection with such Eurocurrency Loans or Commitment, Facility LCs or participations therein, then, within 15 days of demand by such Lender or such LC Issuer, as the case may be, the Borrower shall pay such Lender or such LC Issuer, as the case may be, such additional amounts as will compensate such Lender or such LC Issuer, as the case may be, for such increased cost or reduction in amount received.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Changes in Capital Adequacy Regulations</w:t>
      </w:r>
      <w:r>
        <w:rPr>
          <w:rFonts w:ascii="Arial" w:cs="Arial" w:eastAsia="Arial" w:hAnsi="Arial"/>
          <w:sz w:val="18"/>
          <w:szCs w:val="18"/>
          <w:color w:val="auto"/>
        </w:rPr>
        <w:t>.</w:t>
      </w:r>
    </w:p>
    <w:p>
      <w:pPr>
        <w:spacing w:after="0" w:line="117" w:lineRule="exact"/>
        <w:rPr>
          <w:sz w:val="20"/>
          <w:szCs w:val="20"/>
          <w:color w:val="auto"/>
        </w:rPr>
      </w:pPr>
    </w:p>
    <w:p>
      <w:pPr>
        <w:ind w:left="460" w:firstLine="443"/>
        <w:spacing w:after="0" w:line="285" w:lineRule="auto"/>
        <w:tabs>
          <w:tab w:leader="none" w:pos="11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any Lender or any LC Issuer reasonably determines the amount of capital or liquidity required or expected to be maintained by such Lender or such LC Issuer, any Lending Installation of such Lender or such LC Issuer or any corporation controlling such Lender or such LC Issuer is increased as a result of a Change, then, within 15 days of demand by such Lender or such LC Issuer, the Borrower shall pay such Lender or such LC Issuer the amount necessary to compensate for any shortfall in the rate of return on the portion of such increased capital that such Lender or such LC Issuer determines is attributable to this Agreement, its Outstanding Credit Exposure or its Commitment to make Loans and issue or participate in Facility LCs, as the case may be, hereunder (after taking into account such Lender’s or such LC Issuer’s policies as to capital adequacy). “</w:t>
      </w:r>
      <w:r>
        <w:rPr>
          <w:rFonts w:ascii="Arial" w:cs="Arial" w:eastAsia="Arial" w:hAnsi="Arial"/>
          <w:sz w:val="16"/>
          <w:szCs w:val="16"/>
          <w:u w:val="single" w:color="auto"/>
          <w:color w:val="auto"/>
        </w:rPr>
        <w:t>Change</w:t>
      </w:r>
      <w:r>
        <w:rPr>
          <w:rFonts w:ascii="Arial" w:cs="Arial" w:eastAsia="Arial" w:hAnsi="Arial"/>
          <w:sz w:val="16"/>
          <w:szCs w:val="16"/>
          <w:color w:val="auto"/>
        </w:rPr>
        <w:t>” means (i) any change on or after the Closing Date in the Risk-Based Capital Guidelines or (ii) any adoption of or change in any other law, governmental or quasi-governmental rule, regulation, policy, guideline, interpretation or directive (whether or not having the force of law) or in the interpretation, promulgation, implementation or administration thereof after the Closing Date that affects the amount of capital required or expected to be maintained by any Lender, any LC Issuer, any Lending Installation or any corporation controlling any Lender or any LC Issuer. Notwithstanding the foregoing, for purposes of this Agreement, all requests, rules, guidelines or directives in connection with the Dodd-Frank Wall Street Reform and Consumer Protection Act shall be deemed to be a Change regardless of the date enacted, adopted or issued and all requests, rules, guidelines or directives promulgated by the Bank for International Settlements, the Basel Committee on Banking Supervision (or any successor or similar authority) or the United States financial regulatory authorities, in each case pursuant to Basel III, shall be deemed to be a Change regardless of the date adopted, issued, promulgated or implemented. “</w:t>
      </w:r>
      <w:r>
        <w:rPr>
          <w:rFonts w:ascii="Arial" w:cs="Arial" w:eastAsia="Arial" w:hAnsi="Arial"/>
          <w:sz w:val="16"/>
          <w:szCs w:val="16"/>
          <w:u w:val="single" w:color="auto"/>
          <w:color w:val="auto"/>
        </w:rPr>
        <w:t>Risk-Based Capital Guidelines</w:t>
      </w:r>
      <w:r>
        <w:rPr>
          <w:rFonts w:ascii="Arial" w:cs="Arial" w:eastAsia="Arial" w:hAnsi="Arial"/>
          <w:sz w:val="16"/>
          <w:szCs w:val="16"/>
          <w:color w:val="auto"/>
        </w:rPr>
        <w:t>” means (i) the risk-based capital guidelines in effect in the United States on the Closing Date, including transition rules, and (ii) the corresponding capital regulations promulgated by regulatory authorities outside the United States, including transition rules, and any amendments to such regulations adopted prior to the Closing Date.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9" w:name="page60"/>
    <w:bookmarkEnd w:id="59"/>
    <w:p>
      <w:pPr>
        <w:ind w:left="460" w:firstLine="443"/>
        <w:spacing w:after="0" w:line="285" w:lineRule="auto"/>
        <w:tabs>
          <w:tab w:leader="none" w:pos="1153"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Lender determines that any Change has made it unlawful for such Lender or its applicable Lending Installation to make, maintain or fund Eurocurrency Advances, or to determine or charge interest rates based upon the Eurocurrency Base Rate, then, on notice thereof by such Lender to the Borrower through the Administrative Agent, (i) any obligation of such Lender to make or continue, or to convert any Advances to, Eurocurrency Advances shall be suspended, and (ii) if applicable after the Closing Date, such notice asserts the illegality of such Lender making or maintaining Base Rate Advances the interest rate on which is determined by reference to any Eurocurrency Rate component of the Base Rate, the interest rate on which Base Rate Advances of such Lender shall, if necessary to avoid such illegality, be determined by the Administrative Agent without reference to any Eurocurrency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Eurocurrency Advances of such Lender to Base Rate Advances (the interest rate on which Base Rate Advances of such Lender shall, if necessary to avoid such illegality, be determined by the Administrative Agent without reference to any Eurocurrency Rate component of the Base Rate), either on the last day of the Interest Period therefor, if such Lender may lawfully continue to maintain such Eurocurrency Advances to such day, or immediately, if such Lender may not lawfully continue to maintain such Eurocurrency Advances and (y) if such notice asserts the illegality of such Lender determining or charging interest rates based upon the Eurocurrency Rate, the Administrative Agent shall during the period of such suspension compute the Base Rate applicable to such Lender without reference to any Eurocurrency Rate component thereof until the Administrative Agent is advised in writing by such Lender that it is no longer illegal for such Lender to determine or charge interest rates based upon the Eurocurrency Rate. Upon any such prepayment or conversion, the Borrower shall also pay accrued interest on the amount so prepaid or converted.</w:t>
      </w:r>
    </w:p>
    <w:p>
      <w:pPr>
        <w:spacing w:after="0" w:line="17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Availability of Types of Advances; Adequacy of Interest Rate</w:t>
      </w:r>
      <w:r>
        <w:rPr>
          <w:rFonts w:ascii="Arial" w:cs="Arial" w:eastAsia="Arial" w:hAnsi="Arial"/>
          <w:sz w:val="17"/>
          <w:szCs w:val="17"/>
          <w:color w:val="auto"/>
        </w:rPr>
        <w:t>. If the Administrative Agent or the Required Lenders reasonably determine that deposits of a type and maturity appropriate to match fund Eurocurrency Advances are not available to such Lenders in the relevant market or the Administrative Agent, in consultation with the Lenders, reasonably determines that the interest rate applicable to Eurocurrency Advances is not ascertainable or does not adequately and fairly reflect the cost of making or maintaining Eurocurrency Advances, then the Administrative Agent shall suspend the availability of Eurocurrency Advances and require any affected Eurocurrency Advances to be repaid or converted to Base Rate Advances, subject to the payment of any funding indemnification amounts required by Section 3.4.</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Funding Indemnification</w:t>
      </w:r>
      <w:r>
        <w:rPr>
          <w:rFonts w:ascii="Arial" w:cs="Arial" w:eastAsia="Arial" w:hAnsi="Arial"/>
          <w:sz w:val="18"/>
          <w:szCs w:val="18"/>
          <w:color w:val="auto"/>
        </w:rPr>
        <w:t>. If any payment of a Eurocurrency Advance occurs on a date that is not the last day of the applicable Interest Period, whether because of acceleration, prepayment or otherwise, or a Eurocurrency Advance is not made on the date specified by the Borrower for any reason other than default by the Lenders, the Borrower will indemnify each Lender for such Lender’s reasonable costs, expenses and Interest Differential (as reasonably determined by such Lender) incurred as a result of such prepayment. “</w:t>
      </w:r>
      <w:r>
        <w:rPr>
          <w:rFonts w:ascii="Arial" w:cs="Arial" w:eastAsia="Arial" w:hAnsi="Arial"/>
          <w:sz w:val="18"/>
          <w:szCs w:val="18"/>
          <w:u w:val="single" w:color="auto"/>
          <w:color w:val="auto"/>
        </w:rPr>
        <w:t>Interest Differential</w:t>
      </w:r>
      <w:r>
        <w:rPr>
          <w:rFonts w:ascii="Arial" w:cs="Arial" w:eastAsia="Arial" w:hAnsi="Arial"/>
          <w:sz w:val="18"/>
          <w:szCs w:val="18"/>
          <w:color w:val="auto"/>
        </w:rPr>
        <w:t>” means the greater of zero and the financial loss incurred by the Lender resulting from prepayment,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60" w:name="page61"/>
    <w:bookmarkEnd w:id="6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calculated as the difference between the amount of interest such Lender would have earned (from the investments in money markets as of the Borrowing Date of such Advance) had prepayment not occurred and the interest such Lender will actually earn (from like investments in money markets as of the date of prepayment) as a result of the redeployment of funds from the prepayment. Because of the short-term nature of this facility, the Borrower agrees that Interest Differential shall not be discounted to its present value.</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Borrower hereby acknowledges that the Borrower shall be required to pay the Interest Differential with respect to any portion of the principal balance paid or that becomes due before its scheduled due date, whether voluntarily, involuntarily, or otherwise, including, without limitation, any principal payment made following default, demand for payment, acceleration, collection proceedings, foreclosure, sale or other disposition of collateral, bankruptcy or other insolvency proceedings, eminent domain, condemnation or otherwise. Such prepayment fee shall at all times be an Obligation as well as an undertaking by the Borrower to the Lenders whether arising out of a voluntary or mandatory prepayment.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1140" w:hanging="237"/>
        <w:spacing w:after="0"/>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For purposes of this Section 3.5, the term “Lender” includes each LC Issuer and the term “applicable law” includes FATCA.</w:t>
      </w:r>
    </w:p>
    <w:p>
      <w:pPr>
        <w:spacing w:after="0" w:line="140" w:lineRule="exact"/>
        <w:rPr>
          <w:rFonts w:ascii="Arial" w:cs="Arial" w:eastAsia="Arial" w:hAnsi="Arial"/>
          <w:sz w:val="16"/>
          <w:szCs w:val="16"/>
          <w:color w:val="auto"/>
        </w:rPr>
      </w:pPr>
    </w:p>
    <w:p>
      <w:pPr>
        <w:ind w:left="460" w:firstLine="443"/>
        <w:spacing w:after="0" w:line="271" w:lineRule="auto"/>
        <w:tabs>
          <w:tab w:leader="none" w:pos="1153"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the Borrower or Guarantor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Guarantor shall be increased as necessary so that after such deduction or withholding has been made (including such deductions and withholdings applicable to additional sums payable under this Section 3.5) the applicable Recipient receives an amount equal to the sum it would have received had no such deduction or withholding been made.</w:t>
      </w:r>
    </w:p>
    <w:p>
      <w:pPr>
        <w:spacing w:after="0" w:line="70" w:lineRule="exact"/>
        <w:rPr>
          <w:rFonts w:ascii="Arial" w:cs="Arial" w:eastAsia="Arial" w:hAnsi="Arial"/>
          <w:sz w:val="17"/>
          <w:szCs w:val="17"/>
          <w:color w:val="auto"/>
        </w:rPr>
      </w:pPr>
    </w:p>
    <w:p>
      <w:pPr>
        <w:ind w:left="460" w:right="400" w:firstLine="443"/>
        <w:spacing w:after="0" w:line="342" w:lineRule="auto"/>
        <w:tabs>
          <w:tab w:leader="none" w:pos="114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Payment of Other Taxes by the Borrower and Guarantors</w:t>
      </w:r>
      <w:r>
        <w:rPr>
          <w:rFonts w:ascii="Arial" w:cs="Arial" w:eastAsia="Arial" w:hAnsi="Arial"/>
          <w:sz w:val="16"/>
          <w:szCs w:val="16"/>
          <w:color w:val="auto"/>
        </w:rPr>
        <w:t>. The Borrower and Guarantors shall timely pay to the relevant Governmental Authority in accordance with applicable law, or at the option of the Administrative Agent timely reimburse it for the payment of, any Other Taxes.</w:t>
      </w:r>
    </w:p>
    <w:p>
      <w:pPr>
        <w:spacing w:after="0" w:line="15" w:lineRule="exact"/>
        <w:rPr>
          <w:rFonts w:ascii="Arial" w:cs="Arial" w:eastAsia="Arial" w:hAnsi="Arial"/>
          <w:sz w:val="16"/>
          <w:szCs w:val="16"/>
          <w:color w:val="auto"/>
        </w:rPr>
      </w:pPr>
    </w:p>
    <w:p>
      <w:pPr>
        <w:ind w:left="460" w:right="40" w:firstLine="443"/>
        <w:spacing w:after="0" w:line="302" w:lineRule="auto"/>
        <w:tabs>
          <w:tab w:leader="none" w:pos="115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and the Guarantors shall jointly and severally indemnify each Recipient, within 10 days after demand therefor, for the full amount of any Indemnified Taxes (including Indemnified Taxes imposed or asserted on or attributable to amounts payable under this Section 3.5) payable or paid by such Recipient or required to be withheld or deducted from a payment to such Recipient and any reasonable expenses arising therefrom or with respect thereto, whether or not such Indemnified Taxes were correctly or legally imposed or asserted by the relevant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61" w:name="page62"/>
    <w:bookmarkEnd w:id="61"/>
    <w:p>
      <w:pPr>
        <w:ind w:right="6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6" w:lineRule="exact"/>
        <w:rPr>
          <w:sz w:val="20"/>
          <w:szCs w:val="20"/>
          <w:color w:val="auto"/>
        </w:rPr>
      </w:pPr>
    </w:p>
    <w:p>
      <w:pPr>
        <w:ind w:left="680" w:hanging="237"/>
        <w:spacing w:after="0"/>
        <w:tabs>
          <w:tab w:leader="none" w:pos="68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Each Lender shall severally indemnify the Administrative Agent, within 10 days after demand therefor, for</w:t>
      </w:r>
    </w:p>
    <w:p>
      <w:pPr>
        <w:spacing w:after="0" w:line="46" w:lineRule="exact"/>
        <w:rPr>
          <w:rFonts w:ascii="Arial" w:cs="Arial" w:eastAsia="Arial" w:hAnsi="Arial"/>
          <w:sz w:val="16"/>
          <w:szCs w:val="16"/>
          <w:color w:val="auto"/>
        </w:rPr>
      </w:pPr>
    </w:p>
    <w:p>
      <w:pPr>
        <w:ind w:firstLine="4"/>
        <w:spacing w:after="0" w:line="268" w:lineRule="auto"/>
        <w:tabs>
          <w:tab w:leader="none" w:pos="21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Indemnified Taxes attributable to such Lender (but only to the extent that the Borrower and Guarantors have not already indemnified the Administrative Agent for such Indemnified Taxes and without limiting the obligation of the Borrower and Guarantors to do so), (ii) any Taxes attributable to such Lender’s failure to comply with the provisions of Section 12.2.4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3.5(e).</w:t>
      </w:r>
    </w:p>
    <w:p>
      <w:pPr>
        <w:spacing w:after="0" w:line="73" w:lineRule="exact"/>
        <w:rPr>
          <w:rFonts w:ascii="Arial" w:cs="Arial" w:eastAsia="Arial" w:hAnsi="Arial"/>
          <w:sz w:val="17"/>
          <w:szCs w:val="17"/>
          <w:color w:val="auto"/>
        </w:rPr>
      </w:pPr>
    </w:p>
    <w:p>
      <w:pPr>
        <w:ind w:right="120" w:firstLine="443"/>
        <w:spacing w:after="0" w:line="259" w:lineRule="auto"/>
        <w:tabs>
          <w:tab w:leader="none" w:pos="663"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the Borrower or Guarantor to a Governmental Authority pursuant to this Section 3.5, the Borrower or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78" w:lineRule="exact"/>
        <w:rPr>
          <w:rFonts w:ascii="Arial" w:cs="Arial" w:eastAsia="Arial" w:hAnsi="Arial"/>
          <w:sz w:val="18"/>
          <w:szCs w:val="18"/>
          <w:color w:val="auto"/>
        </w:rPr>
      </w:pPr>
    </w:p>
    <w:p>
      <w:pPr>
        <w:ind w:left="700" w:hanging="257"/>
        <w:spacing w:after="0"/>
        <w:tabs>
          <w:tab w:leader="none" w:pos="7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21"/>
        <w:spacing w:after="0" w:line="270" w:lineRule="auto"/>
        <w:tabs>
          <w:tab w:leader="none" w:pos="1095" w:val="left"/>
        </w:tabs>
        <w:numPr>
          <w:ilvl w:val="2"/>
          <w:numId w:val="41"/>
        </w:numPr>
        <w:rPr>
          <w:rFonts w:ascii="Arial" w:cs="Arial" w:eastAsia="Arial" w:hAnsi="Arial"/>
          <w:sz w:val="17"/>
          <w:szCs w:val="17"/>
          <w:color w:val="auto"/>
        </w:rPr>
      </w:pPr>
      <w:r>
        <w:rPr>
          <w:rFonts w:ascii="Arial" w:cs="Arial" w:eastAsia="Arial" w:hAnsi="Arial"/>
          <w:sz w:val="17"/>
          <w:szCs w:val="17"/>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3.5(g)(ii) (A), (B) and (D)) shall not be required if in the Lender’s</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00"/>
          </w:cols>
          <w:pgMar w:left="700" w:top="274" w:right="299" w:bottom="1440" w:gutter="0" w:footer="0" w:header="0"/>
        </w:sectPr>
      </w:pPr>
    </w:p>
    <w:bookmarkStart w:id="62" w:name="page63"/>
    <w:bookmarkEnd w:id="62"/>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reasonable judgment such completion, execution or submission would subject such Lender to any material unreimbursed cost or expense or would materially prejudice the legal or commercial position of such Lender.</w:t>
      </w:r>
    </w:p>
    <w:p>
      <w:pPr>
        <w:spacing w:after="0" w:line="62" w:lineRule="exact"/>
        <w:rPr>
          <w:sz w:val="20"/>
          <w:szCs w:val="20"/>
          <w:color w:val="auto"/>
        </w:rPr>
      </w:pPr>
    </w:p>
    <w:p>
      <w:pPr>
        <w:ind w:left="680" w:hanging="259"/>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if the Borrower is a U.S. Person,</w:t>
      </w:r>
    </w:p>
    <w:p>
      <w:pPr>
        <w:spacing w:after="0" w:line="117" w:lineRule="exact"/>
        <w:rPr>
          <w:rFonts w:ascii="Arial" w:cs="Arial" w:eastAsia="Arial" w:hAnsi="Arial"/>
          <w:sz w:val="18"/>
          <w:szCs w:val="18"/>
          <w:color w:val="auto"/>
        </w:rPr>
      </w:pPr>
    </w:p>
    <w:p>
      <w:pPr>
        <w:ind w:left="580" w:right="200" w:firstLine="389"/>
        <w:spacing w:after="0" w:line="259" w:lineRule="auto"/>
        <w:tabs>
          <w:tab w:leader="none" w:pos="127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78" w:lineRule="exact"/>
        <w:rPr>
          <w:rFonts w:ascii="Arial" w:cs="Arial" w:eastAsia="Arial" w:hAnsi="Arial"/>
          <w:sz w:val="18"/>
          <w:szCs w:val="18"/>
          <w:color w:val="auto"/>
        </w:rPr>
      </w:pPr>
    </w:p>
    <w:p>
      <w:pPr>
        <w:ind w:left="580" w:right="180" w:firstLine="389"/>
        <w:spacing w:after="0" w:line="259" w:lineRule="auto"/>
        <w:tabs>
          <w:tab w:leader="none" w:pos="126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8" w:lineRule="exact"/>
        <w:rPr>
          <w:rFonts w:ascii="Arial" w:cs="Arial" w:eastAsia="Arial" w:hAnsi="Arial"/>
          <w:sz w:val="18"/>
          <w:szCs w:val="18"/>
          <w:color w:val="auto"/>
        </w:rPr>
      </w:pPr>
    </w:p>
    <w:p>
      <w:pPr>
        <w:ind w:left="1020" w:right="80" w:firstLine="387"/>
        <w:spacing w:after="0" w:line="255" w:lineRule="auto"/>
        <w:tabs>
          <w:tab w:leader="none" w:pos="1614"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85" w:lineRule="exact"/>
        <w:rPr>
          <w:rFonts w:ascii="Arial" w:cs="Arial" w:eastAsia="Arial" w:hAnsi="Arial"/>
          <w:sz w:val="18"/>
          <w:szCs w:val="18"/>
          <w:color w:val="auto"/>
        </w:rPr>
      </w:pPr>
    </w:p>
    <w:p>
      <w:pPr>
        <w:ind w:left="1680" w:hanging="273"/>
        <w:spacing w:after="0"/>
        <w:tabs>
          <w:tab w:leader="none" w:pos="16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17" w:lineRule="exact"/>
        <w:rPr>
          <w:rFonts w:ascii="Arial" w:cs="Arial" w:eastAsia="Arial" w:hAnsi="Arial"/>
          <w:sz w:val="18"/>
          <w:szCs w:val="18"/>
          <w:color w:val="auto"/>
        </w:rPr>
      </w:pPr>
    </w:p>
    <w:p>
      <w:pPr>
        <w:ind w:left="1020" w:firstLine="387"/>
        <w:spacing w:after="0" w:line="257" w:lineRule="auto"/>
        <w:tabs>
          <w:tab w:leader="none" w:pos="1714"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copies of IRS Form W-8BEN, or W-8BEN-E, as applicable; or</w:t>
      </w:r>
    </w:p>
    <w:p>
      <w:pPr>
        <w:spacing w:after="0" w:line="80" w:lineRule="exact"/>
        <w:rPr>
          <w:rFonts w:ascii="Arial" w:cs="Arial" w:eastAsia="Arial" w:hAnsi="Arial"/>
          <w:sz w:val="18"/>
          <w:szCs w:val="18"/>
          <w:color w:val="auto"/>
        </w:rPr>
      </w:pPr>
    </w:p>
    <w:p>
      <w:pPr>
        <w:ind w:left="1020" w:firstLine="387"/>
        <w:spacing w:after="0" w:line="276" w:lineRule="auto"/>
        <w:tabs>
          <w:tab w:leader="none" w:pos="1704" w:val="left"/>
        </w:tabs>
        <w:numPr>
          <w:ilvl w:val="2"/>
          <w:numId w:val="42"/>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executed originals of IRS Form W-8IMY, accompanied by IRS Form W-8ECI, IRS Form W-8BEN, or W-8BEN-E, as applicable, a U.S. Tax Compliance Certificate,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10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460"/>
          </w:cols>
          <w:pgMar w:left="1160" w:top="274" w:right="279" w:bottom="1440" w:gutter="0" w:footer="0" w:header="0"/>
        </w:sectPr>
      </w:pPr>
    </w:p>
    <w:bookmarkStart w:id="63" w:name="page64"/>
    <w:bookmarkEnd w:id="63"/>
    <w:p>
      <w:pPr>
        <w:ind w:left="1040" w:right="60" w:firstLine="389"/>
        <w:spacing w:after="0" w:line="293" w:lineRule="auto"/>
        <w:tabs>
          <w:tab w:leader="none" w:pos="1722"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56" w:lineRule="exact"/>
        <w:rPr>
          <w:rFonts w:ascii="Arial" w:cs="Arial" w:eastAsia="Arial" w:hAnsi="Arial"/>
          <w:sz w:val="16"/>
          <w:szCs w:val="16"/>
          <w:color w:val="auto"/>
        </w:rPr>
      </w:pPr>
    </w:p>
    <w:p>
      <w:pPr>
        <w:ind w:left="1040" w:firstLine="389"/>
        <w:spacing w:after="0" w:line="270" w:lineRule="auto"/>
        <w:tabs>
          <w:tab w:leader="none" w:pos="1732"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Section 3.5(g)(ii)(D), “FATCA” shall include any amendments made to FATCA after the date of this Agreement.</w:t>
      </w:r>
    </w:p>
    <w:p>
      <w:pPr>
        <w:spacing w:after="0" w:line="74" w:lineRule="exact"/>
        <w:rPr>
          <w:sz w:val="20"/>
          <w:szCs w:val="20"/>
          <w:color w:val="auto"/>
        </w:rPr>
      </w:pPr>
    </w:p>
    <w:p>
      <w:pPr>
        <w:ind w:left="460" w:right="40" w:firstLine="420"/>
        <w:spacing w:after="0" w:line="308" w:lineRule="auto"/>
        <w:rPr>
          <w:sz w:val="20"/>
          <w:szCs w:val="20"/>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38" w:lineRule="exact"/>
        <w:rPr>
          <w:sz w:val="20"/>
          <w:szCs w:val="20"/>
          <w:color w:val="auto"/>
        </w:rPr>
      </w:pPr>
    </w:p>
    <w:p>
      <w:pPr>
        <w:ind w:right="80" w:firstLine="443"/>
        <w:spacing w:after="0" w:line="277" w:lineRule="auto"/>
        <w:tabs>
          <w:tab w:leader="none" w:pos="69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If any party determines, in its sole discretion exercised in good faith, that it has received a refund of any Taxes as to which it</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700" w:top="274" w:right="239" w:bottom="1440" w:gutter="0" w:footer="0" w:header="0"/>
        </w:sectPr>
      </w:pPr>
    </w:p>
    <w:bookmarkStart w:id="64" w:name="page65"/>
    <w:bookmarkEnd w:id="64"/>
    <w:p>
      <w:pPr>
        <w:ind w:left="460"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been indemnified pursuant to this Section 3.5 (including by the payment of additional amounts pursuant to this Section 3.5),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3.5(h) (plus any penalties, interest or other charges imposed by the relevant Governmental Authority) if such indemnified party is required to repay such refund to such Governmental Authority. Notwithstanding anything to the contrary in this Section 3.5(h), in no event will the indemnified party be required to pay any amount to an indemnifying party pursuant to this Section 3.5(h)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72" w:lineRule="exact"/>
        <w:rPr>
          <w:sz w:val="20"/>
          <w:szCs w:val="20"/>
          <w:color w:val="auto"/>
        </w:rPr>
      </w:pPr>
    </w:p>
    <w:p>
      <w:pPr>
        <w:ind w:left="460" w:right="400" w:firstLine="443"/>
        <w:spacing w:after="0" w:line="264" w:lineRule="auto"/>
        <w:tabs>
          <w:tab w:leader="none" w:pos="111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3.5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Lender Statements; Survival of Indemnity</w:t>
      </w:r>
      <w:r>
        <w:rPr>
          <w:rFonts w:ascii="Arial" w:cs="Arial" w:eastAsia="Arial" w:hAnsi="Arial"/>
          <w:sz w:val="17"/>
          <w:szCs w:val="17"/>
          <w:color w:val="auto"/>
        </w:rPr>
        <w:t>. To the extent reasonably possible, each Lender shall designate an alternate Lending Installation with respect to its Eurocurrency Loans to reduce any liability of the Borrower to such Lender under Sections 3.1, 3.2 and 3.5 or to avoid the unavailability of Eurocurrency Advances under Section 3.3, so long as such designation is not, in the reasonable judgment of such Lender, disadvantageous to such Lender. Each Lender shall deliver a written statement of such Lender to the Borrower (with a copy to the Administrative Agent) as to the amount due, if any, under Section 3.1, 3.2, 3.4 or 3.5. Such written statement shall set forth in reasonable detail the calculations upon which such Lender determined such amount and shall be final, conclusive and binding on the Borrower in the absence of manifest error. Determination of amounts payable under such Sections in connection with a Eurocurrency Loan shall be calculated as though each Lender funded its Eurocurrency Loan through the purchase of a deposit of the type and maturity corresponding to the deposit used as a reference in determining the Eurocurrency Rate applicable to such Loan, whether in fact that is the case or not. Unless otherwise provided herein, the amount specified in the written statement of any Lender shall be payable on demand after receipt by the Borrower of such written statement. The obligations of the Borrower under Sections 3.1, 3.2, 3.4 and 3.5 shall survive payment of the Obligations and termination of this Agreement.</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274" w:right="31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PRECEDENT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Initial Credit Extension</w:t>
      </w:r>
      <w:r>
        <w:rPr>
          <w:rFonts w:ascii="Arial" w:cs="Arial" w:eastAsia="Arial" w:hAnsi="Arial"/>
          <w:sz w:val="16"/>
          <w:szCs w:val="16"/>
          <w:color w:val="auto"/>
        </w:rPr>
        <w:t>. The making of the initial Loans under this Agreement, and if applicable the issuance of the initial Facility LCs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be subject to the prior or simultaneous fulfillment of the following conditions:</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Documents</w:t>
      </w:r>
      <w:r>
        <w:rPr>
          <w:rFonts w:ascii="Arial" w:cs="Arial" w:eastAsia="Arial" w:hAnsi="Arial"/>
          <w:sz w:val="16"/>
          <w:szCs w:val="16"/>
          <w:color w:val="auto"/>
        </w:rPr>
        <w:t>. The Administrative Agent shall have received the following in sufficient counterparts (except for the Notes) for each Lender:</w:t>
      </w:r>
    </w:p>
    <w:p>
      <w:pPr>
        <w:spacing w:after="0" w:line="140" w:lineRule="exact"/>
        <w:rPr>
          <w:sz w:val="20"/>
          <w:szCs w:val="20"/>
          <w:color w:val="auto"/>
        </w:rPr>
      </w:pPr>
    </w:p>
    <w:p>
      <w:pPr>
        <w:ind w:left="1580" w:hanging="239"/>
        <w:spacing w:after="0"/>
        <w:tabs>
          <w:tab w:leader="none" w:pos="1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Agreement, duly executed by the Borrower.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Notes drawn to each Lender that has requested a Note, executed by the Borrower and dated the Closing Date.</w:t>
      </w:r>
    </w:p>
    <w:p>
      <w:pPr>
        <w:spacing w:after="0" w:line="117" w:lineRule="exact"/>
        <w:rPr>
          <w:rFonts w:ascii="Arial" w:cs="Arial" w:eastAsia="Arial" w:hAnsi="Arial"/>
          <w:sz w:val="18"/>
          <w:szCs w:val="18"/>
          <w:color w:val="auto"/>
        </w:rPr>
      </w:pPr>
    </w:p>
    <w:p>
      <w:pPr>
        <w:ind w:left="920" w:right="320" w:firstLine="421"/>
        <w:spacing w:after="0" w:line="277" w:lineRule="auto"/>
        <w:tabs>
          <w:tab w:leader="none" w:pos="15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Guaranty, duly executed by the Guarantors with the Guaranty executed by the Target (SPH) and certain of its Subsidiaries to be effective upon the Acquisition (SPH).</w:t>
      </w:r>
    </w:p>
    <w:p>
      <w:pPr>
        <w:spacing w:after="0" w:line="62" w:lineRule="exact"/>
        <w:rPr>
          <w:rFonts w:ascii="Arial" w:cs="Arial" w:eastAsia="Arial" w:hAnsi="Arial"/>
          <w:sz w:val="18"/>
          <w:szCs w:val="18"/>
          <w:color w:val="auto"/>
        </w:rPr>
      </w:pPr>
    </w:p>
    <w:p>
      <w:pPr>
        <w:ind w:left="920" w:right="400" w:firstLine="421"/>
        <w:spacing w:after="0" w:line="277" w:lineRule="auto"/>
        <w:tabs>
          <w:tab w:leader="none" w:pos="15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Assignment of Representations, Warranties, Covenants, and Indemnities related to the Acquisition Documents (SPH) dated the Closing Date and entered into by the Borrower and the Administrative Agent.</w:t>
      </w:r>
    </w:p>
    <w:p>
      <w:pPr>
        <w:spacing w:after="0" w:line="62" w:lineRule="exact"/>
        <w:rPr>
          <w:rFonts w:ascii="Arial" w:cs="Arial" w:eastAsia="Arial" w:hAnsi="Arial"/>
          <w:sz w:val="18"/>
          <w:szCs w:val="18"/>
          <w:color w:val="auto"/>
        </w:rPr>
      </w:pPr>
    </w:p>
    <w:p>
      <w:pPr>
        <w:ind w:left="920" w:right="20" w:firstLine="421"/>
        <w:spacing w:after="0" w:line="264" w:lineRule="auto"/>
        <w:tabs>
          <w:tab w:leader="none" w:pos="15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Collateral Documents, including without limitation the Security Agreement, each duly executed by the Borrower and each Material Domestic Subsidiary (with such Collateral Documents executed by the Target (SPH) and certain of its Subsidiaries to be effective upon the Acquisition (SPH)), as applicable, together with:</w:t>
      </w:r>
    </w:p>
    <w:p>
      <w:pPr>
        <w:spacing w:after="0" w:line="73" w:lineRule="exact"/>
        <w:rPr>
          <w:rFonts w:ascii="Arial" w:cs="Arial" w:eastAsia="Arial" w:hAnsi="Arial"/>
          <w:sz w:val="18"/>
          <w:szCs w:val="18"/>
          <w:color w:val="auto"/>
        </w:rPr>
      </w:pPr>
    </w:p>
    <w:p>
      <w:pPr>
        <w:ind w:left="1940" w:right="740" w:firstLine="387"/>
        <w:spacing w:after="0" w:line="277" w:lineRule="auto"/>
        <w:tabs>
          <w:tab w:leader="none" w:pos="2614"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completed UCC, tax lien, and judgment searches for the Borrower, the Target (SPH) and the Material Domestic Subsidiaries satisfactory to the Administrative Agent; and</w:t>
      </w:r>
    </w:p>
    <w:p>
      <w:pPr>
        <w:spacing w:after="0" w:line="62" w:lineRule="exact"/>
        <w:rPr>
          <w:rFonts w:ascii="Arial" w:cs="Arial" w:eastAsia="Arial" w:hAnsi="Arial"/>
          <w:sz w:val="18"/>
          <w:szCs w:val="18"/>
          <w:color w:val="auto"/>
        </w:rPr>
      </w:pPr>
    </w:p>
    <w:p>
      <w:pPr>
        <w:ind w:left="1940" w:firstLine="387"/>
        <w:spacing w:after="0" w:line="259" w:lineRule="auto"/>
        <w:tabs>
          <w:tab w:leader="none" w:pos="2604"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copies of the original certificates (if any) with respect to any Equity Interests specifically pledged under the Security Agreement together with stock powers or assignments separate from certificate in the form prescribed by the Administrative Agent and duly executed in blank with the originals to be sent by overnight mail to the Administrative Agent or its designee immediately after the Closing Date.</w:t>
      </w:r>
    </w:p>
    <w:p>
      <w:pPr>
        <w:spacing w:after="0" w:line="78" w:lineRule="exact"/>
        <w:rPr>
          <w:rFonts w:ascii="Arial" w:cs="Arial" w:eastAsia="Arial" w:hAnsi="Arial"/>
          <w:sz w:val="18"/>
          <w:szCs w:val="18"/>
          <w:color w:val="auto"/>
        </w:rPr>
      </w:pPr>
    </w:p>
    <w:p>
      <w:pPr>
        <w:jc w:val="both"/>
        <w:ind w:left="920" w:right="180" w:firstLine="421"/>
        <w:spacing w:after="0" w:line="302" w:lineRule="auto"/>
        <w:tabs>
          <w:tab w:leader="none" w:pos="1565"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Lenders, a perfected Lien on the Collateral described herein, prior and superior in right to any other Person (other than with respect to Liens expressly permitted by Section 6.22), shall be in proper form for filing, registration or recordation;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0" w:right="259" w:bottom="1440" w:gutter="0" w:footer="0" w:header="0"/>
        </w:sectPr>
      </w:pPr>
    </w:p>
    <w:bookmarkStart w:id="66" w:name="page67"/>
    <w:bookmarkEnd w:id="66"/>
    <w:p>
      <w:pPr>
        <w:spacing w:after="0" w:line="270"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however</w:t>
      </w:r>
      <w:r>
        <w:rPr>
          <w:rFonts w:ascii="Arial" w:cs="Arial" w:eastAsia="Arial" w:hAnsi="Arial"/>
          <w:sz w:val="17"/>
          <w:szCs w:val="17"/>
          <w:color w:val="auto"/>
        </w:rPr>
        <w:t>, that, to the extent any lien or security interest on or in any Collateral (other than to the extent that a lien on such Collateral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may be perfected (i) by the filing of a financing statement under the Uniform Commercial Code or (ii) by the delivery of original certificates with respect to any Equity Interests of the Borrower and its Subsidiaries (subject to the requirements in Section 4.1.1(e)(B) above which shall govern the delivery of original stock certificates) is not or cannot be perfected on the Closing Date after Borrower’s commercially reasonable efforts to do so, the perfection of such Collateral shall not constitute a condition precedent to the availability of the Term Loan and the making of the initial Loans on the Closing Date, but shall be required to be perfected within 90 days after the Closing Date (subject to extensions by the Administrative Agent and the Initial Lenders, in their sole discretion); </w:t>
      </w:r>
      <w:r>
        <w:rPr>
          <w:rFonts w:ascii="Arial" w:cs="Arial" w:eastAsia="Arial" w:hAnsi="Arial"/>
          <w:sz w:val="17"/>
          <w:szCs w:val="17"/>
          <w:i w:val="1"/>
          <w:iCs w:val="1"/>
          <w:color w:val="auto"/>
        </w:rPr>
        <w:t>provided, further</w:t>
      </w:r>
      <w:r>
        <w:rPr>
          <w:rFonts w:ascii="Arial" w:cs="Arial" w:eastAsia="Arial" w:hAnsi="Arial"/>
          <w:sz w:val="17"/>
          <w:szCs w:val="17"/>
          <w:color w:val="auto"/>
        </w:rPr>
        <w:t>, that, notwithstanding the foregoing, the Borrower and each Guarantor shall be obligated to provide to the Administrative Agent all documents and other information requested by Administrative Agent to assist the Administrative Agent in perfection of liens on the Collateral.</w:t>
      </w:r>
    </w:p>
    <w:p>
      <w:pPr>
        <w:spacing w:after="0" w:line="74" w:lineRule="exact"/>
        <w:rPr>
          <w:sz w:val="20"/>
          <w:szCs w:val="20"/>
          <w:color w:val="auto"/>
        </w:rPr>
      </w:pPr>
    </w:p>
    <w:p>
      <w:pPr>
        <w:ind w:right="600" w:firstLine="421"/>
        <w:spacing w:after="0" w:line="312" w:lineRule="auto"/>
        <w:tabs>
          <w:tab w:leader="none" w:pos="6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certificate of the Secretary or Assistant Secretary (or other appropriate officer) of the Borrower and each Material Domestic Subsidiary (with such certificates of a Secretary or Assistant Secretary (or other appropriate officer) of the Target (SPH) and certain of its Subsidiaries to be effective upon the Acquisition (SPH)), dated as of the Closing Date and certifying as to the following:</w:t>
      </w:r>
    </w:p>
    <w:p>
      <w:pPr>
        <w:spacing w:after="0" w:line="38" w:lineRule="exact"/>
        <w:rPr>
          <w:rFonts w:ascii="Arial" w:cs="Arial" w:eastAsia="Arial" w:hAnsi="Arial"/>
          <w:sz w:val="16"/>
          <w:szCs w:val="16"/>
          <w:color w:val="auto"/>
        </w:rPr>
      </w:pPr>
    </w:p>
    <w:p>
      <w:pPr>
        <w:ind w:left="1020" w:right="500" w:firstLine="387"/>
        <w:spacing w:after="0" w:line="277" w:lineRule="auto"/>
        <w:tabs>
          <w:tab w:leader="none" w:pos="16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true and accurate copy of the resolutions or unanimous written consent of such Person authorizing the execution, delivery, and performance of the Transaction Documents to which it is a party;</w:t>
      </w:r>
    </w:p>
    <w:p>
      <w:pPr>
        <w:spacing w:after="0" w:line="62" w:lineRule="exact"/>
        <w:rPr>
          <w:rFonts w:ascii="Arial" w:cs="Arial" w:eastAsia="Arial" w:hAnsi="Arial"/>
          <w:sz w:val="18"/>
          <w:szCs w:val="18"/>
          <w:color w:val="auto"/>
        </w:rPr>
      </w:pPr>
    </w:p>
    <w:p>
      <w:pPr>
        <w:ind w:left="1020" w:right="40" w:firstLine="387"/>
        <w:spacing w:after="0" w:line="308" w:lineRule="auto"/>
        <w:tabs>
          <w:tab w:leader="none" w:pos="1684"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incumbency, names, titles, and signatures of the officers of such Person authorized to execute the Loan Documents to which such Person is a party and, as to the Borrower, to request Loans and the issuance of Facility LCs;</w:t>
      </w:r>
    </w:p>
    <w:p>
      <w:pPr>
        <w:spacing w:after="0" w:line="38" w:lineRule="exact"/>
        <w:rPr>
          <w:rFonts w:ascii="Arial" w:cs="Arial" w:eastAsia="Arial" w:hAnsi="Arial"/>
          <w:sz w:val="17"/>
          <w:szCs w:val="17"/>
          <w:color w:val="auto"/>
        </w:rPr>
      </w:pPr>
    </w:p>
    <w:p>
      <w:pPr>
        <w:jc w:val="both"/>
        <w:ind w:left="1020" w:right="540" w:firstLine="387"/>
        <w:spacing w:after="0" w:line="286" w:lineRule="auto"/>
        <w:tabs>
          <w:tab w:leader="none" w:pos="1684" w:val="left"/>
        </w:tabs>
        <w:numPr>
          <w:ilvl w:val="1"/>
          <w:numId w:val="47"/>
        </w:numPr>
        <w:rPr>
          <w:rFonts w:ascii="Arial" w:cs="Arial" w:eastAsia="Arial" w:hAnsi="Arial"/>
          <w:sz w:val="17"/>
          <w:szCs w:val="17"/>
          <w:color w:val="auto"/>
        </w:rPr>
      </w:pPr>
      <w:r>
        <w:rPr>
          <w:rFonts w:ascii="Arial" w:cs="Arial" w:eastAsia="Arial" w:hAnsi="Arial"/>
          <w:sz w:val="17"/>
          <w:szCs w:val="17"/>
          <w:color w:val="auto"/>
        </w:rPr>
        <w:t>A true and accurate copy of the articles of incorporation, certificate of formation, certificate of partnership or other equivalent documents of such Person with all amendments thereto, certified by the appropriate governmental official of the jurisdiction of its organization as of a date reasonably acceptable to the Administrative Agent; and</w:t>
      </w:r>
    </w:p>
    <w:p>
      <w:pPr>
        <w:spacing w:after="0" w:line="57" w:lineRule="exact"/>
        <w:rPr>
          <w:rFonts w:ascii="Arial" w:cs="Arial" w:eastAsia="Arial" w:hAnsi="Arial"/>
          <w:sz w:val="17"/>
          <w:szCs w:val="17"/>
          <w:color w:val="auto"/>
        </w:rPr>
      </w:pPr>
    </w:p>
    <w:p>
      <w:pPr>
        <w:ind w:left="1700" w:hanging="293"/>
        <w:spacing w:after="0"/>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true and accurate copy of the bylaws, operating agreement or partnership agreement of such Person.</w:t>
      </w:r>
    </w:p>
    <w:p>
      <w:pPr>
        <w:spacing w:after="0" w:line="117" w:lineRule="exact"/>
        <w:rPr>
          <w:rFonts w:ascii="Arial" w:cs="Arial" w:eastAsia="Arial" w:hAnsi="Arial"/>
          <w:sz w:val="18"/>
          <w:szCs w:val="18"/>
          <w:color w:val="auto"/>
        </w:rPr>
      </w:pPr>
    </w:p>
    <w:p>
      <w:pPr>
        <w:ind w:right="280" w:firstLine="421"/>
        <w:spacing w:after="0" w:line="308" w:lineRule="auto"/>
        <w:tabs>
          <w:tab w:leader="none" w:pos="6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Certificates of current status or good standing for the Borrower, the Target (SPH) and each Material Domestic Subsidiary (other than Pharmline, Inc.) in its respective jurisdiction of organization as of a date reasonably acceptable to the Administrative Agent.</w:t>
      </w:r>
    </w:p>
    <w:p>
      <w:pPr>
        <w:spacing w:after="0" w:line="7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00"/>
          </w:cols>
          <w:pgMar w:left="1160" w:top="274" w:right="239" w:bottom="1440" w:gutter="0" w:footer="0" w:header="0"/>
        </w:sectPr>
      </w:pPr>
    </w:p>
    <w:bookmarkStart w:id="67" w:name="page68"/>
    <w:bookmarkEnd w:id="67"/>
    <w:p>
      <w:pPr>
        <w:jc w:val="both"/>
        <w:ind w:left="-280" w:right="20" w:firstLine="421"/>
        <w:spacing w:after="0" w:line="259" w:lineRule="auto"/>
        <w:tabs>
          <w:tab w:leader="none" w:pos="355"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payoff letter or release letter executed by the existing secured creditors of the Borrower and the Target (SPH) authorizing the filing of related lien releases, UCC-3 termination statements, and other lien terminations with respect to the Borrower, the Target (SPH) or any Subsidiary or its assets upon payment in full of the obligations owed to such lender, each in form and substance reasonably acceptable to the Administrative Agent.</w:t>
      </w:r>
    </w:p>
    <w:p>
      <w:pPr>
        <w:spacing w:after="0" w:line="78" w:lineRule="exact"/>
        <w:rPr>
          <w:rFonts w:ascii="Arial" w:cs="Arial" w:eastAsia="Arial" w:hAnsi="Arial"/>
          <w:sz w:val="18"/>
          <w:szCs w:val="18"/>
          <w:color w:val="auto"/>
        </w:rPr>
      </w:pPr>
    </w:p>
    <w:p>
      <w:pPr>
        <w:ind w:left="-280" w:right="20" w:firstLine="421"/>
        <w:spacing w:after="0" w:line="264" w:lineRule="auto"/>
        <w:tabs>
          <w:tab w:leader="none" w:pos="3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Evidence satisfactory to the Administrative Agent that all other Indebtedness of the Borrower, the Target (SPH) and the Subsidiaries (other than Indebtedness permitted to remain outstanding after the Closing Date) has been repaid or will be repaid with the proceeds of the Loans funded on the Closing Date.</w:t>
      </w:r>
    </w:p>
    <w:p>
      <w:pPr>
        <w:spacing w:after="0" w:line="73" w:lineRule="exact"/>
        <w:rPr>
          <w:rFonts w:ascii="Arial" w:cs="Arial" w:eastAsia="Arial" w:hAnsi="Arial"/>
          <w:sz w:val="18"/>
          <w:szCs w:val="18"/>
          <w:color w:val="auto"/>
        </w:rPr>
      </w:pPr>
    </w:p>
    <w:p>
      <w:pPr>
        <w:ind w:left="-280" w:right="60" w:firstLine="421"/>
        <w:spacing w:after="0" w:line="308" w:lineRule="auto"/>
        <w:tabs>
          <w:tab w:leader="none" w:pos="39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solvency certificate for the Borrower and its Subsidiaries on a consolidated basis, giving effect to the Acquisition (SPH), in form and substance reasonably acceptable to the Administrative Agent and the Initial Lenders, from the chief financial officer of the Borrower;</w:t>
      </w:r>
    </w:p>
    <w:p>
      <w:pPr>
        <w:spacing w:after="0" w:line="38" w:lineRule="exact"/>
        <w:rPr>
          <w:rFonts w:ascii="Arial" w:cs="Arial" w:eastAsia="Arial" w:hAnsi="Arial"/>
          <w:sz w:val="17"/>
          <w:szCs w:val="17"/>
          <w:color w:val="auto"/>
        </w:rPr>
      </w:pPr>
    </w:p>
    <w:p>
      <w:pPr>
        <w:ind w:left="360" w:hanging="219"/>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certificate dated as of the Closing Date of an Authorized Officer of the Borrower certifying:</w:t>
      </w:r>
    </w:p>
    <w:p>
      <w:pPr>
        <w:spacing w:after="0" w:line="117" w:lineRule="exact"/>
        <w:rPr>
          <w:rFonts w:ascii="Arial" w:cs="Arial" w:eastAsia="Arial" w:hAnsi="Arial"/>
          <w:sz w:val="18"/>
          <w:szCs w:val="18"/>
          <w:color w:val="auto"/>
        </w:rPr>
      </w:pPr>
    </w:p>
    <w:p>
      <w:pPr>
        <w:ind w:left="1420" w:hanging="293"/>
        <w:spacing w:after="0"/>
        <w:tabs>
          <w:tab w:leader="none" w:pos="1420" w:val="left"/>
        </w:tabs>
        <w:numPr>
          <w:ilvl w:val="2"/>
          <w:numId w:val="48"/>
        </w:numPr>
        <w:rPr>
          <w:rFonts w:ascii="Arial" w:cs="Arial" w:eastAsia="Arial" w:hAnsi="Arial"/>
          <w:sz w:val="16"/>
          <w:szCs w:val="16"/>
          <w:color w:val="auto"/>
        </w:rPr>
      </w:pPr>
      <w:r>
        <w:rPr>
          <w:rFonts w:ascii="Arial" w:cs="Arial" w:eastAsia="Arial" w:hAnsi="Arial"/>
          <w:sz w:val="16"/>
          <w:szCs w:val="16"/>
          <w:color w:val="auto"/>
        </w:rPr>
        <w:t>that a true and accurate copy of the Acquisition Agreement (SPH) has been attached thereto and is in full force and effect;</w:t>
      </w:r>
    </w:p>
    <w:p>
      <w:pPr>
        <w:spacing w:after="0" w:line="140" w:lineRule="exact"/>
        <w:rPr>
          <w:rFonts w:ascii="Arial" w:cs="Arial" w:eastAsia="Arial" w:hAnsi="Arial"/>
          <w:sz w:val="16"/>
          <w:szCs w:val="16"/>
          <w:color w:val="auto"/>
        </w:rPr>
      </w:pPr>
    </w:p>
    <w:p>
      <w:pPr>
        <w:ind w:left="740" w:right="180" w:firstLine="387"/>
        <w:spacing w:after="0" w:line="285" w:lineRule="auto"/>
        <w:tabs>
          <w:tab w:leader="none" w:pos="1404" w:val="left"/>
        </w:tabs>
        <w:numPr>
          <w:ilvl w:val="2"/>
          <w:numId w:val="48"/>
        </w:numPr>
        <w:rPr>
          <w:rFonts w:ascii="Arial" w:cs="Arial" w:eastAsia="Arial" w:hAnsi="Arial"/>
          <w:sz w:val="16"/>
          <w:szCs w:val="16"/>
          <w:color w:val="auto"/>
        </w:rPr>
      </w:pPr>
      <w:r>
        <w:rPr>
          <w:rFonts w:ascii="Arial" w:cs="Arial" w:eastAsia="Arial" w:hAnsi="Arial"/>
          <w:sz w:val="16"/>
          <w:szCs w:val="16"/>
          <w:color w:val="auto"/>
        </w:rPr>
        <w:t>that there have been no modifications, alterations, amendments or other changes or supplements to the Acquisition Agreement (SPH) and no provisions of the Acquisition Agreement (SPH) have been waived or consented to, in each case, in any respect that is materially adverse to the Lenders without the consent of the Lenders (it being understood and agreed that (i) any increase in the amount of consideration required to consummate the Acquisition (SPH) shall not be deemed to be adverse to the interests of the Lenders so long as any increase is funded by increasing the balance sheet cash contribution by the Borrower and</w:t>
      </w:r>
    </w:p>
    <w:p>
      <w:pPr>
        <w:spacing w:after="0" w:line="2" w:lineRule="exact"/>
        <w:rPr>
          <w:rFonts w:ascii="Arial" w:cs="Arial" w:eastAsia="Arial" w:hAnsi="Arial"/>
          <w:sz w:val="16"/>
          <w:szCs w:val="16"/>
          <w:color w:val="auto"/>
        </w:rPr>
      </w:pPr>
    </w:p>
    <w:p>
      <w:pPr>
        <w:ind w:left="740" w:right="300" w:firstLine="8"/>
        <w:spacing w:after="0" w:line="261" w:lineRule="auto"/>
        <w:tabs>
          <w:tab w:leader="none" w:pos="100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change to the definition of “Material Adverse Effect” in the Acquisition Agreement (SPH) in a manner favorable to the Target (SPH) shall be deemed to be adverse to the interests of the Lenders);</w:t>
      </w:r>
    </w:p>
    <w:p>
      <w:pPr>
        <w:spacing w:after="0" w:line="75" w:lineRule="exact"/>
        <w:rPr>
          <w:rFonts w:ascii="Arial" w:cs="Arial" w:eastAsia="Arial" w:hAnsi="Arial"/>
          <w:sz w:val="18"/>
          <w:szCs w:val="18"/>
          <w:color w:val="auto"/>
        </w:rPr>
      </w:pPr>
    </w:p>
    <w:p>
      <w:pPr>
        <w:ind w:left="740" w:right="360" w:firstLine="387"/>
        <w:spacing w:after="0" w:line="264" w:lineRule="auto"/>
        <w:tabs>
          <w:tab w:leader="none" w:pos="1404"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that all conditions to the closing of the Acquisition (SPH) have been satisfied or waived, the purchase price under the Acquisition Agreement (SPH) will be paid in full, upon the funding of the Loans made on the Closing Date, all consideration required to be paid or distributed to the Sellers (SPH) on the Closing Date</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200"/>
          </w:cols>
          <w:pgMar w:left="1440" w:top="274" w:right="259" w:bottom="1440" w:gutter="0" w:footer="0" w:header="0"/>
        </w:sectPr>
      </w:pPr>
    </w:p>
    <w:bookmarkStart w:id="68" w:name="page69"/>
    <w:bookmarkEnd w:id="68"/>
    <w:p>
      <w:pPr>
        <w:ind w:left="1019"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have been paid or will be paid upon the funding of the Loans made on the Closing Date (other than any Working Capital Adjustments or other similar post-closing adjustments), and the Acquisition (SPH) shall be consummated in accordance with the terms of the Acquisition Agreement (SPH) and applicable law and regulatory approvals; and</w:t>
      </w:r>
    </w:p>
    <w:p>
      <w:pPr>
        <w:spacing w:after="0" w:line="57" w:lineRule="exact"/>
        <w:rPr>
          <w:sz w:val="20"/>
          <w:szCs w:val="20"/>
          <w:color w:val="auto"/>
        </w:rPr>
      </w:pPr>
    </w:p>
    <w:p>
      <w:pPr>
        <w:ind w:left="1699" w:hanging="293"/>
        <w:spacing w:after="0"/>
        <w:tabs>
          <w:tab w:leader="none" w:pos="1699" w:val="left"/>
        </w:tabs>
        <w:numPr>
          <w:ilvl w:val="2"/>
          <w:numId w:val="50"/>
        </w:numPr>
        <w:rPr>
          <w:rFonts w:ascii="Arial" w:cs="Arial" w:eastAsia="Arial" w:hAnsi="Arial"/>
          <w:sz w:val="18"/>
          <w:szCs w:val="18"/>
          <w:color w:val="auto"/>
        </w:rPr>
      </w:pPr>
      <w:r>
        <w:rPr>
          <w:rFonts w:ascii="Arial" w:cs="Arial" w:eastAsia="Arial" w:hAnsi="Arial"/>
          <w:sz w:val="18"/>
          <w:szCs w:val="18"/>
          <w:color w:val="auto"/>
        </w:rPr>
        <w:t>as to the matters set forth in Section 4.1.6.</w:t>
      </w:r>
    </w:p>
    <w:p>
      <w:pPr>
        <w:spacing w:after="0" w:line="117" w:lineRule="exact"/>
        <w:rPr>
          <w:rFonts w:ascii="Arial" w:cs="Arial" w:eastAsia="Arial" w:hAnsi="Arial"/>
          <w:sz w:val="18"/>
          <w:szCs w:val="18"/>
          <w:color w:val="auto"/>
        </w:rPr>
      </w:pPr>
    </w:p>
    <w:p>
      <w:pPr>
        <w:ind w:left="719" w:hanging="299"/>
        <w:spacing w:after="0"/>
        <w:tabs>
          <w:tab w:leader="none" w:pos="719" w:val="left"/>
        </w:tabs>
        <w:numPr>
          <w:ilvl w:val="1"/>
          <w:numId w:val="5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 w:right="100" w:firstLine="421"/>
        <w:spacing w:after="0" w:line="312" w:lineRule="auto"/>
        <w:tabs>
          <w:tab w:leader="none" w:pos="674" w:val="left"/>
        </w:tabs>
        <w:numPr>
          <w:ilvl w:val="1"/>
          <w:numId w:val="51"/>
        </w:numPr>
        <w:rPr>
          <w:rFonts w:ascii="Arial" w:cs="Arial" w:eastAsia="Arial" w:hAnsi="Arial"/>
          <w:sz w:val="16"/>
          <w:szCs w:val="16"/>
          <w:color w:val="auto"/>
        </w:rPr>
      </w:pPr>
      <w:r>
        <w:rPr>
          <w:rFonts w:ascii="Arial" w:cs="Arial" w:eastAsia="Arial" w:hAnsi="Arial"/>
          <w:sz w:val="16"/>
          <w:szCs w:val="16"/>
          <w:color w:val="auto"/>
        </w:rPr>
        <w:t>Insurance certificates in form and substance acceptable to the Administrative Agent and listing the Administrative Agent as lender loss payable thereon with respect to property insurance and as an additional insured with respect to liability insurance, indicating that the Borrower and the Domestic Subsidiaries (other than the Target (SPH) and its Subsidiaries) have obtained insurance of the types set forth in Section 6.7.</w:t>
      </w:r>
    </w:p>
    <w:p>
      <w:pPr>
        <w:spacing w:after="0" w:line="38" w:lineRule="exact"/>
        <w:rPr>
          <w:rFonts w:ascii="Arial" w:cs="Arial" w:eastAsia="Arial" w:hAnsi="Arial"/>
          <w:sz w:val="16"/>
          <w:szCs w:val="16"/>
          <w:color w:val="auto"/>
        </w:rPr>
      </w:pPr>
    </w:p>
    <w:p>
      <w:pPr>
        <w:ind w:left="-1" w:right="140" w:firstLine="421"/>
        <w:spacing w:after="0" w:line="284" w:lineRule="auto"/>
        <w:tabs>
          <w:tab w:leader="none" w:pos="674" w:val="left"/>
        </w:tabs>
        <w:numPr>
          <w:ilvl w:val="1"/>
          <w:numId w:val="51"/>
        </w:numPr>
        <w:rPr>
          <w:rFonts w:ascii="Arial" w:cs="Arial" w:eastAsia="Arial" w:hAnsi="Arial"/>
          <w:sz w:val="16"/>
          <w:szCs w:val="16"/>
          <w:color w:val="auto"/>
        </w:rPr>
      </w:pPr>
      <w:r>
        <w:rPr>
          <w:rFonts w:ascii="Arial" w:cs="Arial" w:eastAsia="Arial" w:hAnsi="Arial"/>
          <w:sz w:val="16"/>
          <w:szCs w:val="16"/>
          <w:color w:val="auto"/>
        </w:rPr>
        <w:t>Copies of (i) pro forma financial statements as of the Fiscal Quarter of the Borrower ending as of September 27, 2015 giving effect to the initial Credit Extensions contemplated hereby and the Acquisition (SPH), which demonstrate, in the Administrative Agent’s and Initial Lender’s reasonable judgment, together with all other information then available to the Administrative Agent and the Initial Lenders, that the Borrower can repay its debts and satisfy its other obligations as and when they become due, and can comply with the financial covenants set forth in Section 6.31, (ii) such information as the Administrative Agent and the Initial Lenders may reasonably request to confirm the tax, legal, and business assumptions made in such pro forma financial statements, (iii) unaudited consolidated financial statements of the Borrower and its Subsidiaries for the Fiscal Quarter ended September 27, 2015 and for the Target (SPH) for the Fiscal Quarter ended September 30, 2015, and</w:t>
      </w:r>
    </w:p>
    <w:p>
      <w:pPr>
        <w:spacing w:after="0" w:line="2" w:lineRule="exact"/>
        <w:rPr>
          <w:rFonts w:ascii="Arial" w:cs="Arial" w:eastAsia="Arial" w:hAnsi="Arial"/>
          <w:sz w:val="16"/>
          <w:szCs w:val="16"/>
          <w:color w:val="auto"/>
        </w:rPr>
      </w:pPr>
    </w:p>
    <w:p>
      <w:pPr>
        <w:ind w:left="-1" w:right="120" w:firstLine="1"/>
        <w:spacing w:after="0" w:line="261" w:lineRule="auto"/>
        <w:tabs>
          <w:tab w:leader="none" w:pos="3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audited consolidated financial statements of the Borrower and its Subsidiaries for each of its last three Fiscal Years and for the Target (SPH) for the fiscal years ended December 31, 2012, December 31, 2013 and December 31, 2014.</w:t>
      </w:r>
    </w:p>
    <w:p>
      <w:pPr>
        <w:spacing w:after="0" w:line="75" w:lineRule="exact"/>
        <w:rPr>
          <w:rFonts w:ascii="Arial" w:cs="Arial" w:eastAsia="Arial" w:hAnsi="Arial"/>
          <w:sz w:val="18"/>
          <w:szCs w:val="18"/>
          <w:color w:val="auto"/>
        </w:rPr>
      </w:pPr>
    </w:p>
    <w:p>
      <w:pPr>
        <w:ind w:left="-1" w:firstLine="421"/>
        <w:spacing w:after="0" w:line="277" w:lineRule="auto"/>
        <w:tabs>
          <w:tab w:leader="none" w:pos="67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 executed initial Borrowing Notice from the Borrower and sources and uses of funds attached thereto as Exhibit A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Funds Flow</w:t>
      </w:r>
      <w:r>
        <w:rPr>
          <w:rFonts w:ascii="Arial" w:cs="Arial" w:eastAsia="Arial" w:hAnsi="Arial"/>
          <w:sz w:val="18"/>
          <w:szCs w:val="18"/>
          <w:color w:val="auto"/>
        </w:rPr>
        <w:t>”) with respect to all Loans and disbursements requested on the Closing Date.</w:t>
      </w:r>
    </w:p>
    <w:p>
      <w:pPr>
        <w:spacing w:after="0" w:line="62" w:lineRule="exact"/>
        <w:rPr>
          <w:rFonts w:ascii="Arial" w:cs="Arial" w:eastAsia="Arial" w:hAnsi="Arial"/>
          <w:sz w:val="18"/>
          <w:szCs w:val="18"/>
          <w:color w:val="auto"/>
        </w:rPr>
      </w:pPr>
    </w:p>
    <w:p>
      <w:pPr>
        <w:ind w:left="679" w:hanging="259"/>
        <w:spacing w:after="0"/>
        <w:tabs>
          <w:tab w:leader="none" w:pos="679"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 w:right="160" w:firstLine="421"/>
        <w:spacing w:after="0" w:line="277" w:lineRule="auto"/>
        <w:tabs>
          <w:tab w:leader="none" w:pos="64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perfection certificate duly executed by the Borrower and each of its Subsidiaries (with such perfection executed by the Target (SPH) and its Subsidiaries to be effective upon the Acquisition (SPH)).</w:t>
      </w:r>
    </w:p>
    <w:p>
      <w:pPr>
        <w:spacing w:after="0" w:line="62" w:lineRule="exact"/>
        <w:rPr>
          <w:rFonts w:ascii="Arial" w:cs="Arial" w:eastAsia="Arial" w:hAnsi="Arial"/>
          <w:sz w:val="18"/>
          <w:szCs w:val="18"/>
          <w:color w:val="auto"/>
        </w:rPr>
      </w:pPr>
    </w:p>
    <w:p>
      <w:pPr>
        <w:ind w:left="-1" w:right="360" w:firstLine="421"/>
        <w:spacing w:after="0" w:line="277" w:lineRule="auto"/>
        <w:tabs>
          <w:tab w:leader="none" w:pos="654"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Evidence satisfactory to the Administrative Agent and the Initial Lenders of receipt of all governmental, shareholder and third party consents (including Hart-Scott-Rodino clearance) and approvals necessary in connection</w:t>
      </w:r>
    </w:p>
    <w:p>
      <w:pPr>
        <w:spacing w:after="0" w:line="103"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499"/>
          </w:cols>
          <w:pgMar w:left="1161" w:top="274" w:right="239" w:bottom="1440" w:gutter="0" w:footer="0" w:header="0"/>
        </w:sectPr>
      </w:pPr>
    </w:p>
    <w:bookmarkStart w:id="69" w:name="page70"/>
    <w:bookmarkEnd w:id="69"/>
    <w:p>
      <w:pPr>
        <w:ind w:left="920"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Acquisition (SPH) and the related financings and expiration of all applicable waiting periods without any action being taken by any authority that could restrain, prevent or impose any Material Adverse Effect on the Borrower and its Subsidiaries, and no law or regulations shall be applicable which in the reasonable judgment of the Administrative Agent and the Initial Lenders could have such effect.</w:t>
      </w:r>
    </w:p>
    <w:p>
      <w:pPr>
        <w:spacing w:after="0" w:line="57" w:lineRule="exact"/>
        <w:rPr>
          <w:sz w:val="20"/>
          <w:szCs w:val="20"/>
          <w:color w:val="auto"/>
        </w:rPr>
      </w:pPr>
    </w:p>
    <w:p>
      <w:pPr>
        <w:jc w:val="both"/>
        <w:ind w:left="460" w:right="140" w:firstLine="438"/>
        <w:spacing w:after="0" w:line="286"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Opinions</w:t>
      </w:r>
      <w:r>
        <w:rPr>
          <w:rFonts w:ascii="Arial" w:cs="Arial" w:eastAsia="Arial" w:hAnsi="Arial"/>
          <w:sz w:val="17"/>
          <w:szCs w:val="17"/>
          <w:color w:val="auto"/>
        </w:rPr>
        <w:t>. The Borrower shall have requested its counsel to prepare written opinions, addressed to the Lenders and dated the Closing Date, in form and substance reasonably acceptable to the Administrative Agent and the Initial Lenders with respect to the Borrower and the Guarantors, and such opinions shall have been delivered to the Administrative Agent in sufficient counterparts for each Lender.</w:t>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4.1.3 [Reserved]</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4.1.4 [Reserved]</w:t>
      </w:r>
    </w:p>
    <w:p>
      <w:pPr>
        <w:spacing w:after="0" w:line="117" w:lineRule="exact"/>
        <w:rPr>
          <w:sz w:val="20"/>
          <w:szCs w:val="20"/>
          <w:color w:val="auto"/>
        </w:rPr>
      </w:pPr>
    </w:p>
    <w:p>
      <w:pPr>
        <w:jc w:val="both"/>
        <w:ind w:left="460" w:right="40" w:firstLine="438"/>
        <w:spacing w:after="0" w:line="259"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Fees and Expenses</w:t>
      </w:r>
      <w:r>
        <w:rPr>
          <w:rFonts w:ascii="Arial" w:cs="Arial" w:eastAsia="Arial" w:hAnsi="Arial"/>
          <w:sz w:val="18"/>
          <w:szCs w:val="18"/>
          <w:color w:val="auto"/>
        </w:rPr>
        <w:t>. The Administrative Agent shall have received an executed copy of the U.S. Bank Fee Letter and shall have received for itself and for the account of the Lenders all reasonably documented fees and other amounts due and payable by the Borrower on or prior to the Closing Date, including pursuant to the U.S. Bank Fee Letter, and the reasonable fees and expenses of counsel to the Administrative Agent payable pursuant to Section 9.6.</w:t>
      </w:r>
    </w:p>
    <w:p>
      <w:pPr>
        <w:spacing w:after="0" w:line="79"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Representations</w:t>
      </w:r>
      <w:r>
        <w:rPr>
          <w:rFonts w:ascii="Arial" w:cs="Arial" w:eastAsia="Arial" w:hAnsi="Arial"/>
          <w:sz w:val="18"/>
          <w:szCs w:val="18"/>
          <w:color w:val="auto"/>
        </w:rPr>
        <w:t>. The Lenders shall not be required to make the initial Credit Extensions, unless on the Closing Date, the Specified Acquisition Agreement Representations and the representations in Sections 5.1, 5.2, 5.3(i) and (ii), 5.11, 5.17, 5.20, 5.25 and 5.26 of this Agreement are true and correct as of the Closing Date except to the extent any such representation or warranty is stated to relate solely to an earlier date, in which case such representation or warranty shall have been true and correct on and as of such earlier date. The initial Borrowing Notice from the Borrower with respect to all Loans and disbursements requested on the Closing Date shall constitute a representation and warranty by the Borrower that the conditions in this Section 4.1.6 have been satisfied.</w:t>
      </w:r>
    </w:p>
    <w:p>
      <w:pPr>
        <w:spacing w:after="0" w:line="85" w:lineRule="exact"/>
        <w:rPr>
          <w:sz w:val="20"/>
          <w:szCs w:val="20"/>
          <w:color w:val="auto"/>
        </w:rPr>
      </w:pPr>
    </w:p>
    <w:p>
      <w:pPr>
        <w:ind w:left="460" w:right="20" w:firstLine="438"/>
        <w:spacing w:after="0" w:line="264"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November 20, 2015, no Material Adverse Effect (as defined in the Acquisition Agreement (SPH)) shall have occurred and no event shall occurred that individually or in the aggregate, with or without notice or the lapse of time, would reasonably be expected to result in a Material Adverse Effect (as defined in the Acquisition Agreement (SPH)).</w:t>
      </w:r>
    </w:p>
    <w:p>
      <w:pPr>
        <w:spacing w:after="0" w:line="18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Each Credit Extension Following the Initial Credit Extensions</w:t>
      </w:r>
      <w:r>
        <w:rPr>
          <w:rFonts w:ascii="Arial" w:cs="Arial" w:eastAsia="Arial" w:hAnsi="Arial"/>
          <w:sz w:val="17"/>
          <w:szCs w:val="17"/>
          <w:color w:val="auto"/>
        </w:rPr>
        <w:t>. Following the initial Credit Extensions made on the Closing Date, the Lenders shall not be required to make any Credit Extension, other than any conversion or continuation pursuant to Section 2.7 (and subject to the terms of Section 2.9) and automatic renewals of Letters of Credit in accordance with the terms thereof, unless on the applicable Borrowing Date:</w:t>
      </w:r>
    </w:p>
    <w:p>
      <w:pPr>
        <w:spacing w:after="0" w:line="57" w:lineRule="exact"/>
        <w:rPr>
          <w:sz w:val="20"/>
          <w:szCs w:val="20"/>
          <w:color w:val="auto"/>
        </w:rPr>
      </w:pPr>
    </w:p>
    <w:p>
      <w:pPr>
        <w:ind w:left="1140" w:hanging="237"/>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exists no Default or Event of Default.</w:t>
      </w:r>
    </w:p>
    <w:p>
      <w:pPr>
        <w:spacing w:after="0" w:line="117" w:lineRule="exact"/>
        <w:rPr>
          <w:rFonts w:ascii="Arial" w:cs="Arial" w:eastAsia="Arial" w:hAnsi="Arial"/>
          <w:sz w:val="18"/>
          <w:szCs w:val="18"/>
          <w:color w:val="auto"/>
        </w:rPr>
      </w:pPr>
    </w:p>
    <w:p>
      <w:pPr>
        <w:ind w:left="460" w:right="80" w:firstLine="443"/>
        <w:spacing w:after="0" w:line="279" w:lineRule="auto"/>
        <w:tabs>
          <w:tab w:leader="none" w:pos="1153"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representations and warranties in Article V are true and correct as of such Borrowing Date in all material respects, without duplication as to any materiality modifications, qualification or limitation set forth in Article V, except to the extent any such representation or warranty is stated to relate solely to an earlier date, in which case such representation or warranty shall have been true and correct in all material respects, without duplication as to any materiality modifications, qualification or limitation set forth in Article V, on and as of such earlier date.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70" w:name="page71"/>
    <w:bookmarkEnd w:id="70"/>
    <w:p>
      <w:pPr>
        <w:jc w:val="both"/>
        <w:ind w:right="2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Borrowing Notice, Swing Line Borrowing Notice and request for issuance of a Facility LC with respect to each such Credit Extension, other than any conversion or continuation pursuant to Section 2.7 (and subject to Section 2.9) and automatic renewals of Letters of Credit in accordance with the terms thereof, shall constitute a representation and warranty by the Borrower that the conditions in Section 4.2(a) and (b) have been satisfied.</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represents and warrants to the Lenders that:</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Existence and Standing</w:t>
      </w:r>
      <w:r>
        <w:rPr>
          <w:rFonts w:ascii="Arial" w:cs="Arial" w:eastAsia="Arial" w:hAnsi="Arial"/>
          <w:sz w:val="18"/>
          <w:szCs w:val="18"/>
          <w:color w:val="auto"/>
        </w:rPr>
        <w:t>. Each of the Borrower and the Subsidiaries is a corporation, partnership (in the case of Subsidiaries only) or limited liability company duly and properly incorporated or organized, as the case may be, validly existing and (to the extent such concept applies to such entity) in good standing under the laws of its jurisdiction of incorporation or organization and has all requisite authority to conduct its business in each jurisdiction in which it conducts its business, except where the failure to be in good standing or to have such authority would not reasonably be expected to have a Material Adverse Effect.</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Authorization and Validity</w:t>
      </w:r>
      <w:r>
        <w:rPr>
          <w:rFonts w:ascii="Arial" w:cs="Arial" w:eastAsia="Arial" w:hAnsi="Arial"/>
          <w:sz w:val="18"/>
          <w:szCs w:val="18"/>
          <w:color w:val="auto"/>
        </w:rPr>
        <w:t>. Each of the Borrower and the Subsidiaries have the power and authority and legal right to execute and deliver the Transaction Documents to which it is a party and to perform its obligations thereunder. The execution and delivery by each such Person of the Transaction Documents to which it is a party and the performance of its obligations thereunder have been duly authorized by proper corporate proceedings, and the Transaction Documents to which such Person is a party constitute legal, valid and binding obligations of such Person enforceable against such Person in accordance with their terms, except as enforceability may be limited by bankruptcy, insolvency or similar laws affecting the enforcement of creditors’ rights generally.</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No Conflict; Government Consent</w:t>
      </w:r>
      <w:r>
        <w:rPr>
          <w:rFonts w:ascii="Arial" w:cs="Arial" w:eastAsia="Arial" w:hAnsi="Arial"/>
          <w:sz w:val="18"/>
          <w:szCs w:val="18"/>
          <w:color w:val="auto"/>
        </w:rPr>
        <w:t>. Neither the execution and delivery by any of the Borrower or the Subsidiaries of the Transaction Documents to which it is a party, nor the consummation of the transactions therein contemplated, nor compliance with the provisions thereof will violate (i) any material law, rule, regulation, order, writ, judgment, injunction, decree or award binding on such Person, (ii) such Person’s articles or certificate of incorporation, partnership agreement, certificate of partnership, articles or certificate of organization, bylaws, limited liability company agreement, or operating or other management agreement, as the case may be or (iii) the provisions of any indenture, instrument or agreement to which such Person is a party or is subject, or by which it, or its Property, is bound, or conflict with or constitute a default thereunder (other than to the extent that such conflict or default could not reasonably be expected</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74" w:right="299" w:bottom="1440" w:gutter="0" w:footer="0" w:header="0"/>
        </w:sectPr>
      </w:pPr>
    </w:p>
    <w:bookmarkStart w:id="71" w:name="page72"/>
    <w:bookmarkEnd w:id="7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have a Material Adverse Effect), or result in, or require, the creation or imposition of any Lien in, of or on the Property of such Person pursuant to the terms of any such indenture, instrument or agreement. No order, consent, adjudication, approval, license, authorization or validation of, filing, recording or registration with, exemption by or other action in respect of any governmental or public body or authority, or any subdivision thereof, that has not been obtained is required to be obtained by the Borrower or any of the Subsidiaries in connection with the execution and delivery of the Loan Documents, the borrowings under this Agreement, the payment and performance by the Borrower or the Subsidiaries of the Obligations or the legality, validity, binding effect or enforceability of any of the Transaction Documents, except for any consents already obtained or any necessary filing or recordation of or with respect to the Security Agreement.</w:t>
      </w:r>
    </w:p>
    <w:p>
      <w:pPr>
        <w:spacing w:after="0" w:line="18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(i) The audited annual financial statements of the Borrower and the Subsidiaries for each of its last three Fiscal Years and for the Target (SPH) for the fiscal years ended December 31, 2012, December 31, 2013, and December 31, 2014, and (ii) the unaudited consolidated financial statements of the Borrower and the Subsidiaries for the Fiscal Quarter ended September 27, 2015 and for the Target (SPH) for the Fiscal Quarter ended September 30, 2015, in each case heretofore delivered to the Lenders were prepared in accordance with GAAP in effect on the date such statements were prepared and fairly present in all material respects the consolidated financial condition and operations of the Borrower and the Subsidiaries and the Target (SPH), as applicable, at such dates and the consolidated results of their operations for the periods then ended. The pro forma financial statements delivered pursuant to Section 4.1.1(o) were prepared in good faith and are based on reasonable assumptions as to the Borrower and the Subsidiaries after giving effect to the consummation of this Agreement and the transactions contemplated herein. The consolidated pro forma balance sheet of the Borrower and the Subsidiaries as at the Closing Date, adjusted to give effect to the transactions contemplated by the Loan Documents and the financings contemplated hereby as if such transactions had occurred on such date, is consistent in all material respects with such projections.</w:t>
      </w:r>
    </w:p>
    <w:p>
      <w:pPr>
        <w:spacing w:after="0" w:line="169" w:lineRule="exact"/>
        <w:rPr>
          <w:sz w:val="20"/>
          <w:szCs w:val="20"/>
          <w:color w:val="auto"/>
        </w:rPr>
      </w:pPr>
    </w:p>
    <w:p>
      <w:pPr>
        <w:ind w:right="760" w:firstLine="456"/>
        <w:spacing w:after="0" w:line="308"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Material Adverse Change</w:t>
      </w:r>
      <w:r>
        <w:rPr>
          <w:rFonts w:ascii="Arial" w:cs="Arial" w:eastAsia="Arial" w:hAnsi="Arial"/>
          <w:sz w:val="17"/>
          <w:szCs w:val="17"/>
          <w:color w:val="auto"/>
        </w:rPr>
        <w:t>. Since December 31, 2014, there has been no change in the business, Property, financial condition or results of operations of the Borrower or the Subsidiaries that could reasonably be expected to have a Material Adverse Effect.</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Taxes</w:t>
      </w:r>
      <w:r>
        <w:rPr>
          <w:rFonts w:ascii="Arial" w:cs="Arial" w:eastAsia="Arial" w:hAnsi="Arial"/>
          <w:sz w:val="16"/>
          <w:szCs w:val="16"/>
          <w:color w:val="auto"/>
        </w:rPr>
        <w:t>. Each of the Borrower and the Subsidiaries has filed all United States federal tax returns and all other material tax returns that are required to be filed and has paid all material taxes due pursuant to said returns or pursuant to any assessment received by the Borrower or any of the Subsidiaries, except such taxes, if any, as are being contested in good faith, as to which adequate reserves have been provided in accordance with GAAP and as to which no Lien exists. No tax liens have been filed and no material claims are being asserted with respect to any such taxes. The charges, accruals and reserves on the books of the Borrower and the Subsidiaries in respect of any taxes or other governmental charges are adequate in accordance with GAAP. Neither the Borrower, nor any of the Subsidiaries have participated in any transaction that relates to a year of the taxpayer (which is still open under the applicable statute of limitations) that is a “reportable transaction” within the meaning of Treasury Regulation § 1.6011-4(b)(2) (irrespective of the date when the transaction was entered into).</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74" w:right="279" w:bottom="1440" w:gutter="0" w:footer="0" w:header="0"/>
        </w:sectPr>
      </w:pPr>
    </w:p>
    <w:bookmarkStart w:id="72" w:name="page73"/>
    <w:bookmarkEnd w:id="72"/>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5.7. </w:t>
      </w:r>
      <w:r>
        <w:rPr>
          <w:rFonts w:ascii="Arial" w:cs="Arial" w:eastAsia="Arial" w:hAnsi="Arial"/>
          <w:sz w:val="18"/>
          <w:szCs w:val="18"/>
          <w:u w:val="single" w:color="auto"/>
          <w:color w:val="auto"/>
        </w:rPr>
        <w:t>Litigation and Contingent Obligations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5.7</w:t>
      </w:r>
      <w:r>
        <w:rPr>
          <w:rFonts w:ascii="Arial" w:cs="Arial" w:eastAsia="Arial" w:hAnsi="Arial"/>
          <w:sz w:val="18"/>
          <w:szCs w:val="18"/>
          <w:color w:val="auto"/>
        </w:rPr>
        <w:t>, there is no litigation, arbitration, governmental investigation, proceeding or inquiry pending or, to the knowledge of any Authorized Officer, threatened against or affecting the Borrower or any of the Subsidiaries that could, individually or collectively, reasonably be expected to have a Material Adverse Effect or that seeks to prevent, enjoin or delay the making of any Credit Extensions. Other than any liability incident to any litigation, arbitration or proceeding that could not reasonably be expected to have a Material Adverse Effect, the Borrower and the Subsidiaries have no material contingent obligations not provided for or disclosed in the financial statements referred to in Section 5.4.</w:t>
      </w:r>
    </w:p>
    <w:p>
      <w:pPr>
        <w:spacing w:after="0" w:line="19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5.8</w:t>
      </w:r>
      <w:r>
        <w:rPr>
          <w:rFonts w:ascii="Arial" w:cs="Arial" w:eastAsia="Arial" w:hAnsi="Arial"/>
          <w:sz w:val="17"/>
          <w:szCs w:val="17"/>
          <w:color w:val="auto"/>
        </w:rPr>
        <w:t xml:space="preserve"> contains an accurate list of all Subsidiaries of Borrower as of the Closing Date (after giving effect to the Acquisition (SPH)) and an accurate list of all Subsidiaries of Borrower (after giving effect to the Stauber Restructuring) as of the date of the Stauber Restructuring, setting forth their respective jurisdictions of organization and the percentage of their respective Equity Interests owned by the Borrower, or other Subsidiaries. All of the issued and outstanding shares of capital stock or other Equity Interest of such Subsidiaries have been (to the extent such concepts are relevant with respect to such ownership interests) duly authorized and issued and are fully paid and non-assessable.</w:t>
      </w:r>
    </w:p>
    <w:p>
      <w:pPr>
        <w:spacing w:after="0" w:line="17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ERISA</w:t>
      </w:r>
      <w:r>
        <w:rPr>
          <w:rFonts w:ascii="Arial" w:cs="Arial" w:eastAsia="Arial" w:hAnsi="Arial"/>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Accuracy of Information</w:t>
      </w:r>
      <w:r>
        <w:rPr>
          <w:rFonts w:ascii="Arial" w:cs="Arial" w:eastAsia="Arial" w:hAnsi="Arial"/>
          <w:sz w:val="16"/>
          <w:szCs w:val="16"/>
          <w:color w:val="auto"/>
        </w:rPr>
        <w:t>. No information, exhibit or report furnished by the Borrower, or any of the Subsidiaries to the Administrative Agent or to any Lender in connection with the negotiation of, or compliance with, the Loan Documents, including without limitation the financial statements delivered pursuant to Section 5.4, contained any material misstatement of fact or omitted to state a material fact or any fact necessary to make the statements therein not misleading in light of the circumstances when made. The Acquisition Agreement (SPH) delivered pursuant to Section 4.1.1(l)(A) embodies, in all material respects, the entire agreement and understanding between the parties thereto with respect to the matters therein as of the Closing Date.</w:t>
      </w:r>
    </w:p>
    <w:p>
      <w:pPr>
        <w:spacing w:after="0" w:line="15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Regulation U</w:t>
      </w:r>
      <w:r>
        <w:rPr>
          <w:rFonts w:ascii="Arial" w:cs="Arial" w:eastAsia="Arial" w:hAnsi="Arial"/>
          <w:sz w:val="16"/>
          <w:szCs w:val="16"/>
          <w:color w:val="auto"/>
        </w:rPr>
        <w:t>. “Margin Stock” (as defined in Regulation U) constitutes less than 25% of the value of those assets of the Borrower and the Subsidiaries that are subject to any limitation on sale, pledge or other restriction hereunder. Neither the Borrower nor any Subsidiary is engaged principally, or as one of their important activities, in the business of extending credit for the purpose of carrying “Margin Stock” (as defined in Regulation U). Neither the Borrower, nor any Subsidiary has used any of the proceeds of the Advances to purchase or carry any “Margin Stock” (as defined in Regulation U).</w:t>
      </w:r>
    </w:p>
    <w:p>
      <w:pPr>
        <w:spacing w:after="0" w:line="15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Material Agreements</w:t>
      </w:r>
      <w:r>
        <w:rPr>
          <w:rFonts w:ascii="Arial" w:cs="Arial" w:eastAsia="Arial" w:hAnsi="Arial"/>
          <w:sz w:val="17"/>
          <w:szCs w:val="17"/>
          <w:color w:val="auto"/>
        </w:rPr>
        <w:t>. Neither the Borrower nor any Subsidiary is (a) a party to any agreement or instrument the compliance with, or performance of, which could reasonably be expected to have a Material Adverse Effect, or (b) subject to any charter or other corporate, limited liability company or partnership restriction that could reasonably be expected to have a Material Adverse Effect. Neither the Borrower nor any Subsidiary is in default in the performance, observance or fulfillment of any of the obligations, covenants or conditions in any agreement to which it is a party (including any agreement or instrument evidencing or governing indebtedness), which default could reasonably be expected to have a Material Adverse Effect.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73" w:name="page74"/>
    <w:bookmarkEnd w:id="73"/>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5.13.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and the Subsidiaries have complied in all material respects with all applicable statutes, rules, regulations, orders and restrictions of any domestic or foreign government or any instrumentality or agency thereof having jurisdiction over the conduct of their respective businesses or the ownership of their respective Property.</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Ownership of Properties; Perfection of Liens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5.14</w:t>
      </w:r>
      <w:r>
        <w:rPr>
          <w:rFonts w:ascii="Arial" w:cs="Arial" w:eastAsia="Arial" w:hAnsi="Arial"/>
          <w:sz w:val="18"/>
          <w:szCs w:val="18"/>
          <w:color w:val="auto"/>
        </w:rPr>
        <w:t>, on the Closing Date, the Borrower and the Subsidiaries will have good, and in the case of real property, marketable title, free and clear of all Liens other than those permitted by Section 6.22, to all of the Property and assets reflected in the Borrower’s most recent consolidated financial statements provided to the Administrative Agent as owned by the Borrower and the Subsidiaries. The Obligations are secured by valid, perfected, first-priority Liens (subject to Liens permitted pursuant to Section 6.22) in favor of the Administrative Agent for the benefit of the Lenders, covering and encumbering all Collateral granted or purported to be granted by the Collateral Documents, to the extent perfection has occurred by the filing of a UCC financing statement or by continued possession or control (other than with respect to Liens on Collateral represented by a certificate of title). Neither the Borrower nor any Subsidiary has subordinated any of their rights under any Obligation owing to it to the rights of another Person.</w:t>
      </w:r>
    </w:p>
    <w:p>
      <w:pPr>
        <w:spacing w:after="0" w:line="19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Plan Assets; Prohibited Transactions</w:t>
      </w:r>
      <w:r>
        <w:rPr>
          <w:rFonts w:ascii="Arial" w:cs="Arial" w:eastAsia="Arial" w:hAnsi="Arial"/>
          <w:sz w:val="18"/>
          <w:szCs w:val="18"/>
          <w:color w:val="auto"/>
        </w:rPr>
        <w:t>. Neither the Borrower nor any Subsidiary is an entity deemed to hold “plan assets” within the meaning of 29 C.F.R. § 2510.3-101, as modified by Section 3(42) of ERISA, of an employee benefit plan (as defined in § 3(3) of ERISA) that is subject to Title I of ERISA or any plan (within the meaning of § 4975 of the Code) which is subject to Section 4975 of the Code, and neither the execution of this Agreement nor the making of Credit Extensions hereunder gives rise to a Prohibited Transaction. The Borrower is not subject to any law, rule or regulation which is substantially similar to a Prohibited Transaction.</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The ongoing operations of the Borrower and each Subsidiary comply in all respects with all Environmental Laws, except such non-compliance as could not (if enforced in accordance with applicable law) reasonably be expected to result, either individually or in the aggregate, in a Material Adverse Effect. Each of the Borrower and the Subsidiaries has obtained, and maintained in good standing, all material licenses, permits, authorizations, registrations and other approvals required under any Environmental Law and required for its then current ordinary course operations, and each of the Borrower and the Subsidiaries is in compliance with all terms and conditions thereof, except where the failure to so comply could not reasonably be expected to result in material liability of the Borrower and the Subsidiaries and could not reasonably be expected to result, either individually or in the aggregate, in a Material Adverse Effect. Except as set forth on </w:t>
      </w:r>
      <w:r>
        <w:rPr>
          <w:rFonts w:ascii="Arial" w:cs="Arial" w:eastAsia="Arial" w:hAnsi="Arial"/>
          <w:sz w:val="16"/>
          <w:szCs w:val="16"/>
          <w:u w:val="single" w:color="auto"/>
          <w:color w:val="auto"/>
        </w:rPr>
        <w:t>Schedule 5.16</w:t>
      </w:r>
      <w:r>
        <w:rPr>
          <w:rFonts w:ascii="Arial" w:cs="Arial" w:eastAsia="Arial" w:hAnsi="Arial"/>
          <w:sz w:val="16"/>
          <w:szCs w:val="16"/>
          <w:color w:val="auto"/>
        </w:rPr>
        <w:t xml:space="preserve"> and except for matters that could not reasonably be expected to have a Material Adverse Effect, none of the Borrower or any of the Subsidiaries or any of their currently owned or leased real properties is subject to any written order from or agreement with any Governmental Authority, nor subject to any judicial or docketed administrative or other proceeding, respecting any Environmental Claim. To the knowledge of the Borrower, there are no Hazardous Substances or other conditions or circumstances existing with respect to any property, arising from operations prior to the Closing Date, or relating to any waste disposal, of any of the Borrower or the Subsidiaries that would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74" w:name="page75"/>
    <w:bookmarkEnd w:id="74"/>
    <w:p>
      <w:pPr>
        <w:jc w:val="both"/>
        <w:ind w:right="3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reasonably be expected to result, either individually or in the aggregate, in a Material Adverse Effect. Except as set forth on </w:t>
      </w:r>
      <w:r>
        <w:rPr>
          <w:rFonts w:ascii="Arial" w:cs="Arial" w:eastAsia="Arial" w:hAnsi="Arial"/>
          <w:sz w:val="18"/>
          <w:szCs w:val="18"/>
          <w:u w:val="single" w:color="auto"/>
          <w:color w:val="auto"/>
        </w:rPr>
        <w:t>Schedule 5.16</w:t>
      </w:r>
      <w:r>
        <w:rPr>
          <w:rFonts w:ascii="Arial" w:cs="Arial" w:eastAsia="Arial" w:hAnsi="Arial"/>
          <w:sz w:val="18"/>
          <w:szCs w:val="18"/>
          <w:color w:val="auto"/>
        </w:rPr>
        <w:t xml:space="preserve"> and except for matters that could not reasonably be expected to have a Material Adverse Effect, none of the Borrower and the Subsidiaries has any underground storage tanks that are not in compliance with Environmental Laws.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Borrower nor any Subsidiary is an “investment company” or a company “controlled” by an “investment company” within the meaning of the Investment Company Act of 1940, as amended.</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Insurance</w:t>
      </w:r>
      <w:r>
        <w:rPr>
          <w:rFonts w:ascii="Arial" w:cs="Arial" w:eastAsia="Arial" w:hAnsi="Arial"/>
          <w:sz w:val="18"/>
          <w:szCs w:val="18"/>
          <w:color w:val="auto"/>
        </w:rPr>
        <w:t>. Each of the Borrower maintains, and has caused each Subsidiary to maintain, with financially sound and reputable insurance companies insurance on all their Property in such amounts, subject to such deductibles and self-insurance retentions and covering such properties and risks as are consistent with sound business practice and as are customarily carried by companies engaged in similar business and owning similar properties in localities where the Borrower and the Subsidiaries operate.</w:t>
      </w:r>
    </w:p>
    <w:p>
      <w:pPr>
        <w:spacing w:after="0" w:line="18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Real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5.19</w:t>
      </w:r>
      <w:r>
        <w:rPr>
          <w:rFonts w:ascii="Arial" w:cs="Arial" w:eastAsia="Arial" w:hAnsi="Arial"/>
          <w:sz w:val="17"/>
          <w:szCs w:val="17"/>
          <w:color w:val="auto"/>
        </w:rPr>
        <w:t xml:space="preserve"> sets forth a complete and accurate list, as of the Closing Date, of (i) the address of all real property leased by the Borrower or any Subsidiary and (ii) the address and a legal description of any real property owned by the Borrower or Subsidiary.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Solvency</w:t>
      </w:r>
      <w:r>
        <w:rPr>
          <w:rFonts w:ascii="Arial" w:cs="Arial" w:eastAsia="Arial" w:hAnsi="Arial"/>
          <w:sz w:val="18"/>
          <w:szCs w:val="18"/>
          <w:color w:val="auto"/>
        </w:rPr>
        <w:t>.</w:t>
      </w:r>
    </w:p>
    <w:p>
      <w:pPr>
        <w:spacing w:after="0" w:line="117" w:lineRule="exact"/>
        <w:rPr>
          <w:sz w:val="20"/>
          <w:szCs w:val="20"/>
          <w:color w:val="auto"/>
        </w:rPr>
      </w:pPr>
    </w:p>
    <w:p>
      <w:pPr>
        <w:ind w:left="460" w:right="60" w:firstLine="443"/>
        <w:spacing w:after="0" w:line="288" w:lineRule="auto"/>
        <w:tabs>
          <w:tab w:leader="none" w:pos="11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Immediately after the consummation of the transactions to occur on the Closing Date, immediately following the making of each Credit Extension, if any, made on the Closing Date and after giving effect to the application of the proceeds of such Credit Extensions and the consummation of the Acquisition (SPH), (i) the fair value of the assets of the Borrower and the Subsidiaries on a consolidated basis will exceed the debts and liabilities, subordinated, contingent or otherwise, of the Borrower and the Subsidiaries on a consolidated basis; (ii) the present fair saleable value of the Property of the Borrower and the Subsidiaries on a consolidated basis will be greater than the amount that would be required to pay the probable liability of the Borrower and the Subsidiaries on a consolidated basis on their debts and other liabilities, subordinated, contingent or otherwise, as such debts and other liabilities become absolute and matured; (iii) the Borrower and the Subsidiaries on a consolidated basis will be able to pay their debts and liabilities, subordinated, contingent or otherwise, as such debts and liabilities become absolute and matured; and (iv) the Borrower and the Subsidiaries on a consolidated basis will not have unreasonably small capital with which to conduct the businesses in which they are engaged as such businesses are now conducted and are proposed to be conducted after the Closing Date.</w:t>
      </w:r>
    </w:p>
    <w:p>
      <w:pPr>
        <w:spacing w:after="0" w:line="61" w:lineRule="exact"/>
        <w:rPr>
          <w:rFonts w:ascii="Arial" w:cs="Arial" w:eastAsia="Arial" w:hAnsi="Arial"/>
          <w:sz w:val="16"/>
          <w:szCs w:val="16"/>
          <w:color w:val="auto"/>
        </w:rPr>
      </w:pPr>
    </w:p>
    <w:p>
      <w:pPr>
        <w:ind w:left="460" w:firstLine="443"/>
        <w:spacing w:after="0" w:line="312" w:lineRule="auto"/>
        <w:tabs>
          <w:tab w:leader="none" w:pos="115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Borrower does not intend to, or intend to permit any of its Subsidiaries to, and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75" w:name="page76"/>
    <w:bookmarkEnd w:id="75"/>
    <w:p>
      <w:pPr>
        <w:ind w:right="30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5.21.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Borrower and each Subsidiary owns and possesses or has a license or other right to use all patents, patent rights, trademarks, trademark rights, trade names, trade name rights, service marks, service mark rights and copyrights that are necessary for the conduct of such Person’s businesses, without any infringement upon rights of others that could reasonably be expected to have a Material Adverse Effect.</w:t>
      </w:r>
    </w:p>
    <w:p>
      <w:pPr>
        <w:spacing w:after="0" w:line="14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Labor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5.22</w:t>
      </w:r>
      <w:r>
        <w:rPr>
          <w:rFonts w:ascii="Arial" w:cs="Arial" w:eastAsia="Arial" w:hAnsi="Arial"/>
          <w:sz w:val="18"/>
          <w:szCs w:val="18"/>
          <w:color w:val="auto"/>
        </w:rPr>
        <w:t>, as of the Closing Date, neither the Borrower nor any Subsidiary is subject to any labor or collective bargaining agreement. There are no existing or threatened strikes, lockouts or other labor disputes involving any of the Borrower and the Subsidiaries that singly or in the aggregate could reasonably be expected to have a Material Adverse Effect. Hours worked by and payment made to employees of the Borrower and the Subsidiaries are in material compliance with the Fair Labor Standards Act and any other applicable laws, rules or regulations dealing with such matters.</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No Default</w:t>
      </w:r>
      <w:r>
        <w:rPr>
          <w:rFonts w:ascii="Arial" w:cs="Arial" w:eastAsia="Arial" w:hAnsi="Arial"/>
          <w:sz w:val="18"/>
          <w:szCs w:val="18"/>
          <w:color w:val="auto"/>
        </w:rPr>
        <w:t>. No Event of Default exists or would result from the incurrence by the Borrower or any Subsidiary of any Indebtedness hereunder or under any other Loan Document.</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Burdensome Restrictions</w:t>
      </w:r>
      <w:r>
        <w:rPr>
          <w:rFonts w:ascii="Arial" w:cs="Arial" w:eastAsia="Arial" w:hAnsi="Arial"/>
          <w:sz w:val="18"/>
          <w:szCs w:val="18"/>
          <w:color w:val="auto"/>
        </w:rPr>
        <w:t>. Neither the Borrower nor any Subsidiary is a party to or otherwise bound by any indenture, loan or credit agreement or any lease or other agreement or instrument or subject to any charter, corporate, limited liability company or partnership restriction action which could reasonably be expected to have a Material Adverse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u w:val="single" w:color="auto"/>
          <w:color w:val="auto"/>
        </w:rPr>
        <w:t>Anti-Corruption Laws; Sanctions; Anti-Terrorism Laws.</w:t>
      </w:r>
    </w:p>
    <w:p>
      <w:pPr>
        <w:spacing w:after="0" w:line="225" w:lineRule="exact"/>
        <w:rPr>
          <w:sz w:val="20"/>
          <w:szCs w:val="20"/>
          <w:color w:val="auto"/>
        </w:rPr>
      </w:pPr>
    </w:p>
    <w:p>
      <w:pPr>
        <w:jc w:val="both"/>
        <w:ind w:right="40" w:firstLine="921"/>
        <w:spacing w:after="0" w:line="279" w:lineRule="auto"/>
        <w:tabs>
          <w:tab w:leader="none" w:pos="115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Borrower, its Subsidiaries and their respective officers and employees and to the knowledge of the Borrower its directors and agents, are in compliance with Anti-Corruption Laws and applicable Sanctions in all material respects. None of the Borrower, any Subsidiary or to the knowledge of the Borrower or such Subsidiary any of their respective directors, officers or employees, is a Sanctioned Person. No Loan or Facility LC, use of the proceeds of any Loan or Facility LC or other transactions contemplated hereby will violate Anti-Corruption Laws or applicable Sanctions.</w:t>
      </w:r>
    </w:p>
    <w:p>
      <w:pPr>
        <w:spacing w:after="0" w:line="171" w:lineRule="exact"/>
        <w:rPr>
          <w:rFonts w:ascii="Arial" w:cs="Arial" w:eastAsia="Arial" w:hAnsi="Arial"/>
          <w:sz w:val="17"/>
          <w:szCs w:val="17"/>
          <w:color w:val="auto"/>
        </w:rPr>
      </w:pPr>
    </w:p>
    <w:p>
      <w:pPr>
        <w:ind w:right="80" w:firstLine="921"/>
        <w:spacing w:after="0" w:line="259" w:lineRule="auto"/>
        <w:tabs>
          <w:tab w:leader="none" w:pos="11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Neither the making of the Loans hereunder nor the use of the proceeds thereof will violate the PATRIOT Act, the Trading with the Enemy Act, as amended, or any of the foreign assets control regulations of the United States Treasury Department (31 C.F.R., Subtitle B, Chapter V, as amended) or any enabling legislation or executive order relating thereto or successor statute thereto. The Borrower and its Subsidiaries are in compliance in all material respects with the PATRIOT Act.</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5.26. </w:t>
      </w:r>
      <w:r>
        <w:rPr>
          <w:rFonts w:ascii="Arial" w:cs="Arial" w:eastAsia="Arial" w:hAnsi="Arial"/>
          <w:sz w:val="17"/>
          <w:szCs w:val="17"/>
          <w:u w:val="single" w:color="auto"/>
          <w:color w:val="auto"/>
        </w:rPr>
        <w:t>Foreign Assets Control Regulations and Anti-Money Laundering</w:t>
      </w:r>
      <w:r>
        <w:rPr>
          <w:rFonts w:ascii="Arial" w:cs="Arial" w:eastAsia="Arial" w:hAnsi="Arial"/>
          <w:sz w:val="17"/>
          <w:szCs w:val="17"/>
          <w:color w:val="auto"/>
        </w:rPr>
        <w:t>. Neither the Borrower nor any of the Subsidiaries (i) is a Person whose property or interest in property is blocked or subject to blocking pursuant to Section 1 of Executive Order 13224 of September 23, 2001 Blocking Property and Prohibiting Transactions With Persons Who Commit, Threaten to Commit, or Support Terrorism (66 Fed. Reg. 49079 (2001)), (ii) to the knowledge of any Authorized Officer engages in any dealings or transactions prohibited by Section 2 of such executive order, or is otherwise, to the knowledge of an Authorized Officer, associated with any such person in any manner violating Section 2, or (iii) is a person on the list of Specially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274" w:right="299" w:bottom="1440" w:gutter="0" w:footer="0" w:header="0"/>
        </w:sectPr>
      </w:pPr>
    </w:p>
    <w:bookmarkStart w:id="76" w:name="page77"/>
    <w:bookmarkEnd w:id="76"/>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Designated Nationals and Blocked Persons or subject to the limitations or prohibitions under any other U.S. Department of Treasury’s Office of Foreign Assets Control regulation or executive order.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5.27. </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The Obligations constitute senior Indebtedness which is entitled to the benefits of the subordination provisions of all outstanding Subordinated Indebtedness.</w:t>
      </w:r>
    </w:p>
    <w:p>
      <w:pPr>
        <w:spacing w:after="0" w:line="38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term of this Agreement, unless the Required Lenders otherwise consent in writing:</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Reporting</w:t>
      </w:r>
      <w:r>
        <w:rPr>
          <w:rFonts w:ascii="Arial" w:cs="Arial" w:eastAsia="Arial" w:hAnsi="Arial"/>
          <w:sz w:val="18"/>
          <w:szCs w:val="18"/>
          <w:color w:val="auto"/>
        </w:rPr>
        <w:t>. The Borrower will maintain, for itself and each of the Subsidiaries, a system of accounting established and administered in accordance with GAAP, and furnish to the Administrative Agent and the Lenders, in each case in form and scope reasonably acceptable to the Administrative Agent and the Initial Lenders:</w:t>
      </w:r>
    </w:p>
    <w:p>
      <w:pPr>
        <w:spacing w:after="0" w:line="73" w:lineRule="exact"/>
        <w:rPr>
          <w:sz w:val="20"/>
          <w:szCs w:val="20"/>
          <w:color w:val="auto"/>
        </w:rPr>
      </w:pPr>
    </w:p>
    <w:p>
      <w:pPr>
        <w:ind w:left="460" w:right="260" w:firstLine="443"/>
        <w:spacing w:after="0" w:line="272" w:lineRule="auto"/>
        <w:tabs>
          <w:tab w:leader="none" w:pos="1143" w:val="left"/>
        </w:tabs>
        <w:numPr>
          <w:ilvl w:val="0"/>
          <w:numId w:val="56"/>
        </w:numPr>
        <w:rPr>
          <w:rFonts w:ascii="Arial" w:cs="Arial" w:eastAsia="Arial" w:hAnsi="Arial"/>
          <w:sz w:val="17"/>
          <w:szCs w:val="17"/>
          <w:color w:val="auto"/>
        </w:rPr>
      </w:pPr>
      <w:r>
        <w:rPr>
          <w:rFonts w:ascii="Arial" w:cs="Arial" w:eastAsia="Arial" w:hAnsi="Arial"/>
          <w:sz w:val="17"/>
          <w:szCs w:val="17"/>
          <w:color w:val="auto"/>
        </w:rPr>
        <w:t>Within 75 days of April 3, 2016, and with 75 days after the close of each Fiscal Year thereafter, an unqualified (except for qualifications relating to changes in accounting principles or practices reflecting changes in GAAP) audit report, with no going concern modifier, certified by the Borrower’s current independent certified public accountants or other independent certified public accountants of national reputation and standing reasonably acceptable to the Lenders, prepared in accordance with GAAP on a consolidated basis for the Borrower and its Subsidiaries, including a balance sheet as of the end of such period and related statements of operations, stockholders’ investment, and cash flows, accompanied by any management letter, if issued, prepared by said accountants (provided that if such management letter is not available at such time, the Borrower shall deliver it promptly following receipt thereof).</w:t>
      </w:r>
    </w:p>
    <w:p>
      <w:pPr>
        <w:spacing w:after="0" w:line="69" w:lineRule="exact"/>
        <w:rPr>
          <w:rFonts w:ascii="Arial" w:cs="Arial" w:eastAsia="Arial" w:hAnsi="Arial"/>
          <w:sz w:val="17"/>
          <w:szCs w:val="17"/>
          <w:color w:val="auto"/>
        </w:rPr>
      </w:pPr>
    </w:p>
    <w:p>
      <w:pPr>
        <w:ind w:left="460" w:right="80" w:firstLine="443"/>
        <w:spacing w:after="0" w:line="257" w:lineRule="auto"/>
        <w:tabs>
          <w:tab w:leader="none" w:pos="11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Within 45 days after the close of the first three (3) Fiscal Quarter periods after each of its Fiscal Years, for the Borrower and its Subsidiaries, consolidated unaudited balance sheets as at the close of each such period and consolidated unaudited profit and loss and a statement of cash flows for the period from the beginning of such Fiscal Year to the end of such quarter, all certified by the Borrower’s chief financial officer, which certification may be done through the chief financial officer’s certifications made to the U.S. Securities and Exchange Commission to the extent that such financial statements have been filed with the U.S. Securities and Exchange Commission.</w:t>
      </w:r>
    </w:p>
    <w:p>
      <w:pPr>
        <w:spacing w:after="0" w:line="80" w:lineRule="exact"/>
        <w:rPr>
          <w:rFonts w:ascii="Arial" w:cs="Arial" w:eastAsia="Arial" w:hAnsi="Arial"/>
          <w:sz w:val="18"/>
          <w:szCs w:val="18"/>
          <w:color w:val="auto"/>
        </w:rPr>
      </w:pPr>
    </w:p>
    <w:p>
      <w:pPr>
        <w:jc w:val="both"/>
        <w:ind w:left="460" w:right="200" w:firstLine="443"/>
        <w:spacing w:after="0" w:line="264" w:lineRule="auto"/>
        <w:tabs>
          <w:tab w:leader="none" w:pos="114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soon as available, but in any event within 45 days after the first day of each Fiscal Year of the Borrower, a copy of the plan and forecast (including a projected consolidated balance sheet, income statement, Capital Expenditures budget and cash flow statement) of the Borrower and the Subsidiaries for such Fiscal Year.</w:t>
      </w:r>
    </w:p>
    <w:p>
      <w:pPr>
        <w:spacing w:after="0" w:line="73" w:lineRule="exact"/>
        <w:rPr>
          <w:rFonts w:ascii="Arial" w:cs="Arial" w:eastAsia="Arial" w:hAnsi="Arial"/>
          <w:sz w:val="18"/>
          <w:szCs w:val="18"/>
          <w:color w:val="auto"/>
        </w:rPr>
      </w:pPr>
    </w:p>
    <w:p>
      <w:pPr>
        <w:ind w:left="460" w:right="340" w:firstLine="443"/>
        <w:spacing w:after="0" w:line="277" w:lineRule="auto"/>
        <w:tabs>
          <w:tab w:leader="none" w:pos="115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Commencing with the first period that financial statements are required under Section 6.1(a) and thereafter when financial statements are required under Sections 6.1(a) and 6.1(b), a compliance certificate in substantially the form of </w:t>
      </w:r>
      <w:r>
        <w:rPr>
          <w:rFonts w:ascii="Arial" w:cs="Arial" w:eastAsia="Arial" w:hAnsi="Arial"/>
          <w:sz w:val="18"/>
          <w:szCs w:val="18"/>
          <w:u w:val="single" w:color="auto"/>
          <w:color w:val="auto"/>
        </w:rPr>
        <w:t>Exhibit A</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274" w:right="299" w:bottom="1440" w:gutter="0" w:footer="0" w:header="0"/>
        </w:sectPr>
      </w:pPr>
    </w:p>
    <w:bookmarkStart w:id="77" w:name="page78"/>
    <w:bookmarkEnd w:id="77"/>
    <w:p>
      <w:pPr>
        <w:ind w:left="46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signed by the chief financial officer of the Borrower showing the calculations necessary to determine compliance with this Agreement and stating that no Default or Event of Default exists, or if any Default or Event of Default exists, stating the nature and status thereof.</w:t>
      </w:r>
    </w:p>
    <w:p>
      <w:pPr>
        <w:spacing w:after="0" w:line="62" w:lineRule="exact"/>
        <w:rPr>
          <w:sz w:val="20"/>
          <w:szCs w:val="20"/>
          <w:color w:val="auto"/>
        </w:rPr>
      </w:pPr>
    </w:p>
    <w:p>
      <w:pPr>
        <w:ind w:left="460" w:right="180" w:firstLine="443"/>
        <w:spacing w:after="0" w:line="277" w:lineRule="auto"/>
        <w:tabs>
          <w:tab w:leader="none" w:pos="1143"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Promptly upon the furnishing thereof to the shareholders of the Borrower, copies of all financial statements, reports and proxy statements so furnished that are not otherwise provided hereunder.</w:t>
      </w:r>
    </w:p>
    <w:p>
      <w:pPr>
        <w:spacing w:after="0" w:line="62" w:lineRule="exact"/>
        <w:rPr>
          <w:rFonts w:ascii="Arial" w:cs="Arial" w:eastAsia="Arial" w:hAnsi="Arial"/>
          <w:sz w:val="18"/>
          <w:szCs w:val="18"/>
          <w:color w:val="auto"/>
        </w:rPr>
      </w:pPr>
    </w:p>
    <w:p>
      <w:pPr>
        <w:ind w:left="460" w:right="620" w:firstLine="443"/>
        <w:spacing w:after="0" w:line="277" w:lineRule="auto"/>
        <w:tabs>
          <w:tab w:leader="none" w:pos="1123"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Promptly upon the filing thereof, copies of all registration statements and annual, quarterly, monthly or other regular reports which the Borrower or any of its Subsidiaries files with the U.S. Securities and Exchange Commission.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Such other information (including non-financial information) as the Administrative Agent or any Lender may from time to time reasonably</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request.</w:t>
      </w:r>
    </w:p>
    <w:p>
      <w:pPr>
        <w:spacing w:after="0" w:line="21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financial statement or other information required to be furnished pursuant to Section 6.1(a), Section 6.1(b), Section 6.1(e) and Section 6.1(f) shall be deemed to have been furnished on the date on which the Lenders receive notice that the Borrower has filed such financial statement or other information with the U.S. Securities and Exchange Commission and is available on the EDGAR website on the Internet at www.sec.gov or any successor government website that is freely and readily available to the Administrative Agent and the Lenders without charge; provided that the Borrower shall give notice of any filing of a registration statement to the Administrative Agent (who shall then give notice of any such filing to the Lenders) and Borrower shall give notice to the Administrative Agent if it shall fail to make any timely filing of any regular report or proxy statement with the U.S. Securities and Exchange Commission (who shall then give notice of any such late filing to the Lenders). Notwithstanding the foregoing, the Borrower shall deliver paper or electronic copies of any such financial statement to the Administrative Agent if the Administrative Agent or an Initial Lender requests the Borrower to furnish such paper or electronic copies until written notice to cease delivering such paper or electronic copies is given by the Administrative Agent or such Initial Lender.</w:t>
      </w:r>
    </w:p>
    <w:p>
      <w:pPr>
        <w:spacing w:after="0" w:line="16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If any information that is required to be furnished to the Lenders under this Section is required by law or regulation to be filed by the Borrower with a government body on an earlier date, then the information required hereunder shall be furnished to the Lenders at such earlier date.</w:t>
      </w:r>
    </w:p>
    <w:p>
      <w:pPr>
        <w:spacing w:after="0" w:line="147"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Borrower will, and will cause each Subsidiary to, use the proceeds of the Loans (i) to finance the Acquisition (SPH) and expenses related thereto and (ii) for working capital, Capital Expenditures, Restricted Payments permitted by this Agreement, Permitted Acquisitions and other general corporate purposes. The Borrower will not, and will not permit any Subsidiary to, use any of the proceeds of the Advances to purchase or carry any “margin stock” (as defined in Regulation U). The Borrower will not request any Loan or Facility LC, and the Borrower shall not use, and the Borrower shall ensure that its Subsidiaries and its or their respective directors, officers, employees and agents shall not use, the proceeds of any Loan or Facility LC</w:t>
      </w:r>
    </w:p>
    <w:p>
      <w:pPr>
        <w:spacing w:after="0" w:line="2" w:lineRule="exact"/>
        <w:rPr>
          <w:sz w:val="20"/>
          <w:szCs w:val="20"/>
          <w:color w:val="auto"/>
        </w:rPr>
      </w:pPr>
    </w:p>
    <w:p>
      <w:pPr>
        <w:ind w:right="640" w:firstLine="8"/>
        <w:spacing w:after="0" w:line="261" w:lineRule="auto"/>
        <w:tabs>
          <w:tab w:leader="none" w:pos="2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furtherance of an offer, payment, promise to pay, or authorization of the payment or giving of money, or anything else of value, to any Person in violation of any Anti-Corruption Laws or (ii) in any manner that would result in the violation of any applicable Sanctions.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8"/>
          <w:szCs w:val="18"/>
          <w:u w:val="single" w:color="auto"/>
          <w:color w:val="auto"/>
        </w:rPr>
        <w:t>Notice of Event of Default; ERISA Matters</w:t>
      </w:r>
      <w:r>
        <w:rPr>
          <w:rFonts w:ascii="Arial" w:cs="Arial" w:eastAsia="Arial" w:hAnsi="Arial"/>
          <w:sz w:val="18"/>
          <w:szCs w:val="18"/>
          <w:color w:val="auto"/>
        </w:rPr>
        <w:t>. The Borrower shall furnish to the Administrative Agent and the Lenders:</w:t>
      </w:r>
    </w:p>
    <w:p>
      <w:pPr>
        <w:spacing w:after="0" w:line="117" w:lineRule="exact"/>
        <w:rPr>
          <w:sz w:val="20"/>
          <w:szCs w:val="20"/>
          <w:color w:val="auto"/>
        </w:rPr>
      </w:pPr>
    </w:p>
    <w:p>
      <w:pPr>
        <w:jc w:val="both"/>
        <w:ind w:right="20" w:firstLine="443"/>
        <w:spacing w:after="0" w:line="264" w:lineRule="auto"/>
        <w:tabs>
          <w:tab w:leader="none" w:pos="683" w:val="left"/>
        </w:tabs>
        <w:numPr>
          <w:ilvl w:val="1"/>
          <w:numId w:val="59"/>
        </w:numPr>
        <w:rPr>
          <w:rFonts w:ascii="Arial" w:cs="Arial" w:eastAsia="Arial" w:hAnsi="Arial"/>
          <w:sz w:val="18"/>
          <w:szCs w:val="18"/>
          <w:color w:val="auto"/>
        </w:rPr>
      </w:pPr>
      <w:r>
        <w:rPr>
          <w:rFonts w:ascii="Arial" w:cs="Arial" w:eastAsia="Arial" w:hAnsi="Arial"/>
          <w:sz w:val="18"/>
          <w:szCs w:val="18"/>
          <w:color w:val="auto"/>
        </w:rPr>
        <w:t>Promptly and in any event within 10 Business Days after an Authorized Officer of the Borrower obtains knowledge thereof, of the occurrence of any Default or Event of Default and of any other development, financial or otherwise, that could reasonably be expected to have a Material Adverse Effect.</w:t>
      </w:r>
    </w:p>
    <w:p>
      <w:pPr>
        <w:spacing w:after="0" w:line="73" w:lineRule="exact"/>
        <w:rPr>
          <w:rFonts w:ascii="Arial" w:cs="Arial" w:eastAsia="Arial" w:hAnsi="Arial"/>
          <w:sz w:val="18"/>
          <w:szCs w:val="18"/>
          <w:color w:val="auto"/>
        </w:rPr>
      </w:pPr>
    </w:p>
    <w:p>
      <w:pPr>
        <w:ind w:right="60" w:firstLine="443"/>
        <w:spacing w:after="0" w:line="279" w:lineRule="auto"/>
        <w:tabs>
          <w:tab w:leader="none" w:pos="693" w:val="left"/>
        </w:tabs>
        <w:numPr>
          <w:ilvl w:val="1"/>
          <w:numId w:val="59"/>
        </w:numPr>
        <w:rPr>
          <w:rFonts w:ascii="Arial" w:cs="Arial" w:eastAsia="Arial" w:hAnsi="Arial"/>
          <w:sz w:val="17"/>
          <w:szCs w:val="17"/>
          <w:color w:val="auto"/>
        </w:rPr>
      </w:pPr>
      <w:r>
        <w:rPr>
          <w:rFonts w:ascii="Arial" w:cs="Arial" w:eastAsia="Arial" w:hAnsi="Arial"/>
          <w:sz w:val="17"/>
          <w:szCs w:val="17"/>
          <w:color w:val="auto"/>
        </w:rPr>
        <w:t>Promptly (but in any event not later than 30 days) after any Authorized Officer of the Borrower becomes aware of any material default or material breach by any party to an Acquisition Document (SPH) or within 10 Business Days after the date that any Authorized Officer of the Borrower receives any notice of, or of any condition or event that has resulted in or could reasonably be expected to result in, a material indemnity claim under the Acquisition Documents (SPH), written notice of such material default, material breach, or condition or event.</w:t>
      </w:r>
    </w:p>
    <w:p>
      <w:pPr>
        <w:spacing w:after="0" w:line="63" w:lineRule="exact"/>
        <w:rPr>
          <w:rFonts w:ascii="Arial" w:cs="Arial" w:eastAsia="Arial" w:hAnsi="Arial"/>
          <w:sz w:val="17"/>
          <w:szCs w:val="17"/>
          <w:color w:val="auto"/>
        </w:rPr>
      </w:pPr>
    </w:p>
    <w:p>
      <w:pPr>
        <w:ind w:right="60" w:firstLine="443"/>
        <w:spacing w:after="0" w:line="257" w:lineRule="auto"/>
        <w:tabs>
          <w:tab w:leader="none" w:pos="683" w:val="left"/>
        </w:tabs>
        <w:numPr>
          <w:ilvl w:val="1"/>
          <w:numId w:val="59"/>
        </w:numPr>
        <w:rPr>
          <w:rFonts w:ascii="Arial" w:cs="Arial" w:eastAsia="Arial" w:hAnsi="Arial"/>
          <w:sz w:val="18"/>
          <w:szCs w:val="18"/>
          <w:color w:val="auto"/>
        </w:rPr>
      </w:pPr>
      <w:r>
        <w:rPr>
          <w:rFonts w:ascii="Arial" w:cs="Arial" w:eastAsia="Arial" w:hAnsi="Arial"/>
          <w:sz w:val="18"/>
          <w:szCs w:val="18"/>
          <w:color w:val="auto"/>
        </w:rPr>
        <w:t>Promptly (but in any event not later than 30 days) after any Authorized Officer of the Borrower becomes aware of any material default or material breach by any party to any acquisition agreement or any other material documents delivered in connection with a Permitted Acquisition (collectively, the “</w:t>
      </w:r>
      <w:r>
        <w:rPr>
          <w:rFonts w:ascii="Arial" w:cs="Arial" w:eastAsia="Arial" w:hAnsi="Arial"/>
          <w:sz w:val="18"/>
          <w:szCs w:val="18"/>
          <w:u w:val="single" w:color="auto"/>
          <w:color w:val="auto"/>
        </w:rPr>
        <w:t>Acquisition Documents</w:t>
      </w:r>
      <w:r>
        <w:rPr>
          <w:rFonts w:ascii="Arial" w:cs="Arial" w:eastAsia="Arial" w:hAnsi="Arial"/>
          <w:sz w:val="18"/>
          <w:szCs w:val="18"/>
          <w:color w:val="auto"/>
        </w:rPr>
        <w:t>”), or within 10 Business Days after the date that any Authorized Officer of the Borrower receives any notice of, or of any condition or event that has resulted in, or could reasonably be expected to result in, a material indemnity claim under the Acquisition Documents, written notice of such material default, material breach, or condition or event.</w:t>
      </w:r>
    </w:p>
    <w:p>
      <w:pPr>
        <w:spacing w:after="0" w:line="80" w:lineRule="exact"/>
        <w:rPr>
          <w:rFonts w:ascii="Arial" w:cs="Arial" w:eastAsia="Arial" w:hAnsi="Arial"/>
          <w:sz w:val="18"/>
          <w:szCs w:val="18"/>
          <w:color w:val="auto"/>
        </w:rPr>
      </w:pPr>
    </w:p>
    <w:p>
      <w:pPr>
        <w:ind w:left="700" w:hanging="257"/>
        <w:spacing w:after="0"/>
        <w:tabs>
          <w:tab w:leader="none" w:pos="7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Promptly upon, but in no event later than 30 days after, any Authorized Officer of the Borrower becoming aware of the occurrence of</w:t>
      </w:r>
    </w:p>
    <w:p>
      <w:pPr>
        <w:spacing w:after="0" w:line="34" w:lineRule="exact"/>
        <w:rPr>
          <w:rFonts w:ascii="Arial" w:cs="Arial" w:eastAsia="Arial" w:hAnsi="Arial"/>
          <w:sz w:val="17"/>
          <w:szCs w:val="17"/>
          <w:color w:val="auto"/>
        </w:rPr>
      </w:pPr>
    </w:p>
    <w:p>
      <w:pPr>
        <w:ind w:right="40" w:firstLine="4"/>
        <w:spacing w:after="0" w:line="253" w:lineRule="auto"/>
        <w:tabs>
          <w:tab w:leader="none" w:pos="2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could not reasonably be expected to result in a Material Adverse Effect, any non-exempt Prohibited Transaction with respect to any Plan, or (ii) except as could not reasonably be expected to result in a Material Adverse Effect, any Reportable Event with respect to any Plan, notice in writing to the Lenders specifying the nature thereof and what action the Borrower proposes to take with respect thereto. In addition, when received, the Borrower and any Subsidiary shall provide to the Lenders copies of any notice from the PBGC of its intention to terminate or have a trustee appointed for any Plan except as could not result in a Material Adverse Effect.</w:t>
      </w:r>
    </w:p>
    <w:p>
      <w:pPr>
        <w:spacing w:after="0" w:line="83" w:lineRule="exact"/>
        <w:rPr>
          <w:rFonts w:ascii="Arial" w:cs="Arial" w:eastAsia="Arial" w:hAnsi="Arial"/>
          <w:sz w:val="18"/>
          <w:szCs w:val="18"/>
          <w:color w:val="auto"/>
        </w:rPr>
      </w:pPr>
    </w:p>
    <w:p>
      <w:pPr>
        <w:ind w:firstLine="443"/>
        <w:spacing w:after="0" w:line="276" w:lineRule="auto"/>
        <w:tabs>
          <w:tab w:leader="none" w:pos="683" w:val="left"/>
        </w:tabs>
        <w:numPr>
          <w:ilvl w:val="1"/>
          <w:numId w:val="60"/>
        </w:numPr>
        <w:rPr>
          <w:rFonts w:ascii="Arial" w:cs="Arial" w:eastAsia="Arial" w:hAnsi="Arial"/>
          <w:sz w:val="17"/>
          <w:szCs w:val="17"/>
          <w:color w:val="auto"/>
        </w:rPr>
      </w:pPr>
      <w:r>
        <w:rPr>
          <w:rFonts w:ascii="Arial" w:cs="Arial" w:eastAsia="Arial" w:hAnsi="Arial"/>
          <w:sz w:val="17"/>
          <w:szCs w:val="17"/>
          <w:color w:val="auto"/>
        </w:rPr>
        <w:t>Promptly upon, but in no event later than 30 days after, any Authorized Officer of the Borrower becoming aware of (i) the commencement of any action, suit, investigation, proceeding or arbitration before any court or arbitrator or any governmental department, board, agency or other instrumentality affecting the Borrower and the Subsidiaries or any property of such Person, or to which the Borrower and the Subsidiaries is a party (other than litigation where the insurance insures against the damages claimed and the insurer has assumed defense of the litigation without reservation) that could reasonably be expected to have a Material Adverse Effect; or (ii) any adverse development</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40"/>
          </w:cols>
          <w:pgMar w:left="700" w:top="274" w:right="259" w:bottom="1440" w:gutter="0" w:footer="0" w:header="0"/>
        </w:sectPr>
      </w:pPr>
    </w:p>
    <w:bookmarkStart w:id="79" w:name="page80"/>
    <w:bookmarkEnd w:id="79"/>
    <w:p>
      <w:pPr>
        <w:ind w:left="46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any litigation, arbitration or governmental investigation or proceeding previously disclosed by the Borrower or the Subsidiaries that could reasonably be expected to have a Material Adverse Effect, a notice from the Borrower describing the nature and status thereof and what action the Borrower proposes to take with respect thereto.</w:t>
      </w:r>
    </w:p>
    <w:p>
      <w:pPr>
        <w:spacing w:after="0" w:line="73" w:lineRule="exact"/>
        <w:rPr>
          <w:sz w:val="20"/>
          <w:szCs w:val="20"/>
          <w:color w:val="auto"/>
        </w:rPr>
      </w:pPr>
    </w:p>
    <w:p>
      <w:pPr>
        <w:ind w:left="460" w:right="220" w:firstLine="443"/>
        <w:spacing w:after="0" w:line="277" w:lineRule="auto"/>
        <w:tabs>
          <w:tab w:leader="none" w:pos="11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Promptly and in any event within 30 days after entering into any lease agreement for real property where material books and records will be maintained, copies of such leases.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xml:space="preserve">. The Borrower will, and will cause each Subsidiary to, carry on and conduct its business in substantially the same manner and in substantially the same fields of enterprise as such business is presently conducted and do all things necessary to remain duly incorporated or organized, validly existing and (to the extent such concept applies to such entity) in good standing as a domestic corporation, partnership or limited liability company in its jurisdiction of incorporation or organization, as the case may be, and maintain all requisite authority to conduct its business in each jurisdiction in which its business is conducted;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limit any merger or other transaction (including the Stauber Restructuring) permitted by Section 6.18.</w:t>
      </w:r>
    </w:p>
    <w:p>
      <w:pPr>
        <w:spacing w:after="0" w:line="19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Formation of Subsidiaries</w:t>
      </w:r>
      <w:r>
        <w:rPr>
          <w:rFonts w:ascii="Arial" w:cs="Arial" w:eastAsia="Arial" w:hAnsi="Arial"/>
          <w:sz w:val="16"/>
          <w:szCs w:val="16"/>
          <w:color w:val="auto"/>
        </w:rPr>
        <w:t>. Within 30 days after the formation or acquisition (to the extent not delivered in connection with a Permitted Acquisition) of any Subsidiary or, if earlier, within 10 Business Days after any request by the Administrative Agent, with respect to any Subsidiary, (a) (i) the voting securities (or other ownership interests) of each such Subsidiary that is a Domestic Subsidiary (other than the securities or interests of a Domestic Subsidiary owned by a Foreign Subsidiary or Domestic Holdco Subsidiary) shall be pledged to the Administrative Agent for the benefit of the Lenders,</w:t>
      </w:r>
    </w:p>
    <w:p>
      <w:pPr>
        <w:spacing w:after="0" w:line="2" w:lineRule="exact"/>
        <w:rPr>
          <w:sz w:val="20"/>
          <w:szCs w:val="20"/>
          <w:color w:val="auto"/>
        </w:rPr>
      </w:pPr>
    </w:p>
    <w:p>
      <w:pPr>
        <w:ind w:firstLine="8"/>
        <w:spacing w:after="0" w:line="286" w:lineRule="auto"/>
        <w:tabs>
          <w:tab w:leader="none" w:pos="265" w:val="left"/>
        </w:tabs>
        <w:numPr>
          <w:ilvl w:val="0"/>
          <w:numId w:val="62"/>
        </w:numPr>
        <w:rPr>
          <w:rFonts w:ascii="Arial" w:cs="Arial" w:eastAsia="Arial" w:hAnsi="Arial"/>
          <w:sz w:val="16"/>
          <w:szCs w:val="16"/>
          <w:color w:val="auto"/>
        </w:rPr>
      </w:pPr>
      <w:r>
        <w:rPr>
          <w:rFonts w:ascii="Arial" w:cs="Arial" w:eastAsia="Arial" w:hAnsi="Arial"/>
          <w:sz w:val="16"/>
          <w:szCs w:val="16"/>
          <w:color w:val="auto"/>
        </w:rPr>
        <w:t>65% of the voting securities (or other voting ownership interests) of each such Subsidiary that is a Foreign Subsidiary (or a Domestic Holdco Subsidiary) to the extent directly owned by the Borrower or a Material Domestic Subsidiary shall be pledged to the Administrative Agent for the benefit of the Lenders, and (iii) each such Material Domestic Subsidiary (other than a Domestic Holdco Subsidiary or a Domestic Subsidiary owned by a Foreign Subsidiary) shall become obligated to repay the Loans and other amounts payable under the Loan Documents and shall grant the Administrative Agent for the benefit of the Lenders a security interest in its Property (subject only to Liens permitted under Section 6.22); and (b) the Borrower and the applicable Subsidiary shall, at the Borrower’s cost and expense, execute and deliver to the Administrative Agent such documents and instruments as the Administrative Agent or any Initial Lender reasonably deems necessary to effect the matters specified in subclause (a) as specified in such request (which documents may include documents and opinions prepared by applicable foreign counsel in the case of any such matters with respect to any Subsidiaries that are Foreign Subsidiaries to the extent the Administrative Agent reasonably requests). Notwithstanding the foregoing, the Borrower shall not be required to furnish any such pledges, guaranties, security interests or related documents or instruments with respect to a Foreign Subsidiary to the extent that such actions would (x) violate the laws of the jurisdiction of formation of such Foreign Subsidiary or (y) create or result in a Deemed Dividend Problem.</w:t>
      </w:r>
    </w:p>
    <w:p>
      <w:pPr>
        <w:spacing w:after="0" w:line="16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Taxes</w:t>
      </w:r>
      <w:r>
        <w:rPr>
          <w:rFonts w:ascii="Arial" w:cs="Arial" w:eastAsia="Arial" w:hAnsi="Arial"/>
          <w:sz w:val="18"/>
          <w:szCs w:val="18"/>
          <w:color w:val="auto"/>
        </w:rPr>
        <w:t>. The Borrower will, and will cause each Subsidiary to, timely file complete and correct material United States federal and applicable foreign, state and local tax returns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80" w:name="page81"/>
    <w:bookmarkEnd w:id="80"/>
    <w:p>
      <w:pPr>
        <w:jc w:val="both"/>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by law and pay when due all material taxes, assessments and governmental charges and levies upon it or its income, profits or Property, except those that are being contested in good faith by appropriate proceedings with respect to which adequate reserves have been set aside in accordance with GAAP and that could not reasonably be expected, individually or in the aggregate, to have a Material Adverse Effect.</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Insurance</w:t>
      </w:r>
      <w:r>
        <w:rPr>
          <w:rFonts w:ascii="Arial" w:cs="Arial" w:eastAsia="Arial" w:hAnsi="Arial"/>
          <w:sz w:val="17"/>
          <w:szCs w:val="17"/>
          <w:color w:val="auto"/>
        </w:rPr>
        <w:t>. The Borrower will, and will cause each Subsidiary to, maintain with financially sound and reputable insurance companies insurance on all their Property in such amounts and covering such risks as are consistent with sound business practice and as are customarily carried by companies engaged in similar business and owning similar properties in localities where the Borrower and Subsidiaries operate, and the Borrower will furnish to the Administrative Agent upon request full information as to the insurance carried and evidence that the endorsements, policy declarations, and any certificates furnished to the Administrative Agent previously are in full force and effect. The Borrower shall, and shall cause each Subsidiary to, name the Administrative Agent as an additional insured with respect to all general liability insurance and as a lender loss payee with respect to all property and casualty insurance at all times prior to the repayment in full of the Obligations.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and will cause each Subsidiary to, comply in all material respects with all laws, rules, regulations, orders, writs, judgments, injunctions, decrees or awards to which it may be subject including, without limitation, all Environmental Laws except where the failure to comply could not reasonably be expected to have a Material Adverse Effect, Anti-Corruption Laws and applicable Sanctions. The Borrower will maintain in effect and enforce policies and procedures designed to ensure compliance by the Borrower, its Subsidiaries and their respective directors, officers and employees with Anti-Corruption Laws and applicable Sanctions.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The Borrower will, and will cause each Subsidiary to, do all things necessary to maintain, preserve, protect and keep its tangible Property in good repair, working order and condition (ordinary wear and tear excepted), and make all necessary and proper repairs, renewals and replacements so that its business carried on in connection therewith may be properly conducted at all times, except where the failure to so maintain, preserve, protect and keep would not reasonably be expected to result in a Material Adverse Effect.</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Inspection</w:t>
      </w:r>
      <w:r>
        <w:rPr>
          <w:rFonts w:ascii="Arial" w:cs="Arial" w:eastAsia="Arial" w:hAnsi="Arial"/>
          <w:sz w:val="16"/>
          <w:szCs w:val="16"/>
          <w:color w:val="auto"/>
        </w:rPr>
        <w:t>. The Borrower will, and will cause each Subsidiary to, permit the Administrative Agent and its respective representatives and agents to inspect any of the Property, books and financial records of the Borrower and each Subsidiary, to examine and make copies of the books of accounts and other financial records of the Borrower and the Subsidiaries and to discuss the affairs, finances and accounts of the Borrower and the Subsidiaries with, and to be advised as to the same by, their respective officers at such reasonable times and intervals as the Administrative Agent may designate (a) one time per Fiscal Year and (b) following the occurrence and during the continuance of any Default or Event of Default, from time to time, as determined by the Administrative Agent in its sole discretion. The Borrower shall pay the expenses of the Administrative Agent and Initial Lenders for all visits, inspections and examinations that (x) are made while any Event of Default is continuing or (y) constitute the Administrative Agent’s annual collateral audit.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81" w:name="page82"/>
    <w:bookmarkEnd w:id="81"/>
    <w:p>
      <w:pPr>
        <w:ind w:right="3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6.11. </w:t>
      </w:r>
      <w:r>
        <w:rPr>
          <w:rFonts w:ascii="Arial" w:cs="Arial" w:eastAsia="Arial" w:hAnsi="Arial"/>
          <w:sz w:val="18"/>
          <w:szCs w:val="18"/>
          <w:u w:val="single" w:color="auto"/>
          <w:color w:val="auto"/>
        </w:rPr>
        <w:t>Books and Records</w:t>
      </w:r>
      <w:r>
        <w:rPr>
          <w:rFonts w:ascii="Arial" w:cs="Arial" w:eastAsia="Arial" w:hAnsi="Arial"/>
          <w:sz w:val="18"/>
          <w:szCs w:val="18"/>
          <w:color w:val="auto"/>
        </w:rPr>
        <w:t>. Each of the Borrower and the Subsidiaries shall keep adequate and proper records and books of account in which full and correct entries shall be made of its dealings, business and affairs.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Compliance with Material Contracts</w:t>
      </w:r>
      <w:r>
        <w:rPr>
          <w:rFonts w:ascii="Arial" w:cs="Arial" w:eastAsia="Arial" w:hAnsi="Arial"/>
          <w:sz w:val="16"/>
          <w:szCs w:val="16"/>
          <w:color w:val="auto"/>
        </w:rPr>
        <w:t>. Each of the Borrower and the Subsidiaries shall make all payments and otherwise perform all obligations in respect of all material contracts to which it is a party except as could not reasonably be expected to result in a Material Adverse Effect; provided, that such payment or performance will not be required to the extent such payment or performance is being contested in good faith by appropriate proceedings, so long as such Person’s title to its property is not materially adversely affected, its use of such property in the ordinary course of its business is not materially interfered with and adequate reserves with respect thereto have been set aside on such Person’s books in accordance with GAAP.</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ERISA</w:t>
      </w:r>
      <w:r>
        <w:rPr>
          <w:rFonts w:ascii="Arial" w:cs="Arial" w:eastAsia="Arial" w:hAnsi="Arial"/>
          <w:sz w:val="16"/>
          <w:szCs w:val="16"/>
          <w:color w:val="auto"/>
        </w:rPr>
        <w:t>. The Borrower and the Subsidiaries shall maintain each Plan in compliance with all applicable requirements of ERISA and of the Code and with all applicable regulations issued under the provisions of ERISA and of the Code except where failure to comply could not be reasonably expected to cause a Material Adverse Effect. Neither the Borrower nor any of the Subsidiaries shall engage in any non-exempt Prohibited Transaction in connection with which it would be subject to either a civil penalty assessed pursuant to § 502(i) of ERISA or a tax imposed by § 4975 of the Code, in either case in an amount exceeding $250,000. Except as could not reasonably be expected to result in a Material Adverse Effect, none of the Borrower and the Subsidiaries shall fail to make full payment when due of all amounts each is required to pay under any Plan. None of the Borrower and the Subsidiaries nor any ERISA Affiliate shall permit to exist any accumulated funding deficiency (as such term is defined in § 302 of ERISA and § 412 of the Code), whether or not waived, with respect to any Plan in an aggregate amount exceeding $250,000. None of the Borrower and the Subsidiaries, nor, except as could not reasonably be expected to result in a Material Adverse Effect, any ERISA Affiliate, shall fail to make any payments in an aggregate amount exceeding $250,000 to any Plan that may be required to be made under any agreement relating to such Plan or any law pertaining thereto.</w:t>
      </w:r>
    </w:p>
    <w:p>
      <w:pPr>
        <w:spacing w:after="0" w:line="16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Environmental Matters; Reporting</w:t>
      </w:r>
      <w:r>
        <w:rPr>
          <w:rFonts w:ascii="Arial" w:cs="Arial" w:eastAsia="Arial" w:hAnsi="Arial"/>
          <w:sz w:val="18"/>
          <w:szCs w:val="18"/>
          <w:color w:val="auto"/>
        </w:rPr>
        <w:t>. If any release of Hazardous Substances occurs on any real property or any other assets owned or leased by the Borrower or the Subsidiaries, the Borrower shall, or shall cause the applicable Subsidiary to, cause the prompt containment and removal of such Hazardous Substances and the remediation of such real property or other assets as necessary to comply in all material respects with all Environmental Laws. Without limiting the generality of the foregoing, the Borrower shall, and shall cause each Subsidiary to, comply in all material respects with any final federal or state judicial or administrative order requiring the performance at any real property of the Borrower or any Subsidiary of activities in response to the release or threatened release of a Hazardous Substance.</w:t>
      </w:r>
    </w:p>
    <w:p>
      <w:pPr>
        <w:spacing w:after="0" w:line="1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Reaffirmation of Guaranties</w:t>
      </w:r>
      <w:r>
        <w:rPr>
          <w:rFonts w:ascii="Arial" w:cs="Arial" w:eastAsia="Arial" w:hAnsi="Arial"/>
          <w:sz w:val="18"/>
          <w:szCs w:val="18"/>
          <w:color w:val="auto"/>
        </w:rPr>
        <w:t>. When the Administrative Agent so requests from time to time, the Borrower shall cause each Guarantor and any other Person who hereafter guarantees, or who agrees for the benefit of the Borrower to make capital contributions to the Borrower for the purpose of supporting the Obligations or any part thereof, to promptly execute, and deliver to the Administrative Agent reaffirmations of their respective Guaranties in such form as the Administrative Agent reasonably requires.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6.16. </w:t>
      </w:r>
      <w:r>
        <w:rPr>
          <w:rFonts w:ascii="Arial" w:cs="Arial" w:eastAsia="Arial" w:hAnsi="Arial"/>
          <w:sz w:val="18"/>
          <w:szCs w:val="18"/>
          <w:u w:val="single" w:color="auto"/>
          <w:color w:val="auto"/>
        </w:rPr>
        <w:t>Further Assurances; Cash Management; Good Standing; Landlord Waivers Control Agreements; Restructuring</w:t>
      </w:r>
      <w:r>
        <w:rPr>
          <w:rFonts w:ascii="Arial" w:cs="Arial" w:eastAsia="Arial" w:hAnsi="Arial"/>
          <w:sz w:val="18"/>
          <w:szCs w:val="18"/>
          <w:color w:val="auto"/>
        </w:rPr>
        <w:t>.</w:t>
      </w:r>
    </w:p>
    <w:p>
      <w:pPr>
        <w:spacing w:after="0" w:line="117" w:lineRule="exact"/>
        <w:rPr>
          <w:sz w:val="20"/>
          <w:szCs w:val="20"/>
          <w:color w:val="auto"/>
        </w:rPr>
      </w:pPr>
    </w:p>
    <w:p>
      <w:pPr>
        <w:ind w:right="20" w:firstLine="443"/>
        <w:spacing w:after="0" w:line="269" w:lineRule="auto"/>
        <w:tabs>
          <w:tab w:leader="none" w:pos="683"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Borrower shall promptly correct any defect or error that is discovered in any Loan Document or in the execution, acknowledgment or recordation thereof. Promptly upon request by the Administrative Agent or the Required Lenders, the Borrower also shall (and shall cause its Subsidiaries to) do, execute, acknowledge, deliver, record, re-record, file, re-file, register and re-register any and all assignments, financing statements and continuations thereof, notices of assignment, transfers, certificates, assurances and other instruments as the Administrative Agent reasonably requires from time to time (a) to carry out more effectively the purposes of the Loan Documents; (b) to perfect and maintain the validity, effectiveness and priority of any security interests intended to be created by the Loan Documents, including, without limitation, using its commercially reasonable efforts to obtain delivery of landlord’s waivers and estoppels reasonably required by the Administrative Agent; and (c) to better assure, convey, grant, assign, transfer, preserve, protect and confirm unto the Lenders the rights granted now or hereafter intended to be granted to the Lenders under any Loan Document or under any other instrument executed in connection with any Loan Document or that the Borrower may be or become bound to convey or assign to the Administrative Agent for the benefit of the Lenders to carry out the intention or facilitate the performance of the provisions of any Loan Document. The Borrower shall furnish to the Lenders evidence reasonably satisfactory to the Administrative Agent of every such recording, filing, or registration.</w:t>
      </w:r>
    </w:p>
    <w:p>
      <w:pPr>
        <w:spacing w:after="0" w:line="71" w:lineRule="exact"/>
        <w:rPr>
          <w:rFonts w:ascii="Arial" w:cs="Arial" w:eastAsia="Arial" w:hAnsi="Arial"/>
          <w:sz w:val="17"/>
          <w:szCs w:val="17"/>
          <w:color w:val="auto"/>
        </w:rPr>
      </w:pPr>
    </w:p>
    <w:p>
      <w:pPr>
        <w:ind w:right="180" w:firstLine="443"/>
        <w:spacing w:after="0" w:line="286" w:lineRule="auto"/>
        <w:tabs>
          <w:tab w:leader="none" w:pos="693"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Cash Management</w:t>
      </w:r>
      <w:r>
        <w:rPr>
          <w:rFonts w:ascii="Arial" w:cs="Arial" w:eastAsia="Arial" w:hAnsi="Arial"/>
          <w:sz w:val="17"/>
          <w:szCs w:val="17"/>
          <w:color w:val="auto"/>
        </w:rPr>
        <w:t>. All Subsidiaries of the Borrower acquired or created after the Closing Date (other than any entity created in connection with the Stauber Restructuring) shall maintain their principal cash management accounts with U.S. Bank within 360 days (or such later date as the Administrative Agent may agree from time to time, including via email confirmation) of such acquisition or creation.</w:t>
      </w:r>
    </w:p>
    <w:p>
      <w:pPr>
        <w:spacing w:after="0" w:line="57" w:lineRule="exact"/>
        <w:rPr>
          <w:rFonts w:ascii="Arial" w:cs="Arial" w:eastAsia="Arial" w:hAnsi="Arial"/>
          <w:sz w:val="17"/>
          <w:szCs w:val="17"/>
          <w:color w:val="auto"/>
        </w:rPr>
      </w:pPr>
    </w:p>
    <w:p>
      <w:pPr>
        <w:ind w:right="40" w:firstLine="443"/>
        <w:spacing w:after="0" w:line="264" w:lineRule="auto"/>
        <w:tabs>
          <w:tab w:leader="none" w:pos="68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Good Standing</w:t>
      </w:r>
      <w:r>
        <w:rPr>
          <w:rFonts w:ascii="Arial" w:cs="Arial" w:eastAsia="Arial" w:hAnsi="Arial"/>
          <w:sz w:val="18"/>
          <w:szCs w:val="18"/>
          <w:color w:val="auto"/>
        </w:rPr>
        <w:t>. Within thirty (30) days after the Closing Date (or such later date as agreed to by the Administrative Agent from time to time, including via email confirmation), the Borrower shall provide a certificates of current status or good standing for the Pharmline, Inc. in its respective jurisdiction of organization as of a date reasonably acceptable to the Administrative Agent.</w:t>
      </w:r>
    </w:p>
    <w:p>
      <w:pPr>
        <w:spacing w:after="0" w:line="73" w:lineRule="exact"/>
        <w:rPr>
          <w:rFonts w:ascii="Arial" w:cs="Arial" w:eastAsia="Arial" w:hAnsi="Arial"/>
          <w:sz w:val="18"/>
          <w:szCs w:val="18"/>
          <w:color w:val="auto"/>
        </w:rPr>
      </w:pPr>
    </w:p>
    <w:p>
      <w:pPr>
        <w:ind w:firstLine="443"/>
        <w:spacing w:after="0" w:line="257" w:lineRule="auto"/>
        <w:tabs>
          <w:tab w:leader="none" w:pos="69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Landlord Waivers</w:t>
      </w:r>
      <w:r>
        <w:rPr>
          <w:rFonts w:ascii="Arial" w:cs="Arial" w:eastAsia="Arial" w:hAnsi="Arial"/>
          <w:sz w:val="18"/>
          <w:szCs w:val="18"/>
          <w:color w:val="auto"/>
        </w:rPr>
        <w:t xml:space="preserve">. Within sixty (60) days after the Closing Date (or such later date as agreed to by the Administrative Agent from time to time, including via email confirmation), the Borrower shall use commercially reasonable efforts to deliver to the Administrative Agent landlord waivers, access agreements or other bailee waivers reasonably acceptable to the Administrative Agent for the business premises of the Borrower and Subsidiaries identified on </w:t>
      </w:r>
      <w:r>
        <w:rPr>
          <w:rFonts w:ascii="Arial" w:cs="Arial" w:eastAsia="Arial" w:hAnsi="Arial"/>
          <w:sz w:val="18"/>
          <w:szCs w:val="18"/>
          <w:u w:val="single" w:color="auto"/>
          <w:color w:val="auto"/>
        </w:rPr>
        <w:t>Schedule 5.19</w:t>
      </w:r>
      <w:r>
        <w:rPr>
          <w:rFonts w:ascii="Arial" w:cs="Arial" w:eastAsia="Arial" w:hAnsi="Arial"/>
          <w:sz w:val="18"/>
          <w:szCs w:val="18"/>
          <w:color w:val="auto"/>
        </w:rPr>
        <w:t>, each in form and substance reasonably satisfactory to the Administrative Agent duly signed by the applicable landlord, and true and correct copies of the respective lease.</w:t>
      </w:r>
    </w:p>
    <w:p>
      <w:pPr>
        <w:spacing w:after="0" w:line="80" w:lineRule="exact"/>
        <w:rPr>
          <w:rFonts w:ascii="Arial" w:cs="Arial" w:eastAsia="Arial" w:hAnsi="Arial"/>
          <w:sz w:val="18"/>
          <w:szCs w:val="18"/>
          <w:color w:val="auto"/>
        </w:rPr>
      </w:pPr>
    </w:p>
    <w:p>
      <w:pPr>
        <w:ind w:right="120" w:firstLine="443"/>
        <w:spacing w:after="0" w:line="277" w:lineRule="auto"/>
        <w:tabs>
          <w:tab w:leader="none" w:pos="68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Control Agreements</w:t>
      </w:r>
      <w:r>
        <w:rPr>
          <w:rFonts w:ascii="Arial" w:cs="Arial" w:eastAsia="Arial" w:hAnsi="Arial"/>
          <w:sz w:val="18"/>
          <w:szCs w:val="18"/>
          <w:color w:val="auto"/>
        </w:rPr>
        <w:t>. Within sixty (60) days after the Closing Date (or such later date as agreed to by the Administrative Agent from time to time, including via</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880"/>
          </w:cols>
          <w:pgMar w:left="700" w:top="274" w:right="319" w:bottom="1440" w:gutter="0" w:footer="0" w:header="0"/>
        </w:sectPr>
      </w:pPr>
    </w:p>
    <w:bookmarkStart w:id="83" w:name="page84"/>
    <w:bookmarkEnd w:id="83"/>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email confirmation), the Borrower shall obtain Control Agreements with respect to each deposit account and securities account of the Target (SPH) and its Subsidiaries and any other deposit account or securities account of the Borrower and its Subsidiaries not held at U.S. Bank other than Excluded Payroll Accounts. Within sixty (60) days (or such later date as agreed to by the Administrative Agent from time to time, including via email confirmation) of the creation of any Subsidiary of the Borrower created in connection with the Stauber Restructuring, the Borrower shall obtain Control Agreements with respect to each deposit account and securities account of such Subsidiary other than Excluded Payroll Accounts.</w:t>
      </w:r>
    </w:p>
    <w:p>
      <w:pPr>
        <w:spacing w:after="0" w:line="64" w:lineRule="exact"/>
        <w:rPr>
          <w:sz w:val="20"/>
          <w:szCs w:val="20"/>
          <w:color w:val="auto"/>
        </w:rPr>
      </w:pPr>
    </w:p>
    <w:p>
      <w:pPr>
        <w:jc w:val="both"/>
        <w:ind w:right="260" w:firstLine="443"/>
        <w:spacing w:after="0" w:line="288" w:lineRule="auto"/>
        <w:tabs>
          <w:tab w:leader="none" w:pos="663"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Restructuring</w:t>
      </w:r>
      <w:r>
        <w:rPr>
          <w:rFonts w:ascii="Arial" w:cs="Arial" w:eastAsia="Arial" w:hAnsi="Arial"/>
          <w:sz w:val="16"/>
          <w:szCs w:val="16"/>
          <w:color w:val="auto"/>
        </w:rPr>
        <w:t>. Upon consummation of the Stauber Restructuring, the Borrower shall (and shall cause its Subsidiaries to), shall do, execute, acknowledge, deliver, record, re-record, file, re-file, register and re-register any and all assignments, financing statements and continuations thereof, notices of assignment, transfers, certificates, assurances and other instruments as the Administrative Agent reasonably requires from time to time to</w:t>
      </w:r>
    </w:p>
    <w:p>
      <w:pPr>
        <w:ind w:right="120" w:firstLine="4"/>
        <w:spacing w:after="0" w:line="252" w:lineRule="auto"/>
        <w:tabs>
          <w:tab w:leader="none" w:pos="245"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perfect and maintain the validity, effectiveness and priority of any security interests intended to be created by the Loan Documents; (b) to better assure, convey, grant, assign, transfer, preserve, protect and confirm unto the Lenders the rights granted now or hereafter intended to be granted to the Lenders under any Loan Document or under any other instrument executed in connection with any Loan Document or that the Borrower may be or become bound to convey or assign to the Administrative Agent for the benefit of the Lenders to carry out the intention or facilitate the performance of the provisions of any Loan Document, including, without limitation, obtaining a legal opinion from legal counsel to the Borrower in form reasonably satisfactory to the Administrative Agent.</w:t>
      </w:r>
    </w:p>
    <w:p>
      <w:pPr>
        <w:spacing w:after="0" w:line="86" w:lineRule="exact"/>
        <w:rPr>
          <w:rFonts w:ascii="Arial" w:cs="Arial" w:eastAsia="Arial" w:hAnsi="Arial"/>
          <w:sz w:val="18"/>
          <w:szCs w:val="18"/>
          <w:color w:val="auto"/>
        </w:rPr>
      </w:pPr>
    </w:p>
    <w:p>
      <w:pPr>
        <w:ind w:firstLine="443"/>
        <w:spacing w:after="0" w:line="291" w:lineRule="auto"/>
        <w:tabs>
          <w:tab w:leader="none" w:pos="693"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By no later than January 5, 2016 (or such later date as agreed to by the Administrative Agent from time to time, including via email confirmation), the Borrower shall provide insurance certificates for the Target (SPH) and its Subsidiaries, and within thirty (30) days after the Closing Date, the Borrower shall provide policy endorsements and policy declaration pages for the Borrower and its Subsidiaries (including the Target (SPH)), in each case in form and substance acceptable to the Administrative Agent and listing the Administrative Agent as lender loss payable thereon with respect to property insurance and as an additional insured with respect to liability insurance, indicating that the Borrower, the Target (SPH) and the Domestic Subsidiaries have obtained insurance of the types set forth in Section 6.7 and reasonably satisfactory evidence that the Administrative Agent has been added to such insurance policies as a lender loss payable and an additional insured, as applicable.</w:t>
      </w:r>
    </w:p>
    <w:p>
      <w:pPr>
        <w:spacing w:after="0" w:line="59" w:lineRule="exact"/>
        <w:rPr>
          <w:rFonts w:ascii="Arial" w:cs="Arial" w:eastAsia="Arial" w:hAnsi="Arial"/>
          <w:sz w:val="16"/>
          <w:szCs w:val="16"/>
          <w:color w:val="auto"/>
        </w:rPr>
      </w:pPr>
    </w:p>
    <w:p>
      <w:pPr>
        <w:ind w:firstLine="443"/>
        <w:spacing w:after="0" w:line="257" w:lineRule="auto"/>
        <w:tabs>
          <w:tab w:leader="none" w:pos="693"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Opinion</w:t>
      </w:r>
      <w:r>
        <w:rPr>
          <w:rFonts w:ascii="Arial" w:cs="Arial" w:eastAsia="Arial" w:hAnsi="Arial"/>
          <w:sz w:val="18"/>
          <w:szCs w:val="18"/>
          <w:color w:val="auto"/>
        </w:rPr>
        <w:t>. Within thirty (30) days after the Closing Date (or such later date as agreed to by the Administrative Agent from time to time, including via email confirmation), the Borrower shall have requested its counsel to prepare written opinions, addressed to the Lenders, in form and substance reasonably acceptable to the Administrative Agent and the Initial Lenders with respect to Stauber Performance Ingredients, Inc. (to the extent not previously delivered on the Closing Date), and such opinions shall have been delivered to the Administrative Agent in sufficient counterparts for each Lender.</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700" w:top="274"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6.17. </w:t>
      </w:r>
      <w:r>
        <w:rPr>
          <w:rFonts w:ascii="Arial" w:cs="Arial" w:eastAsia="Arial" w:hAnsi="Arial"/>
          <w:sz w:val="18"/>
          <w:szCs w:val="18"/>
          <w:u w:val="single" w:color="auto"/>
          <w:color w:val="auto"/>
        </w:rPr>
        <w:t>Indebtedness</w:t>
      </w:r>
      <w:r>
        <w:rPr>
          <w:rFonts w:ascii="Arial" w:cs="Arial" w:eastAsia="Arial" w:hAnsi="Arial"/>
          <w:sz w:val="18"/>
          <w:szCs w:val="18"/>
          <w:color w:val="auto"/>
        </w:rPr>
        <w:t>. The Borrower will not, nor will it permit any Subsidiary to, create, incur or suffer to exist any Indebtedness, except:</w:t>
      </w:r>
    </w:p>
    <w:p>
      <w:pPr>
        <w:spacing w:after="0" w:line="117" w:lineRule="exact"/>
        <w:rPr>
          <w:sz w:val="20"/>
          <w:szCs w:val="20"/>
          <w:color w:val="auto"/>
        </w:rPr>
      </w:pPr>
    </w:p>
    <w:p>
      <w:pPr>
        <w:ind w:left="680" w:hanging="237"/>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Loans and any other Obligations;</w:t>
      </w:r>
    </w:p>
    <w:p>
      <w:pPr>
        <w:spacing w:after="0" w:line="117" w:lineRule="exact"/>
        <w:rPr>
          <w:rFonts w:ascii="Arial" w:cs="Arial" w:eastAsia="Arial" w:hAnsi="Arial"/>
          <w:sz w:val="18"/>
          <w:szCs w:val="18"/>
          <w:color w:val="auto"/>
        </w:rPr>
      </w:pPr>
    </w:p>
    <w:p>
      <w:pPr>
        <w:ind w:firstLine="443"/>
        <w:spacing w:after="0" w:line="286" w:lineRule="auto"/>
        <w:tabs>
          <w:tab w:leader="none" w:pos="693"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Indebtedness existing on the Closing Date and described in </w:t>
      </w:r>
      <w:r>
        <w:rPr>
          <w:rFonts w:ascii="Arial" w:cs="Arial" w:eastAsia="Arial" w:hAnsi="Arial"/>
          <w:sz w:val="17"/>
          <w:szCs w:val="17"/>
          <w:u w:val="single" w:color="auto"/>
          <w:color w:val="auto"/>
        </w:rPr>
        <w:t>Schedule 6.17</w:t>
      </w:r>
      <w:r>
        <w:rPr>
          <w:rFonts w:ascii="Arial" w:cs="Arial" w:eastAsia="Arial" w:hAnsi="Arial"/>
          <w:sz w:val="17"/>
          <w:szCs w:val="17"/>
          <w:color w:val="auto"/>
        </w:rPr>
        <w:t xml:space="preserve"> and any replacement, renewal, refinancing or extension of such Indebtedness (including the amount of any related reasonable transaction fees and expenses incurred in connection therewith) that does not increase the outstanding principal amount thereof on the date of such replacement, renewal, refinancing or extension;</w:t>
      </w:r>
    </w:p>
    <w:p>
      <w:pPr>
        <w:spacing w:after="0" w:line="57" w:lineRule="exact"/>
        <w:rPr>
          <w:rFonts w:ascii="Arial" w:cs="Arial" w:eastAsia="Arial" w:hAnsi="Arial"/>
          <w:sz w:val="17"/>
          <w:szCs w:val="17"/>
          <w:color w:val="auto"/>
        </w:rPr>
      </w:pPr>
    </w:p>
    <w:p>
      <w:pPr>
        <w:ind w:right="300" w:firstLine="443"/>
        <w:spacing w:after="0" w:line="264" w:lineRule="auto"/>
        <w:tabs>
          <w:tab w:leader="none" w:pos="683"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Indebtedness secured by Liens permitted by Section 6.22(h) and replacements, renewals, refinancings or extensions thereof (including the amount of any related reasonable transaction fees and expenses incurred in connection therewith); provided that the aggregate amount of all such Indebtedness at any time outstanding shall not exceed $2,000,000;</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Subordinated Indebtedness;</w:t>
      </w:r>
    </w:p>
    <w:p>
      <w:pPr>
        <w:spacing w:after="0" w:line="117" w:lineRule="exact"/>
        <w:rPr>
          <w:rFonts w:ascii="Arial" w:cs="Arial" w:eastAsia="Arial" w:hAnsi="Arial"/>
          <w:sz w:val="18"/>
          <w:szCs w:val="18"/>
          <w:color w:val="auto"/>
        </w:rPr>
      </w:pPr>
    </w:p>
    <w:p>
      <w:pPr>
        <w:ind w:right="180" w:firstLine="443"/>
        <w:spacing w:after="0" w:line="264" w:lineRule="auto"/>
        <w:tabs>
          <w:tab w:leader="none" w:pos="683"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Indebtedness arising under Rate Management Transactions or other Financial Contracts, all of which shall be unsecured unless in favor of a Lender or an Affiliate of a Lender, incurred for bona fide hedging purposes and not for speculation, evidence of which has been provided to the Administrative Agent;</w:t>
      </w:r>
    </w:p>
    <w:p>
      <w:pPr>
        <w:spacing w:after="0" w:line="73" w:lineRule="exact"/>
        <w:rPr>
          <w:rFonts w:ascii="Arial" w:cs="Arial" w:eastAsia="Arial" w:hAnsi="Arial"/>
          <w:sz w:val="18"/>
          <w:szCs w:val="18"/>
          <w:color w:val="auto"/>
        </w:rPr>
      </w:pPr>
    </w:p>
    <w:p>
      <w:pPr>
        <w:ind w:right="200" w:firstLine="443"/>
        <w:spacing w:after="0" w:line="277" w:lineRule="auto"/>
        <w:tabs>
          <w:tab w:leader="none" w:pos="663"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Contingent Obligations arising with respect to customary indemnification obligations in favor of purchasers in connection with dispositions permitted under Section 6.19(c);</w:t>
      </w:r>
    </w:p>
    <w:p>
      <w:pPr>
        <w:spacing w:after="0" w:line="62" w:lineRule="exact"/>
        <w:rPr>
          <w:rFonts w:ascii="Arial" w:cs="Arial" w:eastAsia="Arial" w:hAnsi="Arial"/>
          <w:sz w:val="18"/>
          <w:szCs w:val="18"/>
          <w:color w:val="auto"/>
        </w:rPr>
      </w:pPr>
    </w:p>
    <w:p>
      <w:pPr>
        <w:ind w:right="100" w:firstLine="443"/>
        <w:spacing w:after="0" w:line="277" w:lineRule="auto"/>
        <w:tabs>
          <w:tab w:leader="none" w:pos="6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Indebtedness incurred in respect of netting services and ordinary course of business overdraft protection in connection with deposit accounts permitted under the Loan Documents;</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Indebtedness incurred in connection with the financing of insurance premiums in the ordinary course of business (“</w:t>
      </w:r>
      <w:r>
        <w:rPr>
          <w:rFonts w:ascii="Arial" w:cs="Arial" w:eastAsia="Arial" w:hAnsi="Arial"/>
          <w:sz w:val="16"/>
          <w:szCs w:val="16"/>
          <w:u w:val="single" w:color="auto"/>
          <w:color w:val="auto"/>
        </w:rPr>
        <w:t>Financed Premiums</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right="120" w:firstLine="443"/>
        <w:spacing w:after="0" w:line="277" w:lineRule="auto"/>
        <w:tabs>
          <w:tab w:leader="none" w:pos="6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Endorsements for collection or deposit and Contingent Obligations incurred in connection with standard contractual indemnities entered into in the ordinary course of business;</w:t>
      </w:r>
    </w:p>
    <w:p>
      <w:pPr>
        <w:spacing w:after="0" w:line="62" w:lineRule="exact"/>
        <w:rPr>
          <w:rFonts w:ascii="Arial" w:cs="Arial" w:eastAsia="Arial" w:hAnsi="Arial"/>
          <w:sz w:val="18"/>
          <w:szCs w:val="18"/>
          <w:color w:val="auto"/>
        </w:rPr>
      </w:pPr>
    </w:p>
    <w:p>
      <w:pPr>
        <w:ind w:right="380" w:firstLine="443"/>
        <w:spacing w:after="0" w:line="277" w:lineRule="auto"/>
        <w:tabs>
          <w:tab w:leader="none" w:pos="6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Contingent Obligations incurred in the ordinary course of business with respect to surety and appeal bonds, performance bonds and other similar obligations;</w:t>
      </w:r>
    </w:p>
    <w:p>
      <w:pPr>
        <w:spacing w:after="0" w:line="62" w:lineRule="exact"/>
        <w:rPr>
          <w:rFonts w:ascii="Arial" w:cs="Arial" w:eastAsia="Arial" w:hAnsi="Arial"/>
          <w:sz w:val="18"/>
          <w:szCs w:val="18"/>
          <w:color w:val="auto"/>
        </w:rPr>
      </w:pPr>
    </w:p>
    <w:p>
      <w:pPr>
        <w:ind w:right="200" w:firstLine="443"/>
        <w:spacing w:after="0" w:line="277" w:lineRule="auto"/>
        <w:tabs>
          <w:tab w:leader="none" w:pos="6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Contingent Obligations arising under indemnity agreements to title insurers to cause such title insurers to issue to the Administrative Agent title insurance policies;</w:t>
      </w:r>
    </w:p>
    <w:p>
      <w:pPr>
        <w:spacing w:after="0" w:line="62" w:lineRule="exact"/>
        <w:rPr>
          <w:rFonts w:ascii="Arial" w:cs="Arial" w:eastAsia="Arial" w:hAnsi="Arial"/>
          <w:sz w:val="18"/>
          <w:szCs w:val="18"/>
          <w:color w:val="auto"/>
        </w:rPr>
      </w:pPr>
    </w:p>
    <w:p>
      <w:pPr>
        <w:ind w:right="40" w:firstLine="443"/>
        <w:spacing w:after="0" w:line="277" w:lineRule="auto"/>
        <w:tabs>
          <w:tab w:leader="none" w:pos="6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Contingent Obligations arising with respect to reasonable and customary indemnification obligations in favor of the sellers in connection with Permitted Acquisitions and the Acquisition (SPH);</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20"/>
          </w:cols>
          <w:pgMar w:left="700" w:top="274" w:right="279" w:bottom="1440" w:gutter="0" w:footer="0" w:header="0"/>
        </w:sectPr>
      </w:pPr>
    </w:p>
    <w:bookmarkStart w:id="85" w:name="page86"/>
    <w:bookmarkEnd w:id="85"/>
    <w:p>
      <w:pPr>
        <w:ind w:left="460" w:firstLine="443"/>
        <w:spacing w:after="0" w:line="259" w:lineRule="auto"/>
        <w:tabs>
          <w:tab w:leader="none" w:pos="1203"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intercompany Indebtedness owing (i) from a Material Domestic Subsidiary that is a Guarantor to the Borrower, (ii) from a Material Domestic Subsidiary that is a Guarantor from or to another Material Domestic Subsidiary that is a Guarantor or (iii) from or to a Subsidiary that is not a Guarantor to the Borrower or a Material Domestic Subsidiary that is a Guarantor in an amount not to exceed $2,500,000 in the aggregate;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180 days from the Closing Date, $2,500,000 shall be reduced to $500,000;</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Guaranties of obligations not otherwise prohibited under this Agreement, of the Borrower or any Subsidiary; and</w:t>
      </w:r>
    </w:p>
    <w:p>
      <w:pPr>
        <w:spacing w:after="0" w:line="117"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unsecured Indebtedness (excluding any Indebtedness described in clauses (b) through (n) above), provided that the aggregate amount of such other Indebtedness does not exceed $1,000,000 at any time outstanding.</w:t>
      </w:r>
    </w:p>
    <w:p>
      <w:pPr>
        <w:spacing w:after="0" w:line="17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Merger</w:t>
      </w:r>
      <w:r>
        <w:rPr>
          <w:rFonts w:ascii="Arial" w:cs="Arial" w:eastAsia="Arial" w:hAnsi="Arial"/>
          <w:sz w:val="18"/>
          <w:szCs w:val="18"/>
          <w:color w:val="auto"/>
        </w:rPr>
        <w:t>. The Borrower will not, and will not permit any Subsidiary to, (a) merge, consolidate with or enter into any analogous reorganization or transaction with any other Person, except for (i) any merger of a Subsidiary into the Borrower or a Wholly-Owned Subsidiary of the Borrower or any Guarantor (including any merger to facilitate the Stauber Restructuring), (ii) any merger of a Subsidiary that is not the Borrower in connection with a Permitted Acquisition so long as the surviving entity becomes a Guarantor pursuant to the terms of this Agreement or (iii) a merger involving the Borrower in connection with a Permitted Acquisition so long as the surviving entity is the Borrower, or (b) liquidate, wind up or dissolve itself (or suffer any liquidation, wind up or dissolution) except that (i) any Guarantor may merge into the Borrower or other Guarantor, (ii) any Subsidiary that is not a Guarantor may be liquidated, wound up or dissolved, and (iii) any Subsidiary may take any actions not in violation of this Agreement and required to facilitate the Stauber Restructuring.</w:t>
      </w:r>
    </w:p>
    <w:p>
      <w:pPr>
        <w:spacing w:after="0" w:line="192"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 xml:space="preserve">6.19. </w:t>
      </w:r>
      <w:r>
        <w:rPr>
          <w:rFonts w:ascii="Arial" w:cs="Arial" w:eastAsia="Arial" w:hAnsi="Arial"/>
          <w:sz w:val="17"/>
          <w:szCs w:val="17"/>
          <w:u w:val="single" w:color="auto"/>
          <w:color w:val="auto"/>
        </w:rPr>
        <w:t>Sale of Assets</w:t>
      </w:r>
      <w:r>
        <w:rPr>
          <w:rFonts w:ascii="Arial" w:cs="Arial" w:eastAsia="Arial" w:hAnsi="Arial"/>
          <w:sz w:val="17"/>
          <w:szCs w:val="17"/>
          <w:color w:val="auto"/>
        </w:rPr>
        <w:t>. The Borrower will not, and will not permit any Subsidiary to, directly or indirectly, lease, sell, assign, convey, transfer or otherwise dispose of its Property to any other Person or enter into an agreement to do any of the foregoing, except:</w:t>
      </w:r>
    </w:p>
    <w:p>
      <w:pPr>
        <w:spacing w:after="0" w:line="38" w:lineRule="exact"/>
        <w:rPr>
          <w:sz w:val="20"/>
          <w:szCs w:val="20"/>
          <w:color w:val="auto"/>
        </w:rPr>
      </w:pPr>
    </w:p>
    <w:p>
      <w:pPr>
        <w:ind w:left="1140" w:hanging="237"/>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sales of inventory, or used, obsolete, worn-out or surplus equipment, all in the ordinary course of business;</w:t>
      </w:r>
    </w:p>
    <w:p>
      <w:pPr>
        <w:spacing w:after="0" w:line="117" w:lineRule="exact"/>
        <w:rPr>
          <w:rFonts w:ascii="Arial" w:cs="Arial" w:eastAsia="Arial" w:hAnsi="Arial"/>
          <w:sz w:val="18"/>
          <w:szCs w:val="18"/>
          <w:color w:val="auto"/>
        </w:rPr>
      </w:pPr>
    </w:p>
    <w:p>
      <w:pPr>
        <w:ind w:left="460" w:right="160" w:firstLine="443"/>
        <w:spacing w:after="0" w:line="308" w:lineRule="auto"/>
        <w:tabs>
          <w:tab w:leader="none" w:pos="115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sale of equipment to the extent that such equipment is exchanged for credit against the purchase price of similar replacement equipment, or the proceeds of such sale are applied with reasonable promptness to the purchase price of such replacement equipment;</w:t>
      </w:r>
    </w:p>
    <w:p>
      <w:pPr>
        <w:spacing w:after="0" w:line="38" w:lineRule="exact"/>
        <w:rPr>
          <w:rFonts w:ascii="Arial" w:cs="Arial" w:eastAsia="Arial" w:hAnsi="Arial"/>
          <w:sz w:val="17"/>
          <w:szCs w:val="17"/>
          <w:color w:val="auto"/>
        </w:rPr>
      </w:pPr>
    </w:p>
    <w:p>
      <w:pPr>
        <w:ind w:left="460" w:right="40" w:firstLine="443"/>
        <w:spacing w:after="0" w:line="264" w:lineRule="auto"/>
        <w:tabs>
          <w:tab w:leader="none" w:pos="1143"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sales and dispositions of assets and Property for at least fair market value (as determined by the board of directors of the Borrower) so long as the net book value of all assets or Property sold or otherwise disposed of does not constitute 10% or more of the total assets of the Borrower and its Subsidiaries in the aggregate;</w:t>
      </w:r>
    </w:p>
    <w:p>
      <w:pPr>
        <w:spacing w:after="0" w:line="73" w:lineRule="exact"/>
        <w:rPr>
          <w:rFonts w:ascii="Arial" w:cs="Arial" w:eastAsia="Arial" w:hAnsi="Arial"/>
          <w:sz w:val="18"/>
          <w:szCs w:val="18"/>
          <w:color w:val="auto"/>
        </w:rPr>
      </w:pPr>
    </w:p>
    <w:p>
      <w:pPr>
        <w:ind w:left="460" w:right="760" w:firstLine="443"/>
        <w:spacing w:after="0" w:line="277" w:lineRule="auto"/>
        <w:tabs>
          <w:tab w:leader="none" w:pos="11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sale or discount without recourse of accounts receivable arising in the ordinary course of business by the Borrower or any of the Subsidiaries in connection with the compromise or collection thereof in the ordinary course of business; or</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sales and dispositions of assets of a Subsidiary of the Borrower to the Borrower or any Subsidiary that is a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4" w:right="259" w:bottom="1440" w:gutter="0" w:footer="0" w:header="0"/>
        </w:sectPr>
      </w:pPr>
    </w:p>
    <w:bookmarkStart w:id="86" w:name="page87"/>
    <w:bookmarkEnd w:id="86"/>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6.20. </w:t>
      </w:r>
      <w:r>
        <w:rPr>
          <w:rFonts w:ascii="Arial" w:cs="Arial" w:eastAsia="Arial" w:hAnsi="Arial"/>
          <w:sz w:val="18"/>
          <w:szCs w:val="18"/>
          <w:u w:val="single" w:color="auto"/>
          <w:color w:val="auto"/>
        </w:rPr>
        <w:t>Investments</w:t>
      </w:r>
      <w:r>
        <w:rPr>
          <w:rFonts w:ascii="Arial" w:cs="Arial" w:eastAsia="Arial" w:hAnsi="Arial"/>
          <w:sz w:val="18"/>
          <w:szCs w:val="18"/>
          <w:color w:val="auto"/>
        </w:rPr>
        <w:t>. The Borrower will not, and will not permit any Subsidiary to, make or suffer to exist any Investments (including, without limitation, loans and advances to, and other Investments in, Subsidiaries), or commitments therefor, create any Subsidiary or become or remain a partner in any partnership or joint venture, except:</w:t>
      </w:r>
    </w:p>
    <w:p>
      <w:pPr>
        <w:spacing w:after="0" w:line="73" w:lineRule="exact"/>
        <w:rPr>
          <w:sz w:val="20"/>
          <w:szCs w:val="20"/>
          <w:color w:val="auto"/>
        </w:rPr>
      </w:pPr>
    </w:p>
    <w:p>
      <w:pPr>
        <w:ind w:left="1140" w:hanging="237"/>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Cash Equivalent Investments;</w:t>
      </w:r>
    </w:p>
    <w:p>
      <w:pPr>
        <w:spacing w:after="0" w:line="117" w:lineRule="exact"/>
        <w:rPr>
          <w:rFonts w:ascii="Arial" w:cs="Arial" w:eastAsia="Arial" w:hAnsi="Arial"/>
          <w:sz w:val="18"/>
          <w:szCs w:val="18"/>
          <w:color w:val="auto"/>
        </w:rPr>
      </w:pPr>
    </w:p>
    <w:p>
      <w:pPr>
        <w:ind w:left="460" w:right="300" w:firstLine="443"/>
        <w:spacing w:after="0" w:line="277" w:lineRule="auto"/>
        <w:tabs>
          <w:tab w:leader="none" w:pos="11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(i) Investments in Domestic Subsidiaries in existence on the Closing Date and (ii) other Investments in existence on the Closing Date and described in </w:t>
      </w:r>
      <w:r>
        <w:rPr>
          <w:rFonts w:ascii="Arial" w:cs="Arial" w:eastAsia="Arial" w:hAnsi="Arial"/>
          <w:sz w:val="18"/>
          <w:szCs w:val="18"/>
          <w:u w:val="single" w:color="auto"/>
          <w:color w:val="auto"/>
        </w:rPr>
        <w:t>Schedule 6.20</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1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Investments (i) constituting Permitted Acquisitions and the Acquisition (SPH) and (ii) in Domestic Subsidiaries permitted by and subject to Section 6.27;</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Investments constituting Indebtedness permitted pursuant to Section 6.17;</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Bank deposits in the ordinary course of business, to the extent permitted by Section 6.16(b);</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Travel and similar advances to employees or independent contractors in the ordinary course of business;</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Deposits made in the ordinary course of business securing obligations or performance under contracts, such as in connection with real estate or personal property leases;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Other Investments (excluding any Investments described in clauses (a) through (g) above) not to exceed $1,000,000 in the aggregate at any</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one time.</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provided that (x) any Investment that when made complies with the requirements of the definition of the term “Cash Equivalent Investment” may continue to be held notwithstanding that such Investment if made thereafter would not comply with such requirements and (y) no Investment otherwise permitted by clause (c) shall be permitted to be made if, immediately before or after giving effect thereto, any Event of Default exists.</w:t>
      </w:r>
    </w:p>
    <w:p>
      <w:pPr>
        <w:spacing w:after="0" w:line="16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Acquisitions</w:t>
      </w:r>
      <w:r>
        <w:rPr>
          <w:rFonts w:ascii="Arial" w:cs="Arial" w:eastAsia="Arial" w:hAnsi="Arial"/>
          <w:sz w:val="18"/>
          <w:szCs w:val="18"/>
          <w:color w:val="auto"/>
        </w:rPr>
        <w:t>. The Borrower will not, and will not permit any Subsidiary, to make any Acquisition other than the Acquisition (SPH) and any Permitted Acquisition.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274" w:right="299" w:bottom="1440" w:gutter="0" w:footer="0" w:header="0"/>
        </w:sectPr>
      </w:pPr>
    </w:p>
    <w:bookmarkStart w:id="87" w:name="page88"/>
    <w:bookmarkEnd w:id="87"/>
    <w:p>
      <w:pPr>
        <w:ind w:right="2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and will not permit any Subsidiary to, create, incur, assume or suffer to exist any Lien in, of or on the Property of any of the Borrower and the Subsidiaries now owned or hereafter acquired, or enter into or make any commitment to enter into any arrangement for the acquisition of property through conditioned sale, lease, purchase or other title retention agreement, except:</w:t>
      </w:r>
    </w:p>
    <w:p>
      <w:pPr>
        <w:spacing w:after="0" w:line="73" w:lineRule="exact"/>
        <w:rPr>
          <w:sz w:val="20"/>
          <w:szCs w:val="20"/>
          <w:color w:val="auto"/>
        </w:rPr>
      </w:pPr>
    </w:p>
    <w:p>
      <w:pPr>
        <w:jc w:val="both"/>
        <w:ind w:left="460" w:right="240" w:firstLine="443"/>
        <w:spacing w:after="0" w:line="264" w:lineRule="auto"/>
        <w:tabs>
          <w:tab w:leader="none" w:pos="11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levies on its Property if the same are not at the time delinquent or thereafter can be paid without penalty, or are being contested in good faith and by appropriate proceedings and for which adequate reserves in accordance with GAAP have been set aside on its books;</w:t>
      </w:r>
    </w:p>
    <w:p>
      <w:pPr>
        <w:spacing w:after="0" w:line="73" w:lineRule="exact"/>
        <w:rPr>
          <w:rFonts w:ascii="Arial" w:cs="Arial" w:eastAsia="Arial" w:hAnsi="Arial"/>
          <w:sz w:val="18"/>
          <w:szCs w:val="18"/>
          <w:color w:val="auto"/>
        </w:rPr>
      </w:pPr>
    </w:p>
    <w:p>
      <w:pPr>
        <w:jc w:val="both"/>
        <w:ind w:left="460" w:right="100" w:firstLine="443"/>
        <w:spacing w:after="0" w:line="264" w:lineRule="auto"/>
        <w:tabs>
          <w:tab w:leader="none" w:pos="11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imposed by law, such as landlord, carriers’, warehousemen’s and mechanics’ liens and other similar liens arising in the ordinary course of business that secure payment of obligations not more than 60 days past due or that are being contested in good faith by appropriate proceedings and for which adequate reserves have been set aside on its books;</w:t>
      </w:r>
    </w:p>
    <w:p>
      <w:pPr>
        <w:spacing w:after="0" w:line="73" w:lineRule="exact"/>
        <w:rPr>
          <w:rFonts w:ascii="Arial" w:cs="Arial" w:eastAsia="Arial" w:hAnsi="Arial"/>
          <w:sz w:val="18"/>
          <w:szCs w:val="18"/>
          <w:color w:val="auto"/>
        </w:rPr>
      </w:pPr>
    </w:p>
    <w:p>
      <w:pPr>
        <w:ind w:left="460" w:right="160" w:firstLine="443"/>
        <w:spacing w:after="0" w:line="277" w:lineRule="auto"/>
        <w:tabs>
          <w:tab w:leader="none" w:pos="11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arising out of pledges or deposits under worker’s compensation laws, unemployment insurance, old age pensions, other social security or retirement benefits or similar legislation;</w:t>
      </w:r>
    </w:p>
    <w:p>
      <w:pPr>
        <w:spacing w:after="0" w:line="62"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Utility easements, building restrictions and such other encumbrances or charges against real property as are of a nature generally existing with respect to properties of a similar character that do not in any material way affect the marketability of the same or interfere in any material respect with the use thereof in the business of the Borrower and the Subsidiaries;</w:t>
      </w:r>
    </w:p>
    <w:p>
      <w:pPr>
        <w:spacing w:after="0" w:line="73" w:lineRule="exact"/>
        <w:rPr>
          <w:rFonts w:ascii="Arial" w:cs="Arial" w:eastAsia="Arial" w:hAnsi="Arial"/>
          <w:sz w:val="18"/>
          <w:szCs w:val="18"/>
          <w:color w:val="auto"/>
        </w:rPr>
      </w:pPr>
    </w:p>
    <w:p>
      <w:pPr>
        <w:ind w:left="460" w:firstLine="443"/>
        <w:spacing w:after="0" w:line="257" w:lineRule="auto"/>
        <w:tabs>
          <w:tab w:leader="none" w:pos="11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arising solely by virtue of any statutory or common law provision relating to bankers’ liens, rights of set-off or similar rights and remedies as to deposit accounts or other funds maintained with a creditor depository institution; provided that such deposit account (i) is not a dedicated cash collateral account and is not subject to restriction against access by the Borrower or a Subsidiary in excess of those set forth by regulations promulgated by the Board of Governors of the Federal Reserve, and (ii) is not intended by any of the Borrower or any Subsidiary to provide collateral to the depository institution;</w:t>
      </w:r>
    </w:p>
    <w:p>
      <w:pPr>
        <w:spacing w:after="0" w:line="80" w:lineRule="exact"/>
        <w:rPr>
          <w:rFonts w:ascii="Arial" w:cs="Arial" w:eastAsia="Arial" w:hAnsi="Arial"/>
          <w:sz w:val="18"/>
          <w:szCs w:val="18"/>
          <w:color w:val="auto"/>
        </w:rPr>
      </w:pPr>
    </w:p>
    <w:p>
      <w:pPr>
        <w:ind w:left="460" w:right="160" w:firstLine="443"/>
        <w:spacing w:after="0" w:line="264" w:lineRule="auto"/>
        <w:tabs>
          <w:tab w:leader="none" w:pos="11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and described in </w:t>
      </w:r>
      <w:r>
        <w:rPr>
          <w:rFonts w:ascii="Arial" w:cs="Arial" w:eastAsia="Arial" w:hAnsi="Arial"/>
          <w:sz w:val="18"/>
          <w:szCs w:val="18"/>
          <w:u w:val="single" w:color="auto"/>
          <w:color w:val="auto"/>
        </w:rPr>
        <w:t>Schedule 6.22</w:t>
      </w:r>
      <w:r>
        <w:rPr>
          <w:rFonts w:ascii="Arial" w:cs="Arial" w:eastAsia="Arial" w:hAnsi="Arial"/>
          <w:sz w:val="18"/>
          <w:szCs w:val="18"/>
          <w:color w:val="auto"/>
        </w:rPr>
        <w:t xml:space="preserve"> and replacements, renewals, refinancings or extensions thereof (including the amount of any related reasonable transaction fees and expenses incurred in connection therewith) that do not increase the principal amount of the obligation secured thereby to the extent such obligations are permitted under Section 6.17;</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in connection with Financed Premiums;</w:t>
      </w:r>
    </w:p>
    <w:p>
      <w:pPr>
        <w:spacing w:after="0" w:line="117" w:lineRule="exact"/>
        <w:rPr>
          <w:rFonts w:ascii="Arial" w:cs="Arial" w:eastAsia="Arial" w:hAnsi="Arial"/>
          <w:sz w:val="18"/>
          <w:szCs w:val="18"/>
          <w:color w:val="auto"/>
        </w:rPr>
      </w:pPr>
    </w:p>
    <w:p>
      <w:pPr>
        <w:ind w:left="460" w:right="640" w:firstLine="443"/>
        <w:spacing w:after="0" w:line="277" w:lineRule="auto"/>
        <w:tabs>
          <w:tab w:leader="none" w:pos="11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the limitation set forth in Section 6.17(c), (i) Liens arising in connection with Capitalized Leases (and attaching only to the property being leased) and (ii) Liens that constitute purchase money security interests on any property securing debt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88" w:name="page89"/>
    <w:bookmarkEnd w:id="88"/>
    <w:p>
      <w:pPr>
        <w:ind w:left="460"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incurred for the purpose of financing all or any part of the cost of acquiring such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Lien attaches to such property within 20 days of the acquisition thereof and attaches solely to the property so acquired and products and proceeds thereof, and the Indebtedness secured by any such Lien does not exceed 100% of the fair market value of the property encumbered thereby as of the date of purchase of such property;</w:t>
      </w:r>
    </w:p>
    <w:p>
      <w:pPr>
        <w:spacing w:after="0" w:line="39" w:lineRule="exact"/>
        <w:rPr>
          <w:sz w:val="20"/>
          <w:szCs w:val="20"/>
          <w:color w:val="auto"/>
        </w:rPr>
      </w:pPr>
    </w:p>
    <w:p>
      <w:pPr>
        <w:ind w:left="460" w:firstLine="443"/>
        <w:spacing w:after="0" w:line="264" w:lineRule="auto"/>
        <w:tabs>
          <w:tab w:leader="none" w:pos="111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Attachments, appeal bonds, judgments, and other similar Liens, for sums not exceeding $1,000,000 in the aggregate arising in connection with court proceedings, provided the execution or other enforcement of such Liens is effectively stayed and the claims secured thereby are being actively contested in good faith and by appropriate proceedings;</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Informational UCC financing statements filed with respect to operating leases;</w:t>
      </w:r>
    </w:p>
    <w:p>
      <w:pPr>
        <w:spacing w:after="0" w:line="117" w:lineRule="exact"/>
        <w:rPr>
          <w:rFonts w:ascii="Arial" w:cs="Arial" w:eastAsia="Arial" w:hAnsi="Arial"/>
          <w:sz w:val="18"/>
          <w:szCs w:val="18"/>
          <w:color w:val="auto"/>
        </w:rPr>
      </w:pPr>
    </w:p>
    <w:p>
      <w:pPr>
        <w:ind w:left="460" w:right="640" w:firstLine="443"/>
        <w:spacing w:after="0" w:line="277" w:lineRule="auto"/>
        <w:tabs>
          <w:tab w:leader="none" w:pos="11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licensor or sublicensor under any operating lease or non-exclusive license permitted by this Agreement;</w:t>
      </w:r>
    </w:p>
    <w:p>
      <w:pPr>
        <w:spacing w:after="0" w:line="62" w:lineRule="exact"/>
        <w:rPr>
          <w:rFonts w:ascii="Arial" w:cs="Arial" w:eastAsia="Arial" w:hAnsi="Arial"/>
          <w:sz w:val="18"/>
          <w:szCs w:val="18"/>
          <w:color w:val="auto"/>
        </w:rPr>
      </w:pPr>
    </w:p>
    <w:p>
      <w:pPr>
        <w:ind w:left="460" w:right="640" w:firstLine="443"/>
        <w:spacing w:after="0" w:line="277" w:lineRule="auto"/>
        <w:tabs>
          <w:tab w:leader="none" w:pos="1113"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Licenses, sublicenses, leases, or subleases of real property or intellectual property granted by, the Borrower or Subsidiary (as lessor or licensor) to third Persons in the ordinary course of business consistent with past practices;</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that secure payment of customs duties in connection with the importation of goods; and</w:t>
      </w:r>
    </w:p>
    <w:p>
      <w:pPr>
        <w:spacing w:after="0" w:line="140" w:lineRule="exact"/>
        <w:rPr>
          <w:rFonts w:ascii="Arial" w:cs="Arial" w:eastAsia="Arial" w:hAnsi="Arial"/>
          <w:sz w:val="16"/>
          <w:szCs w:val="16"/>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in favor of the Administrative Agent, for the benefit of the Lenders, granted pursuant to any Collateral Document.</w:t>
      </w:r>
    </w:p>
    <w:p>
      <w:pPr>
        <w:spacing w:after="0" w:line="225"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Neither the Borrower, nor any Subsidiary shall enter into any transaction with any of its Affiliates, except upon fair and reasonable terms no less favorable than those it would obtain in a comparable arm’s-length transaction with a Person not an Affiliate; </w:t>
      </w:r>
      <w:r>
        <w:rPr>
          <w:rFonts w:ascii="Arial" w:cs="Arial" w:eastAsia="Arial" w:hAnsi="Arial"/>
          <w:sz w:val="16"/>
          <w:szCs w:val="16"/>
          <w:i w:val="1"/>
          <w:iCs w:val="1"/>
          <w:color w:val="auto"/>
        </w:rPr>
        <w:t>provided</w:t>
      </w:r>
      <w:r>
        <w:rPr>
          <w:rFonts w:ascii="Arial" w:cs="Arial" w:eastAsia="Arial" w:hAnsi="Arial"/>
          <w:sz w:val="16"/>
          <w:szCs w:val="16"/>
          <w:color w:val="auto"/>
        </w:rPr>
        <w:t>, that this Section shall not prohibit or restrict transactions between or among the Borrower and the Subsidiaries to the extent not prohibited by this Agreement.</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6.24. </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Except as permitted in the applicable subordination agreement, neither the Borrower will not, and will not permit any Subsidiary to, make any amendment or modification to the indenture, note or other agreement evidencing or governing any Subordinated Indebtedness, or directly or indirectly voluntarily prepay, defease or in substance defease, purchase, redeem, retire or otherwise acquire, any Subordinated Indebtedness or take any other actions in contravention or violation of any subordination agreement related to such Subordinated Indebtedness.</w:t>
      </w:r>
    </w:p>
    <w:p>
      <w:pPr>
        <w:spacing w:after="0" w:line="154"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 xml:space="preserve">6.25. </w:t>
      </w:r>
      <w:r>
        <w:rPr>
          <w:rFonts w:ascii="Arial" w:cs="Arial" w:eastAsia="Arial" w:hAnsi="Arial"/>
          <w:sz w:val="18"/>
          <w:szCs w:val="18"/>
          <w:u w:val="single" w:color="auto"/>
          <w:color w:val="auto"/>
        </w:rPr>
        <w:t>ERISA Plans</w:t>
      </w:r>
      <w:r>
        <w:rPr>
          <w:rFonts w:ascii="Arial" w:cs="Arial" w:eastAsia="Arial" w:hAnsi="Arial"/>
          <w:sz w:val="18"/>
          <w:szCs w:val="18"/>
          <w:color w:val="auto"/>
        </w:rPr>
        <w:t>. Neither the Borrower nor Subsidiaries shall permit (a) any event to occur or condition to exist that would permit any Plan to terminate under any circumstances that would cause the Lien provided for in § 4068 of ERISA to attach to any assets of any of the Borrower and the Subsidiaries, (b) a Plan subject to Title IV of ERISA to be less than 70% funded as measured on the last day of the applicable Plan year based on the certification prepared by the Plan’s actuary regarding funding (referred to as the AFTAP certification) and (c) a failure to make a minimum funding contribution to a Plan required under § 302 of ERISA and § 412 of the Code to the extent such failure could reasonably be expected to result in a Material Adverse Effect.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89" w:name="page90"/>
    <w:bookmarkEnd w:id="89"/>
    <w:p>
      <w:pPr>
        <w:ind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6.26. </w:t>
      </w:r>
      <w:r>
        <w:rPr>
          <w:rFonts w:ascii="Arial" w:cs="Arial" w:eastAsia="Arial" w:hAnsi="Arial"/>
          <w:sz w:val="17"/>
          <w:szCs w:val="17"/>
          <w:u w:val="single" w:color="auto"/>
          <w:color w:val="auto"/>
        </w:rPr>
        <w:t>Change in Nature of Business</w:t>
      </w:r>
      <w:r>
        <w:rPr>
          <w:rFonts w:ascii="Arial" w:cs="Arial" w:eastAsia="Arial" w:hAnsi="Arial"/>
          <w:sz w:val="17"/>
          <w:szCs w:val="17"/>
          <w:color w:val="auto"/>
        </w:rPr>
        <w:t>. Neither the Borrower nor the Subsidiaries shall make any material change in the nature of its business as carried on at the Closing Date, businesses reasonably related thereto and logical extensions thereof, without the prior consent of the Required Lenders.</w:t>
      </w:r>
    </w:p>
    <w:p>
      <w:pPr>
        <w:spacing w:after="0" w:line="14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6.27. </w:t>
      </w:r>
      <w:r>
        <w:rPr>
          <w:rFonts w:ascii="Arial" w:cs="Arial" w:eastAsia="Arial" w:hAnsi="Arial"/>
          <w:sz w:val="17"/>
          <w:szCs w:val="17"/>
          <w:u w:val="single" w:color="auto"/>
          <w:color w:val="auto"/>
        </w:rPr>
        <w:t>Subsidiaries</w:t>
      </w:r>
      <w:r>
        <w:rPr>
          <w:rFonts w:ascii="Arial" w:cs="Arial" w:eastAsia="Arial" w:hAnsi="Arial"/>
          <w:sz w:val="17"/>
          <w:szCs w:val="17"/>
          <w:color w:val="auto"/>
        </w:rPr>
        <w:t>. After the Closing Date, neither the Borrower nor the Subsidiaries shall form or acquire any corporation, limited liability company or other entity that would thereby become a Subsidiary of the Borrower, except for (a) Wholly-Owned Subsidiaries formed or acquired by the Borrower or any Subsidiary in connection with Permitted Acquisitions, and (b) any Wholly-Owned Subsidiaries for which the applicable documents required by Section 6.5 have been executed and delivered to the Administrative Agent in accordance with the terms of such Section.</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6.28. </w:t>
      </w:r>
      <w:r>
        <w:rPr>
          <w:rFonts w:ascii="Arial" w:cs="Arial" w:eastAsia="Arial" w:hAnsi="Arial"/>
          <w:sz w:val="18"/>
          <w:szCs w:val="18"/>
          <w:u w:val="single" w:color="auto"/>
          <w:color w:val="auto"/>
        </w:rPr>
        <w:t>Negative Pledges; Subsidiary Restrictions</w:t>
      </w:r>
      <w:r>
        <w:rPr>
          <w:rFonts w:ascii="Arial" w:cs="Arial" w:eastAsia="Arial" w:hAnsi="Arial"/>
          <w:sz w:val="18"/>
          <w:szCs w:val="18"/>
          <w:color w:val="auto"/>
        </w:rPr>
        <w:t>. Neither the Borrower nor the Subsidiaries shall enter into any agreement, bond, note or other instrument with or for the benefit of any Person other than the Lenders that would (a) prohibit any of the Borrower and the Subsidiaries from granting, or otherwise limit the ability of such Person to grant, to the Lenders any Lien on any of the assets or properties of such Person, or (b) require any of the Borrower and the Subsidiaries to grant a Lien to any other Person if such Borrower or such Subsidiary grants any Lien to the Lenders, in each case except for any such agreement, bond, note or other instrument interest with respect to the property subject to purchase money financings and Capitalized Lease agreements permitted hereby. Neither the Borrower nor the Subsidiaries shall place or allow any restriction, directly or indirectly, on the ability of the Borrower or Subsidiary to (x) pay dividends or any distributions on or with respect to such Person’s Equity Interests or (y) make loans or other cash payments to the Borrower, in each case except for restrictions placed or allowed by any Person with respect to the property subject to purchase money financings and Capitalized Lease agreements permitted hereunder.</w:t>
      </w:r>
    </w:p>
    <w:p>
      <w:pPr>
        <w:spacing w:after="0" w:line="19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6.29.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The Borrower shall not, and shall not permit any of its Subsidiaries to, pay or commit themselves to pay any Restricted Payments at any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62" w:lineRule="exact"/>
        <w:rPr>
          <w:sz w:val="20"/>
          <w:szCs w:val="20"/>
          <w:color w:val="auto"/>
        </w:rPr>
      </w:pPr>
    </w:p>
    <w:p>
      <w:pPr>
        <w:ind w:left="1140" w:hanging="237"/>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Subsidiary may pay or commit itself to pay a dividend at any time to the Borrower or a Subsidiary that is a Guarantor; and</w:t>
      </w:r>
    </w:p>
    <w:p>
      <w:pPr>
        <w:spacing w:after="0" w:line="117"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so long as no Default or Event of Default then exists or would exist as a result thereof, the Borrower shall be permitted to make repurchases of Equity Interests of the Borrower, make distributions and pay dividends on its Equity Interests.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6.30. </w:t>
      </w:r>
      <w:r>
        <w:rPr>
          <w:rFonts w:ascii="Arial" w:cs="Arial" w:eastAsia="Arial" w:hAnsi="Arial"/>
          <w:sz w:val="18"/>
          <w:szCs w:val="18"/>
          <w:u w:val="single" w:color="auto"/>
          <w:color w:val="auto"/>
        </w:rPr>
        <w:t>Accounting Changes; Organizational Documents</w:t>
      </w:r>
      <w:r>
        <w:rPr>
          <w:rFonts w:ascii="Arial" w:cs="Arial" w:eastAsia="Arial" w:hAnsi="Arial"/>
          <w:sz w:val="18"/>
          <w:szCs w:val="18"/>
          <w:color w:val="auto"/>
        </w:rPr>
        <w:t>. Neither the Borrower nor the Subsidiaries shall (a) make any significant change in accounting treatment or reporting practices, except as permitted by GAAP (or, as to Foreign Subsidiaries, as required by generally accepted accounting principles of the jurisdiction of organization of such Foreign Subsidiary) without the prior consent of the Administrative Agent and the Initial Lenders, which consent shall not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90" w:name="page91"/>
    <w:bookmarkEnd w:id="90"/>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unreasonably withheld or change its Fiscal Year or the fiscal year of any of its Subsidiaries, (b) amend, modify or change any of its organizational or constituent documents in any manner materially adverse in any respect to the rights or interests of the Lenders, other than as specifically permitted in the Collateral Documents or as a result of a transaction permitted by Section 6.18 or the Stauber Restructuring or (c) amend, modify, or change the Acquisition Agreement (SPH) in any manner materially adverse in any respect to the rights or interests of the Lenders.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6.31.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117" w:lineRule="exact"/>
        <w:rPr>
          <w:sz w:val="20"/>
          <w:szCs w:val="20"/>
          <w:color w:val="auto"/>
        </w:rPr>
      </w:pPr>
    </w:p>
    <w:p>
      <w:pPr>
        <w:ind w:left="460" w:right="40" w:firstLine="438"/>
        <w:spacing w:after="0" w:line="264" w:lineRule="auto"/>
        <w:rPr>
          <w:sz w:val="20"/>
          <w:szCs w:val="20"/>
          <w:color w:val="auto"/>
        </w:rPr>
      </w:pPr>
      <w:r>
        <w:rPr>
          <w:rFonts w:ascii="Arial" w:cs="Arial" w:eastAsia="Arial" w:hAnsi="Arial"/>
          <w:sz w:val="18"/>
          <w:szCs w:val="18"/>
          <w:color w:val="auto"/>
        </w:rPr>
        <w:t xml:space="preserve">6.31.1 </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Commencing with the Fiscal Year ending April 3, 2016, the Borrower and the Subsidiaries will not permit the Fixed Charge Coverage Ratio, as of the last day of any Fiscal Quarter for the four consecutive Fiscal Quarters ending on that date, to be less than 1.15 to 1.00.</w:t>
      </w:r>
    </w:p>
    <w:p>
      <w:pPr>
        <w:spacing w:after="0" w:line="73" w:lineRule="exact"/>
        <w:rPr>
          <w:sz w:val="20"/>
          <w:szCs w:val="20"/>
          <w:color w:val="auto"/>
        </w:rPr>
      </w:pPr>
    </w:p>
    <w:p>
      <w:pPr>
        <w:ind w:left="460" w:right="100" w:firstLine="438"/>
        <w:spacing w:after="0" w:line="264" w:lineRule="auto"/>
        <w:rPr>
          <w:sz w:val="20"/>
          <w:szCs w:val="20"/>
          <w:color w:val="auto"/>
        </w:rPr>
      </w:pPr>
      <w:r>
        <w:rPr>
          <w:rFonts w:ascii="Arial" w:cs="Arial" w:eastAsia="Arial" w:hAnsi="Arial"/>
          <w:sz w:val="18"/>
          <w:szCs w:val="18"/>
          <w:color w:val="auto"/>
        </w:rPr>
        <w:t xml:space="preserve">6.31.2 </w:t>
      </w:r>
      <w:r>
        <w:rPr>
          <w:rFonts w:ascii="Arial" w:cs="Arial" w:eastAsia="Arial" w:hAnsi="Arial"/>
          <w:sz w:val="18"/>
          <w:szCs w:val="18"/>
          <w:u w:val="single" w:color="auto"/>
          <w:color w:val="auto"/>
        </w:rPr>
        <w:t>Total Cash Flow Leverage Ratio</w:t>
      </w:r>
      <w:r>
        <w:rPr>
          <w:rFonts w:ascii="Arial" w:cs="Arial" w:eastAsia="Arial" w:hAnsi="Arial"/>
          <w:sz w:val="18"/>
          <w:szCs w:val="18"/>
          <w:color w:val="auto"/>
        </w:rPr>
        <w:t>. Commencing with the Fiscal Year ending April 3, 2016, the Borrower and the Subsidiaries will not permit the Total Cash Flow Leverage Ratio, as of the last day of any Fiscal Quarter for the four consecutive Fiscal Quarters ending on that date, to be greater than or equal to 3.0 to 1.0.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6.32. </w:t>
      </w:r>
      <w:r>
        <w:rPr>
          <w:rFonts w:ascii="Arial" w:cs="Arial" w:eastAsia="Arial" w:hAnsi="Arial"/>
          <w:sz w:val="16"/>
          <w:szCs w:val="16"/>
          <w:u w:val="single" w:color="auto"/>
          <w:color w:val="auto"/>
        </w:rPr>
        <w:t>Sale and Leaseback Transactions</w:t>
      </w:r>
      <w:r>
        <w:rPr>
          <w:rFonts w:ascii="Arial" w:cs="Arial" w:eastAsia="Arial" w:hAnsi="Arial"/>
          <w:sz w:val="16"/>
          <w:szCs w:val="16"/>
          <w:color w:val="auto"/>
        </w:rPr>
        <w:t>. The Borrower will not, and will not permit any Subsidiary to, enter into any Sale and Leaseback Transaction.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6.33.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6.34. </w:t>
      </w:r>
      <w:r>
        <w:rPr>
          <w:rFonts w:ascii="Arial" w:cs="Arial" w:eastAsia="Arial" w:hAnsi="Arial"/>
          <w:sz w:val="18"/>
          <w:szCs w:val="18"/>
          <w:u w:val="single" w:color="auto"/>
          <w:color w:val="auto"/>
        </w:rPr>
        <w:t>Loan Proceeds</w:t>
      </w:r>
      <w:r>
        <w:rPr>
          <w:rFonts w:ascii="Arial" w:cs="Arial" w:eastAsia="Arial" w:hAnsi="Arial"/>
          <w:sz w:val="18"/>
          <w:szCs w:val="18"/>
          <w:color w:val="auto"/>
        </w:rPr>
        <w:t>. The Borrower will not, and will not permit any Subsidiary to, use any part of the proceeds of any Loan or Advances directly or indirectly, and whether immediately, incidentally or ultimately, (a) to purchase or carry margin stock (as defined in Regulation U of the Board) or to extend credit to others for the purpose of purchasing or carrying margin stock or to refund Indebtedness originally incurred for such purpose or (b) for any purpose that entails a violation of, or that is inconsistent with, the provisions of Regulations U or X of the Board of Governors of the Federal Reserve System as from time to time in effect.</w:t>
      </w:r>
    </w:p>
    <w:p>
      <w:pPr>
        <w:spacing w:after="0" w:line="18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6.35. </w:t>
      </w:r>
      <w:r>
        <w:rPr>
          <w:rFonts w:ascii="Arial" w:cs="Arial" w:eastAsia="Arial" w:hAnsi="Arial"/>
          <w:sz w:val="16"/>
          <w:szCs w:val="16"/>
          <w:u w:val="single" w:color="auto"/>
          <w:color w:val="auto"/>
        </w:rPr>
        <w:t>Keepwell</w:t>
      </w:r>
      <w:r>
        <w:rPr>
          <w:rFonts w:ascii="Arial" w:cs="Arial" w:eastAsia="Arial" w:hAnsi="Arial"/>
          <w:sz w:val="16"/>
          <w:szCs w:val="16"/>
          <w:color w:val="auto"/>
        </w:rPr>
        <w:t>. The Borrower hereby absolutely, unconditionally and irrevocably undertakes to provide such funds or other support, or cause its Subsidiaries to provide such funds or other support, as may be needed from time to time by each Guarantor to honor all of its obligations under this Agreement and any Guaranty in respect of any Swap Obligations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Borrower and the Guarantors shall only be liable under this Section 6.35 for the maximum amount of such liability that can be hereby incurred without rendering its obligations under this Section 6.35, or otherwise under the applicable Guaranty, voidable under applicable law relating to fraudulent conveyance, voidable transaction, or fraudulent transfer, and not for any greater amount). The obligations of the Borrower and the Guarantors under this Section shall remain in full force and effect until irrevocable payment in full of the Obligations (other than inchoate indemnity obligations). The Borrower intends that this Section 6.35 constitute, and this Section 6.35 shall be deemed to constitute, a “keepwell, support, or other agreement” for the benefit of each Guarantor for all purposes of Section 1a(18)(A)(v)(II) of the Commodity Exchange Act. Notwithstanding anything herein to the contrary, if a Guarantor or a Swap Counterparty makes a written representation to the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20"/>
          </w:cols>
          <w:pgMar w:left="240" w:top="274" w:right="339" w:bottom="1440" w:gutter="0" w:footer="0" w:header="0"/>
        </w:sectPr>
      </w:pPr>
    </w:p>
    <w:bookmarkStart w:id="91" w:name="page92"/>
    <w:bookmarkEnd w:id="91"/>
    <w:p>
      <w:pPr>
        <w:ind w:right="1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or a Lender in connection with a Guaranty, a swap, or any master agreement governing a swap to the effect that such Guarantor is or will be an “eligible contract participant” as defined in the Commodity Exchange Act on the date the Guaranty becomes effective with respect to such swap (this date shall be the date of the execution of the swap if the corresponding Guaranty is then in effect, and otherwise it shall be the date of execution and delivery of such Guaranty unless the Guaranty specifies a subsequent effective date), and such representation proves to have been incorrect when made or deemed to have been made, the Administrative Agent and each Lender reserve all of their contractual and other rights and remedies, at law or in equity, including (to the extent permitted by applicable law) the right to claim, and pursue a separate cause of action, for damages as a result of such misrepresentation, provided that such Guarantor’s liability for such damages shall not exceed the amount of the Excluded Swap Obligations with respect to such swap.</w:t>
      </w:r>
    </w:p>
    <w:p>
      <w:pPr>
        <w:spacing w:after="0" w:line="19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6.36. </w:t>
      </w:r>
      <w:r>
        <w:rPr>
          <w:rFonts w:ascii="Arial" w:cs="Arial" w:eastAsia="Arial" w:hAnsi="Arial"/>
          <w:sz w:val="18"/>
          <w:szCs w:val="18"/>
          <w:u w:val="single" w:color="auto"/>
          <w:color w:val="auto"/>
        </w:rPr>
        <w:t>PATRIOT Act Compliance</w:t>
      </w:r>
      <w:r>
        <w:rPr>
          <w:rFonts w:ascii="Arial" w:cs="Arial" w:eastAsia="Arial" w:hAnsi="Arial"/>
          <w:sz w:val="18"/>
          <w:szCs w:val="18"/>
          <w:color w:val="auto"/>
        </w:rPr>
        <w:t>. The Borrower shall, and shall cause each Subsidiary to, provide such information and take such actions as are reasonably requested by the Administrative Agent or any Lender in order to assist the Administrative Agent and the Lenders in maintaining compliance with the PATRIOT Act.</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DEFAULTS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one or more of the following events shall constitute an Event of Default:</w:t>
      </w:r>
    </w:p>
    <w:p>
      <w:pPr>
        <w:spacing w:after="0" w:line="225"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7.1. Any representation or warranty made or deemed made by or on behalf of any of the Borrower and the Subsidiaries to the Lenders, the Administrative Agent, the LC Issuers, or the Swing Line Lender under or in connection with this Agreement, any Credit Extension or any certificate or information delivered in connection with this Agreement or any other Loan Document being false or misleading in any material respect on the date as of which made.</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7.2. Nonpayment of principal of any Loan when due or nonpayment of any Reimbursement Obligation after the same becomes due in accordance with Section 2.17.6, or nonpayment of interest upon any Loan or of any Revolving Commitment Fee, LC Fronting Fee, LC Fee or other obligations under any of the Loan Documents within three days after the same becomes due.</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7.3. The breach by the Borrower or any Subsidiary of any of the terms or provisions of Section 6.2, 6.3, 6.4, 6.5, 6.6, 6.7 (only with respect to failure to maintain insurance), 6.16(b), 6.16(d), 6.16(e), 6.16(f), 6.16(g), 6.17, 6.18, 6.19, 6.20, 6.21, 6.22, 6.23, 6.24, 6.25, 6.26, 6.27, 6.28, 6.29, 6.30, 6.31, 6.32, 6.34 and 6.36.</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7.4. The breach by any of the Borrower and the Subsidiaries (other than a breach that constitutes an Event of Default under another Section of this Article VII) of any of the terms or provisions of this Agreement which breach is not remedied within 30 days after the earlier of (a) an Authorized Officer of the Borrower becomes aware thereof or (b) the Borrower receives notice of the same from Administrative Agent,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such breach cannot reasonably be cured within such 30-day period, as determined by the Administrative Agent and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274" w:right="279" w:bottom="1440" w:gutter="0" w:footer="0" w:header="0"/>
        </w:sectPr>
      </w:pPr>
    </w:p>
    <w:bookmarkStart w:id="92" w:name="page93"/>
    <w:bookmarkEnd w:id="92"/>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Initial Lenders, in their reasonable discretion, and the Borrower is diligently pursuing a remedy of such breach, the Borrower shall have a reasonable period to remedy such breach beyond such 30-day period, which shall not exceed 90 days.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7.5. (i) Failure of any of the Borrower and the Subsidiaries to pay when due any Material Indebtedness, (ii) the default by any of the Borrower and the Subsidiaries in the performance (beyond the applicable grace period with respect thereto, if any) of any term, provision or condition in any Material Indebtedness Agreement, or any other event or condition, the effect of which default, event or condition under this clause (ii) is to cause, or to permit the holder(s) of such Material Indebtedness or the lender(s) under any Material Indebtedness Agreement to cause, such Material Indebtedness to become due prior to its stated maturity or any commitment to lend under any Material Indebtedness Agreement to be terminated prior to its stated expiration date, (iii) any Material Indebtedness of any of the Borrower and the Subsidiaries being declared to be due and payable or required to be prepaid or repurchased (other than by a regularly scheduled payment) prior to the stated maturity thereof, or (iv) any of the Borrower and the Subsidiaries fails to pay, or admits in writing its inability to pay, its debts generally as they become due.</w:t>
      </w:r>
    </w:p>
    <w:p>
      <w:pPr>
        <w:spacing w:after="0" w:line="17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7.6. Any of the Borrower and the Subsidiaries (i) has an order for relief entered with respect to it under the federal bankruptcy laws as now or hereafter in effect, (ii) makes an assignment for the benefit of creditors, (iii) applies for, seeks, consents to or acquiesces in the appointment of a receiver, custodian, trustee, examiner, liquidator or similar official for it or any Substantial Portion of its Property, (iv) institutes any proceeding seeking an order for relief under the federal bankruptcy laws as now or hereafter in effect, seeking to adjudicate it a bankrupt or insolvent or seeking dissolution, winding up, liquidation, reorganization, arrangement, adjustment or composition of it or its debts under any law relating to bankruptcy, insolvency or reorganization or relief of debtors or fails to file an answer or other pleading denying the material allegations of any such proceeding filed against it, (v) takes any corporate or partnership action to authorize or effect any of the foregoing actions set forth in this Section or (vi) fails to contest in good faith any appointment or proceeding described in Section 7.7.</w:t>
      </w:r>
    </w:p>
    <w:p>
      <w:pPr>
        <w:spacing w:after="0" w:line="19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7.7. Without the application, approval or consent of any of the Borrower and the Subsidiaries, a receiver, trustee, examiner, liquidator or similar official is appointed for any of the Borrower and the Subsidiaries or any Substantial Portion of its Property, or a proceeding described in Section 7.6(iv) is instituted against any of the Borrower and the Subsidiaries, and such appointment continues undischarged or such proceeding continues undismissed or unstayed for a period of 60 consecutive days.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7.8. Any court, government or governmental agency condemns, seizes or otherwise appropriates or takes custody or control of all or any portion of the Property of the Borrower and the Subsidiaries that, when taken together with all other Property of the Borrower and the Subsidiaries so condemned, seized, appropriated or taken custody or control of, during the twelve-month period ending with the month in which any such action occurs, constitutes a Substantial Portion.</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7.9. Any of the Borrower and the Subsidiaries fails within 60 days to pay, bond or otherwise discharge one or more (i) judgments or orders for the payment of money in excess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74" w:right="279" w:bottom="1440" w:gutter="0" w:footer="0" w:header="0"/>
        </w:sectPr>
      </w:pPr>
    </w:p>
    <w:bookmarkStart w:id="93" w:name="page94"/>
    <w:bookmarkEnd w:id="93"/>
    <w:p>
      <w:pPr>
        <w:jc w:val="both"/>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$1,000,000 (or the equivalent thereof in currencies other than Dollars) in the aggregate, or (ii) nonmonetary judgments or orders that, individually or in the aggregate, could reasonably be expected to have a Material Adverse Effect, which judgment(s), in each such case, is/are not stayed on appeal or otherwise being appropriately contested in good faith.</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7.10. An ERISA Event occurs that, when taken together with all other ERISA Events that have occurred on or after the Closing Date, could reasonably be expected to result in a Material Adverse Effect.</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7.11. Nonpayment by any of the Borrower and the Subsidiaries of any material Rate Management Obligation when due or the breach by any of the Borrower or any Subsidiary of any term, provision or condition in any material Rate Management Transaction that results in a termination event or permits the counterparty to otherwise terminate or unwind the Rate Management Transaction or any transaction of the type described in the definition of “Rate Management Transactions,” whether or not any Lender or Affiliate of a Lender is a party thereto.</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7.12. (i) This Agreement, any Guaranty, any Collateral Document, or any other material Loan Document at any time ceases to be in full force and effect in any material respects or is judicially declared null and void, or the validity or enforceability thereof is contested by any of the Borrower and the Subsidiaries, or the subordination provisions of or other subordination agreement with respect to Subordinated Indebtedness is declared unenforceable or is revoked or otherwise becomes invalid other than as the result of any action or inaction by the Administrative Agent or the Lenders.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7.13. Any Change in Control.</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7.14. The occurrence of any “Event of Default,” as defined in any Loan Document (other than this Agreement) or the breach of any of the terms or provisions of any Loan Document (other than this Agreement).</w:t>
      </w:r>
    </w:p>
    <w:p>
      <w:pPr>
        <w:spacing w:after="0" w:line="17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7.15. Any Guaranty fails to remain in full force or effect, any action is taken to discontinue or to assert the invalidity or unenforceability of the Guaranty as to any Guarantor, any Guarantor fails to comply with any of the terms or provisions of the Guaranty, or any Guarantor denies that it has any further liability under the Guaranty or gives notice to such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7.16. Any Collateral Document necessary to create or grant a security interest in the Collateral or to perfect a security interest in the Collateral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Collateral Documents</w:t>
      </w:r>
      <w:r>
        <w:rPr>
          <w:rFonts w:ascii="Arial" w:cs="Arial" w:eastAsia="Arial" w:hAnsi="Arial"/>
          <w:sz w:val="16"/>
          <w:szCs w:val="16"/>
          <w:color w:val="auto"/>
        </w:rPr>
        <w:t>”) for any reason fails to create a valid and perfected first-priority security interest in any Substantial Portion of the Collateral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any material Collateral purported to be covered thereby, except as permitted by the terms of this Agreement or as a result of the failure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or any Lender to take an action permitted under the Loan Documents necessary to create or maintain any such first-priority security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or such Material Collateral Documents, fails to remain in full force or effect, any action is taken to discontinue or to assert the invalidity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unenforceability of any Material Collateral Document, or any of the Borrower or any Domestic Subsidiaries fails to comply in any material way with any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or provisions of any Material Collateral Document to which it is a party (subject to any applicable notice, grace or cure periods therein provided).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74" w:right="259" w:bottom="1440" w:gutter="0" w:footer="0" w:header="0"/>
        </w:sectPr>
      </w:pPr>
    </w:p>
    <w:bookmarkStart w:id="94" w:name="page95"/>
    <w:bookmarkEnd w:id="94"/>
    <w:p>
      <w:pPr>
        <w:jc w:val="center"/>
        <w:ind w:righ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ACCELERATION, WAIVERS, AMENDMENTS AND REMEDIES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Acceleration; Remedies</w:t>
      </w:r>
      <w:r>
        <w:rPr>
          <w:rFonts w:ascii="Arial" w:cs="Arial" w:eastAsia="Arial" w:hAnsi="Arial"/>
          <w:sz w:val="18"/>
          <w:szCs w:val="18"/>
          <w:color w:val="auto"/>
        </w:rPr>
        <w:t>.</w:t>
      </w:r>
    </w:p>
    <w:p>
      <w:pPr>
        <w:spacing w:after="0" w:line="117" w:lineRule="exact"/>
        <w:rPr>
          <w:sz w:val="20"/>
          <w:szCs w:val="20"/>
          <w:color w:val="auto"/>
        </w:rPr>
      </w:pPr>
    </w:p>
    <w:p>
      <w:pPr>
        <w:ind w:firstLine="443"/>
        <w:spacing w:after="0" w:line="285" w:lineRule="auto"/>
        <w:tabs>
          <w:tab w:leader="none" w:pos="683"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any Event of Default described in Section 7.6 or 7.7 occurs, the obligations of the Lenders to make Loans hereunder and the obligation and power of the LC Issuers to issue Facility LCs shall automatically terminate and the Obligations (other than obligations arising under Financial Contracts or Cash Management Services Agreements, which shall be payable in accordance with the terms thereof) shall immediately become due and payable without any election or action on the part of the Administrative Agent, any LC Issuer or any Lender and the Borrower will be and become thereby unconditionally obligated, without any further notice, act or demand, to pay to the Administrative Agent an amount in immediately available funds, which funds shall be held as Cash Collateral, equal to the difference of (x) the Minimum Collateral Amount less (y) the amount of Cash Collateral at such time that is free and clear of all rights and claims of third parties and has not been applied against the Obligations (such difference, the “</w:t>
      </w:r>
      <w:r>
        <w:rPr>
          <w:rFonts w:ascii="Arial" w:cs="Arial" w:eastAsia="Arial" w:hAnsi="Arial"/>
          <w:sz w:val="16"/>
          <w:szCs w:val="16"/>
          <w:u w:val="single" w:color="auto"/>
          <w:color w:val="auto"/>
        </w:rPr>
        <w:t>Collateral Shortfall Amount</w:t>
      </w:r>
      <w:r>
        <w:rPr>
          <w:rFonts w:ascii="Arial" w:cs="Arial" w:eastAsia="Arial" w:hAnsi="Arial"/>
          <w:sz w:val="16"/>
          <w:szCs w:val="16"/>
          <w:color w:val="auto"/>
        </w:rPr>
        <w:t>”). If any other Event of Default occurs, the Required Lenders (or the Administrative Agent with the consent of the Required Lenders) may (a) terminate or suspend the obligations of the Lenders to make Loans hereunder and the obligation and power of the LC Issuers to issue Facility LCs, or declare the Obligations (other than obligations arising under Financial Contracts or Cash Management Services Agreements) to be due and payable, or both, whereupon the Obligations shall become immediately due and payable, without presentment, demand, protest or notice of any kind, all of which the Borrower hereby expressly waives, and (b) upon notice to the Borrower and in addition to the continuing right to demand payment of all amounts payable under this Agreement, make demand on the Borrower to pay, and the Borrower will, forthwith upon such demand and without any further notice or act, pay to the Administrative Agent, the Collateral Shortfall Amount, which shall be deposited as Cash Collateral. With respect to Obligations arising under Financial Contracts or Cash Management Services Agreements, following the occurrence of any Event of Default, the Lender that is the Lender counterparty to such Financial Contract or the provider of such Cash Management Services Agreement may, subject to the terms of the applicable Financial Contract or Cash Management Services Agreement, declare the applicable Obligations thereunder to be due and payable, or both, whereupon such Obligations shall become immediately due and payable, without presentment, demand, protest, or notice of any kind, all of which the Borrower hereby expressly waives.</w:t>
      </w:r>
    </w:p>
    <w:p>
      <w:pPr>
        <w:spacing w:after="0" w:line="62" w:lineRule="exact"/>
        <w:rPr>
          <w:rFonts w:ascii="Arial" w:cs="Arial" w:eastAsia="Arial" w:hAnsi="Arial"/>
          <w:sz w:val="16"/>
          <w:szCs w:val="16"/>
          <w:color w:val="auto"/>
        </w:rPr>
      </w:pPr>
    </w:p>
    <w:p>
      <w:pPr>
        <w:jc w:val="both"/>
        <w:ind w:right="40" w:firstLine="443"/>
        <w:spacing w:after="0" w:line="259" w:lineRule="auto"/>
        <w:tabs>
          <w:tab w:leader="none" w:pos="6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at any time while any Event of Default is continuing, the Administrative Agent or an Initial Lender determines that the Collateral Shortfall Amount at such time is greater than zero, the Administrative Agent may make demand on the Borrower to pay, and the Borrower will, forthwith upon such demand and without any further notice or act, pay to the Administrative Agent, the Collateral Shortfall Amount, which shall be held as Cash Collateral.</w:t>
      </w:r>
    </w:p>
    <w:p>
      <w:pPr>
        <w:spacing w:after="0" w:line="78" w:lineRule="exact"/>
        <w:rPr>
          <w:rFonts w:ascii="Arial" w:cs="Arial" w:eastAsia="Arial" w:hAnsi="Arial"/>
          <w:sz w:val="18"/>
          <w:szCs w:val="18"/>
          <w:color w:val="auto"/>
        </w:rPr>
      </w:pPr>
    </w:p>
    <w:p>
      <w:pPr>
        <w:ind w:right="40" w:firstLine="443"/>
        <w:spacing w:after="0" w:line="264" w:lineRule="auto"/>
        <w:tabs>
          <w:tab w:leader="none" w:pos="6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Administrative Agent may at any time or from time to time after funds are deposited as Cash Collateral apply such funds to the payment of the Obligations and any other amounts as have become due and payable by the Borrower to the Lenders or the LC Issuers under the Loan Documents, as provided in Section 8.2.</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880"/>
          </w:cols>
          <w:pgMar w:left="700" w:top="270" w:right="319" w:bottom="1440" w:gutter="0" w:footer="0" w:header="0"/>
        </w:sectPr>
      </w:pPr>
    </w:p>
    <w:bookmarkStart w:id="95" w:name="page96"/>
    <w:bookmarkEnd w:id="95"/>
    <w:p>
      <w:pPr>
        <w:ind w:left="460" w:right="80" w:firstLine="443"/>
        <w:spacing w:after="0" w:line="255" w:lineRule="auto"/>
        <w:tabs>
          <w:tab w:leader="none" w:pos="1153"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while any Event of Default is continuing, neither the Borrower nor any Person claiming on behalf of or through the Borrower shall have any right to withdraw any Cash Collateral. After all of the Obligations have been indefeasibly paid in full (other than inchoate indemnity obligations and LC Obligations, Rate Management Obligations or obligations related to Cash Management Services Agreements for which any exposure is either cash collateralized or otherwise addressed to the reasonable satisfaction of the Administrative Agent and the Initial Lenders) and the Aggregate Commitment has been terminated, any remaining Cash Collateral shall be returned by the Administrative Agent to the Borrower or paid to whomever may be legally entitled thereto at such time.</w:t>
      </w:r>
    </w:p>
    <w:p>
      <w:pPr>
        <w:spacing w:after="0" w:line="85" w:lineRule="exact"/>
        <w:rPr>
          <w:rFonts w:ascii="Arial" w:cs="Arial" w:eastAsia="Arial" w:hAnsi="Arial"/>
          <w:sz w:val="18"/>
          <w:szCs w:val="18"/>
          <w:color w:val="auto"/>
        </w:rPr>
      </w:pPr>
    </w:p>
    <w:p>
      <w:pPr>
        <w:ind w:left="460" w:firstLine="443"/>
        <w:spacing w:after="0" w:line="302" w:lineRule="auto"/>
        <w:tabs>
          <w:tab w:leader="none" w:pos="1143"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within 90 days after acceleration of the maturity of the Obligations or termination of the obligations of the Lenders to make Loans and the obligation and power of the LC Issuers to issue Facility LCs hereunder as a result of any Event of Default (other than any Event of Default as described in Section 7.6 or 7.7) and before any judgment or decree for the payment of the Obligations due has been obtained or entered, the Required Lenders (in their sole discretion) so direct, the Administrative Agent shall, by notice to the Borrower, rescind and annul such acceleration and/or termination.</w:t>
      </w:r>
    </w:p>
    <w:p>
      <w:pPr>
        <w:spacing w:after="0" w:line="46" w:lineRule="exact"/>
        <w:rPr>
          <w:rFonts w:ascii="Arial" w:cs="Arial" w:eastAsia="Arial" w:hAnsi="Arial"/>
          <w:sz w:val="16"/>
          <w:szCs w:val="16"/>
          <w:color w:val="auto"/>
        </w:rPr>
      </w:pPr>
    </w:p>
    <w:p>
      <w:pPr>
        <w:ind w:left="460" w:right="240" w:firstLine="443"/>
        <w:spacing w:after="0" w:line="308" w:lineRule="auto"/>
        <w:tabs>
          <w:tab w:leader="none" w:pos="1123" w:val="left"/>
        </w:tabs>
        <w:numPr>
          <w:ilvl w:val="0"/>
          <w:numId w:val="74"/>
        </w:numPr>
        <w:rPr>
          <w:rFonts w:ascii="Arial" w:cs="Arial" w:eastAsia="Arial" w:hAnsi="Arial"/>
          <w:sz w:val="17"/>
          <w:szCs w:val="17"/>
          <w:color w:val="auto"/>
        </w:rPr>
      </w:pPr>
      <w:r>
        <w:rPr>
          <w:rFonts w:ascii="Arial" w:cs="Arial" w:eastAsia="Arial" w:hAnsi="Arial"/>
          <w:sz w:val="17"/>
          <w:szCs w:val="17"/>
          <w:color w:val="auto"/>
        </w:rPr>
        <w:t>Upon and during the continuation of any Event of Default, the Administrative Agent may, subject to the direction of the Required Lenders, exercise all rights and remedies under the Loan Documents and enforce all other rights and remedies under applicable law.</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After the exercise of remedies provided for in Section 8.1 (or after the Obligations have automatically become immediately due and payable as set forth in the first sentence of Section 8.1(a)), the Administrative Agent shall apply any amounts it receives on account of the Obligations in the following order:</w:t>
      </w:r>
    </w:p>
    <w:p>
      <w:pPr>
        <w:spacing w:after="0" w:line="73" w:lineRule="exact"/>
        <w:rPr>
          <w:sz w:val="20"/>
          <w:szCs w:val="20"/>
          <w:color w:val="auto"/>
        </w:rPr>
      </w:pPr>
    </w:p>
    <w:p>
      <w:pPr>
        <w:ind w:left="460" w:right="900" w:firstLine="438"/>
        <w:spacing w:after="0" w:line="342" w:lineRule="auto"/>
        <w:rPr>
          <w:sz w:val="20"/>
          <w:szCs w:val="20"/>
          <w:color w:val="auto"/>
        </w:rPr>
      </w:pPr>
      <w:r>
        <w:rPr>
          <w:rFonts w:ascii="Arial" w:cs="Arial" w:eastAsia="Arial" w:hAnsi="Arial"/>
          <w:sz w:val="16"/>
          <w:szCs w:val="16"/>
          <w:color w:val="auto"/>
        </w:rPr>
        <w:t>8.2.1 First, to payment of fees, indemnities, expenses and other amounts (including fees, charges and disbursements of counsel to the Administrative Agent and amounts payable under Article III) payable to the Administrative Agent in its capacity as such;</w:t>
      </w:r>
    </w:p>
    <w:p>
      <w:pPr>
        <w:spacing w:after="0" w:line="16" w:lineRule="exact"/>
        <w:rPr>
          <w:sz w:val="20"/>
          <w:szCs w:val="20"/>
          <w:color w:val="auto"/>
        </w:rPr>
      </w:pPr>
    </w:p>
    <w:p>
      <w:pPr>
        <w:ind w:left="460" w:right="120" w:firstLine="438"/>
        <w:spacing w:after="0" w:line="264" w:lineRule="auto"/>
        <w:rPr>
          <w:sz w:val="20"/>
          <w:szCs w:val="20"/>
          <w:color w:val="auto"/>
        </w:rPr>
      </w:pPr>
      <w:r>
        <w:rPr>
          <w:rFonts w:ascii="Arial" w:cs="Arial" w:eastAsia="Arial" w:hAnsi="Arial"/>
          <w:sz w:val="18"/>
          <w:szCs w:val="18"/>
          <w:color w:val="auto"/>
        </w:rPr>
        <w:t>8.2.2 Second, to payment of fees, indemnities and other reimbursable expenses (other than principal, interest, LC Fees and Revolving Commitment Fees) payable to the Lenders and the LC Issuers (including fees, charges and disbursements of counsel to the respective Lenders and the LC Issuers as required by Section 9.6 and amounts payable under Article III);</w:t>
      </w:r>
    </w:p>
    <w:p>
      <w:pPr>
        <w:spacing w:after="0" w:line="73" w:lineRule="exact"/>
        <w:rPr>
          <w:sz w:val="20"/>
          <w:szCs w:val="20"/>
          <w:color w:val="auto"/>
        </w:rPr>
      </w:pPr>
    </w:p>
    <w:p>
      <w:pPr>
        <w:ind w:left="460" w:right="360" w:firstLine="438"/>
        <w:spacing w:after="0" w:line="342" w:lineRule="auto"/>
        <w:rPr>
          <w:sz w:val="20"/>
          <w:szCs w:val="20"/>
          <w:color w:val="auto"/>
        </w:rPr>
      </w:pPr>
      <w:r>
        <w:rPr>
          <w:rFonts w:ascii="Arial" w:cs="Arial" w:eastAsia="Arial" w:hAnsi="Arial"/>
          <w:sz w:val="16"/>
          <w:szCs w:val="16"/>
          <w:color w:val="auto"/>
        </w:rPr>
        <w:t>8.2.3 Third, to payment of accrued and unpaid LC Fees, LC Fronting Fees, Commitment Fees and interest on the Loans and Reimbursement Obligations, ratably among the Lenders and the LC Issuers in proportion to the respective amounts described in this Section payable to them;</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274" w:right="279" w:bottom="1440" w:gutter="0" w:footer="0" w:header="0"/>
        </w:sectPr>
      </w:pPr>
    </w:p>
    <w:bookmarkStart w:id="96" w:name="page97"/>
    <w:bookmarkEnd w:id="96"/>
    <w:p>
      <w:pPr>
        <w:ind w:left="460" w:right="10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8.2.4 Fourth, ratably, (a) to payment of the unpaid principal of the Loans and Reimbursement Obligations, Rate Management Obligations then due and owing to the Lenders and any of the Lenders’ Affiliates, and obligations with respect to Cash Management Services provided by a Lender and then due and owing to such Lender, ratably among the Lenders in proportion to their Pro Rata Shares and (b) to the Administrative Agent to be held as Cash Collateral;</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8.2.5 Fifth, to payment of all other Obligations ratably among the Lenders; and</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8.2.6 Last, the balance, if any, to the Borrower or as otherwise required by law.</w:t>
      </w:r>
    </w:p>
    <w:p>
      <w:pPr>
        <w:spacing w:after="0" w:line="225"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The Required Lenders (or the Administrative Agent with the consent in writing of the Required Lenders) and the Borrower may enter into agreements supplemental hereto for the purpose of adding or modifying any provisions to the Loan Documents, changing in any manner the rights of the Lenders or the Borrower hereunder or waiving any Event of Default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supplemental agreement shall:</w:t>
      </w:r>
    </w:p>
    <w:p>
      <w:pPr>
        <w:spacing w:after="0" w:line="39" w:lineRule="exact"/>
        <w:rPr>
          <w:sz w:val="20"/>
          <w:szCs w:val="20"/>
          <w:color w:val="auto"/>
        </w:rPr>
      </w:pPr>
    </w:p>
    <w:p>
      <w:pPr>
        <w:ind w:left="460" w:right="120" w:firstLine="443"/>
        <w:spacing w:after="0" w:line="279" w:lineRule="auto"/>
        <w:tabs>
          <w:tab w:leader="none" w:pos="1143" w:val="left"/>
        </w:tabs>
        <w:numPr>
          <w:ilvl w:val="0"/>
          <w:numId w:val="75"/>
        </w:numPr>
        <w:rPr>
          <w:rFonts w:ascii="Arial" w:cs="Arial" w:eastAsia="Arial" w:hAnsi="Arial"/>
          <w:sz w:val="17"/>
          <w:szCs w:val="17"/>
          <w:color w:val="auto"/>
        </w:rPr>
      </w:pPr>
      <w:r>
        <w:rPr>
          <w:rFonts w:ascii="Arial" w:cs="Arial" w:eastAsia="Arial" w:hAnsi="Arial"/>
          <w:sz w:val="17"/>
          <w:szCs w:val="17"/>
          <w:color w:val="auto"/>
        </w:rPr>
        <w:t>without the consent of each Lender directly affected thereby, extend the final maturity of any Loan, extend the expiry date of any Facility LC to a date after the Facility Termination Date, postpone any regularly scheduled payment of principal of any Loan, forgive all or any portion of the principal amount thereof or any Reimbursement Obligation related thereto, reduce the rate or extend the time of payment of interest or fees thereon or Reimbursement Obligations related thereto or increase the amount of the Commitment of any Lender hereunder;</w:t>
      </w:r>
    </w:p>
    <w:p>
      <w:pPr>
        <w:spacing w:after="0" w:line="63" w:lineRule="exact"/>
        <w:rPr>
          <w:rFonts w:ascii="Arial" w:cs="Arial" w:eastAsia="Arial" w:hAnsi="Arial"/>
          <w:sz w:val="17"/>
          <w:szCs w:val="17"/>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without the consent of all of the Lenders, reduce the percentage specified in the definition of Required Lenders;</w:t>
      </w:r>
    </w:p>
    <w:p>
      <w:pPr>
        <w:spacing w:after="0" w:line="117" w:lineRule="exact"/>
        <w:rPr>
          <w:rFonts w:ascii="Arial" w:cs="Arial" w:eastAsia="Arial" w:hAnsi="Arial"/>
          <w:sz w:val="18"/>
          <w:szCs w:val="18"/>
          <w:color w:val="auto"/>
        </w:rPr>
      </w:pPr>
    </w:p>
    <w:p>
      <w:pPr>
        <w:ind w:left="460" w:right="760" w:firstLine="443"/>
        <w:spacing w:after="0" w:line="277" w:lineRule="auto"/>
        <w:tabs>
          <w:tab w:leader="none" w:pos="1143"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without the consent of all of the Lenders, extend the Facility Termination Date, or permit the Borrower to assign its rights under this Agreement;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without the consent of all of the Lenders, amend the definition of “Defaulting Lender”;</w:t>
      </w:r>
    </w:p>
    <w:p>
      <w:pPr>
        <w:spacing w:after="0" w:line="117" w:lineRule="exact"/>
        <w:rPr>
          <w:rFonts w:ascii="Arial" w:cs="Arial" w:eastAsia="Arial" w:hAnsi="Arial"/>
          <w:sz w:val="18"/>
          <w:szCs w:val="18"/>
          <w:color w:val="auto"/>
        </w:rPr>
      </w:pPr>
    </w:p>
    <w:p>
      <w:pPr>
        <w:ind w:left="460" w:right="360" w:firstLine="443"/>
        <w:spacing w:after="0" w:line="277" w:lineRule="auto"/>
        <w:tabs>
          <w:tab w:leader="none" w:pos="1143"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without the consent of all of the Lenders, amend Section 6.4 to permit the Borrower to carry on and conduct its business in a substantially different manner or in a substantially different field of enterprise as such business is conducted on the Closing Date;</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123"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without the consent of all of the Lenders, amend Section 12.3 to add any consents, restrictions or limitations on the right of a Lender to assign its Loans or Commitments;</w:t>
      </w:r>
    </w:p>
    <w:p>
      <w:pPr>
        <w:spacing w:after="0" w:line="62" w:lineRule="exact"/>
        <w:rPr>
          <w:rFonts w:ascii="Arial" w:cs="Arial" w:eastAsia="Arial" w:hAnsi="Arial"/>
          <w:sz w:val="18"/>
          <w:szCs w:val="18"/>
          <w:color w:val="auto"/>
        </w:rPr>
      </w:pPr>
    </w:p>
    <w:p>
      <w:pPr>
        <w:jc w:val="both"/>
        <w:ind w:left="460" w:firstLine="443"/>
        <w:spacing w:after="0" w:line="286" w:lineRule="auto"/>
        <w:tabs>
          <w:tab w:leader="none" w:pos="1153"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without the consent of all of the Lenders, amend Section 8.2, this Section 8.3 or Section 11.2; </w:t>
      </w:r>
      <w:r>
        <w:rPr>
          <w:rFonts w:ascii="Arial" w:cs="Arial" w:eastAsia="Arial" w:hAnsi="Arial"/>
          <w:sz w:val="17"/>
          <w:szCs w:val="17"/>
          <w:i w:val="1"/>
          <w:iCs w:val="1"/>
          <w:color w:val="auto"/>
        </w:rPr>
        <w:t>provided</w:t>
      </w:r>
      <w:r>
        <w:rPr>
          <w:rFonts w:ascii="Arial" w:cs="Arial" w:eastAsia="Arial" w:hAnsi="Arial"/>
          <w:sz w:val="17"/>
          <w:szCs w:val="17"/>
          <w:color w:val="auto"/>
        </w:rPr>
        <w:t>, that the foregoing limitation in respect of Section 11.2 shall not prohibit each Lender directly affected thereby from consenting to the extension of the final maturity date of its Loans or expiry date of its Facility LCs beyond the Facility Termination Date as contemplated by Section 8.3(a) above; or</w:t>
      </w:r>
    </w:p>
    <w:p>
      <w:pPr>
        <w:spacing w:after="0" w:line="57" w:lineRule="exact"/>
        <w:rPr>
          <w:rFonts w:ascii="Arial" w:cs="Arial" w:eastAsia="Arial" w:hAnsi="Arial"/>
          <w:sz w:val="17"/>
          <w:szCs w:val="17"/>
          <w:color w:val="auto"/>
        </w:rPr>
      </w:pPr>
    </w:p>
    <w:p>
      <w:pPr>
        <w:ind w:left="460" w:right="20" w:firstLine="443"/>
        <w:spacing w:after="0" w:line="277" w:lineRule="auto"/>
        <w:tabs>
          <w:tab w:leader="none" w:pos="11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without the consent of all of the Lenders, release any guarantor of any Advance or, except as provided in the Collateral Documents, release all or substantially all of any Collateral.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4" w:right="239" w:bottom="1440" w:gutter="0" w:footer="0" w:header="0"/>
        </w:sectPr>
      </w:pPr>
    </w:p>
    <w:bookmarkStart w:id="97" w:name="page98"/>
    <w:bookmarkEnd w:id="9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amendment of any provision of this Agreement relating to the Administrative Agent shall be effective without the written consent of the Administrative Agent, and no amendment of any provision relating to the LC Issuers shall be effective without the written consent of each LC Issuer. No amendment to any provision of this Agreement relating to the Swing Line Lender or any Swing Line Loans shall be effective without the written consent of the Swing Line Lender.</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Preservation of Rights</w:t>
      </w:r>
      <w:r>
        <w:rPr>
          <w:rFonts w:ascii="Arial" w:cs="Arial" w:eastAsia="Arial" w:hAnsi="Arial"/>
          <w:sz w:val="18"/>
          <w:szCs w:val="18"/>
          <w:color w:val="auto"/>
        </w:rPr>
        <w:t>. No delay or omission of the Lenders, the LC Issuers or the Administrative Agent to exercise any right under the Loan Documents shall impair such right or be construed to be a waiver of any Event of Default or an acquiescence therein, and the making of a Credit Extension notwithstanding the existence of an Event of Default or the inability of the Borrower to satisfy the conditions precedent to such Credit Extension shall not constitute any waiver or acquiescence. Any single or partial exercise of any such right shall not preclude other or further exercise thereof or the exercise of any other right, and no waiver, amendment or other variation of the terms, conditions or provisions of the Loan Documents whatsoever shall be valid unless in writing signed by the Lenders required pursuant to Section 8.3, and then only to the extent specifically set forth in such writing. All remedies in the Loan Documents or afforded by law shall be cumulative and shall be available to the Administrative Agent, the LC Issuers and the Lenders until the Obligations have been paid in full (other than inchoate indemnity obligations and LC Obligations, Rate Management Obligations or obligations related to Cash Management Services Agreements for which any exposure is either cash collateralized or otherwise addressed to the reasonable satisfaction of the Administrative Agent and the Initial Lenders).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Survival of Representations</w:t>
      </w:r>
      <w:r>
        <w:rPr>
          <w:rFonts w:ascii="Arial" w:cs="Arial" w:eastAsia="Arial" w:hAnsi="Arial"/>
          <w:sz w:val="18"/>
          <w:szCs w:val="18"/>
          <w:color w:val="auto"/>
        </w:rPr>
        <w:t>. All representations and warranties of the Borrower and on behalf of itself and the Subsidiaries in this Agreement shall survive the making of the Credit Extensions herein contemplated.</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Governmental Regulation</w:t>
      </w:r>
      <w:r>
        <w:rPr>
          <w:rFonts w:ascii="Arial" w:cs="Arial" w:eastAsia="Arial" w:hAnsi="Arial"/>
          <w:sz w:val="18"/>
          <w:szCs w:val="18"/>
          <w:color w:val="auto"/>
        </w:rPr>
        <w:t>. Anything in this Agreement to the contrary notwithstanding, neither any LC Issuer nor any Lender shall be obligated to extend credit to the Borrower in violation of any limitation or prohibition provided by any applicable statute or regulation.</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the Loan Documents are for convenience of reference only and shall not govern the interpretation of any of the provisions of the Loan Documents.</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Loan Documents embody the entire agreement and understanding among the Borrower, the Administrative Agent, the LC Issuers and the Lenders and supersede all prior agreements and understandings among the Borrower, the Administrative Agent, the LC Issuers and the Lenders relating to the subject matter thereof other than those contained in the U.S. Bank Fee Letter.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98" w:name="page99"/>
    <w:bookmarkEnd w:id="98"/>
    <w:p>
      <w:pPr>
        <w:ind w:right="4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9.5. </w:t>
      </w:r>
      <w:r>
        <w:rPr>
          <w:rFonts w:ascii="Arial" w:cs="Arial" w:eastAsia="Arial" w:hAnsi="Arial"/>
          <w:sz w:val="16"/>
          <w:szCs w:val="16"/>
          <w:u w:val="single" w:color="auto"/>
          <w:color w:val="auto"/>
        </w:rPr>
        <w:t>Several Obligations; Benefits of this Agreement</w:t>
      </w:r>
      <w:r>
        <w:rPr>
          <w:rFonts w:ascii="Arial" w:cs="Arial" w:eastAsia="Arial" w:hAnsi="Arial"/>
          <w:sz w:val="16"/>
          <w:szCs w:val="16"/>
          <w:color w:val="auto"/>
        </w:rPr>
        <w:t xml:space="preserve">. The respective obligations of the Lenders hereunder are several and not joint, and no Lender shall be the partner or agent of any other (except to the extent to which the Administrative Agent is authorized to act as such). The failure of any Lender to perform any of its obligations hereunder shall not relieve any other Lender from any of its obligations hereunder. This Agreement shall not be construed so as to confer any right or benefit upon any Person other than the parties to this Agreement and their respective successors and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parties hereto expressly agree that the Arranger shall enjoy the benefits of the provisions of Sections 9.6, 9.10 and 10.11 to the extent specifically set forth therein and shall have the right to enforce such provisions on its own behalf and in its own name to the same extent as if it were a party to this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Expenses; Indemnification</w:t>
      </w:r>
      <w:r>
        <w:rPr>
          <w:rFonts w:ascii="Arial" w:cs="Arial" w:eastAsia="Arial" w:hAnsi="Arial"/>
          <w:sz w:val="18"/>
          <w:szCs w:val="18"/>
          <w:color w:val="auto"/>
        </w:rPr>
        <w:t>.</w:t>
      </w:r>
    </w:p>
    <w:p>
      <w:pPr>
        <w:spacing w:after="0" w:line="117" w:lineRule="exact"/>
        <w:rPr>
          <w:sz w:val="20"/>
          <w:szCs w:val="20"/>
          <w:color w:val="auto"/>
        </w:rPr>
      </w:pPr>
    </w:p>
    <w:p>
      <w:pPr>
        <w:ind w:left="460" w:firstLine="443"/>
        <w:spacing w:after="0" w:line="267" w:lineRule="auto"/>
        <w:tabs>
          <w:tab w:leader="none" w:pos="1143"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Borrower shall reimburse the Administrative Agent and the Arranger upon demand for all reasonable and documented out-of-pocket expenses paid or incurred by the Administrative Agent or the Arranger, including, without limitation, filing and recording costs and fees, costs of any environmental review (including the costs of internal review of a third party environmental review), charges and disbursements of one primary firm of outside counsel to the Administrative Agent and the Arranger, and/or following the occurrence of an Event of Default the allocated costs of in-house counsel incurred from time to time, in connection with the preparation, negotiation, execution, delivery, syndication, distribution (including, without limitation, via the internet), review, amendment, modification and administration of the Loan Documents and any commitment letters relating thereto (including without limitation expenses of the “DebtX” database and if applicable CUSIP registration expenses). The Borrower also agrees to reimburse the Administrative Agent, the Arranger, the LC Issuers and the Lenders for any reasonable and documented costs, internal charges and out-of-pocket expenses, including charges and disbursements of outside counsel to the Administrative Agent, the Arranger, the LC Issuers and the Lenders and/or the allocated costs of in-house counsel incurred from time to time, paid or incurred by the Administrative Agent, the Arranger, any LC Issuer or any Lender in connection with the collection and enforcement of the Loan Documents. Expenses being reimbursed by the Borrower under this Section include, without limitation, reasonable costs and expenses incurred in connection with the Reports described in the following sentence;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Borrower shall be required to reimburse reasonable and documented costs and expenses incurred in connection with Reports generated only once in a calendar year unless there is a continuing Event of Default, in which case the Borrower shall reimburse costs and expenses for Reports generated during such time. The Borrower acknowledges that from time to time U.S. Bank may prepare and may distribute to the Lenders (but shall have no obligation or duty to prepare or to distribute to the Lenders) certain audit reports (the “</w:t>
      </w:r>
      <w:r>
        <w:rPr>
          <w:rFonts w:ascii="Arial" w:cs="Arial" w:eastAsia="Arial" w:hAnsi="Arial"/>
          <w:sz w:val="17"/>
          <w:szCs w:val="17"/>
          <w:u w:val="single" w:color="auto"/>
          <w:color w:val="auto"/>
        </w:rPr>
        <w:t>Reports</w:t>
      </w:r>
      <w:r>
        <w:rPr>
          <w:rFonts w:ascii="Arial" w:cs="Arial" w:eastAsia="Arial" w:hAnsi="Arial"/>
          <w:sz w:val="17"/>
          <w:szCs w:val="17"/>
          <w:color w:val="auto"/>
        </w:rPr>
        <w:t>”) pertaining to the Borrower’s assets for internal use by U.S. Bank from information furnished to it by or on behalf of the Borrower, after U.S. Bank has exercised its rights of inspection pursuant to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99" w:name="page100"/>
    <w:bookmarkEnd w:id="99"/>
    <w:p>
      <w:pPr>
        <w:ind w:left="460" w:firstLine="443"/>
        <w:spacing w:after="0" w:line="268" w:lineRule="auto"/>
        <w:tabs>
          <w:tab w:leader="none" w:pos="1153" w:val="left"/>
        </w:tabs>
        <w:numPr>
          <w:ilvl w:val="0"/>
          <w:numId w:val="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hereby further agrees to indemnify and hold harmless the Administrative Agent, the Arranger, each LC Issuer, each Lender, their respective affiliates and each of their directors, officers, employees, agents and advisors (each,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all losses, claims, damages, penalties, judgments, liabilities and expenses (including, without limitation, all expenses of litigation, preparation therefor, and settlement thereof whether or not the Administrative Agent, the Arranger, any LC Issuer, any Lender or any affiliate is a party thereto) that any such Indemnitee may pay or incur arising out of or relating to this Agreement, the other Loan Documents, the transactions contemplated hereby or the direct or indirect application or proposed application of the proceeds of any Credit Extension hereunder except to the extent that they are determined in a final non-appealable judgment by a court of competent jurisdiction to have resulted from (1) the gross negligence or willful misconduct of the applicable Indemnitee or (2) a material breach in bad faith by such Indemnitee of its express obligations hereunder. If it is determined that a higher Applicable Margin should have applied to a period than was actually applied due to inaccurate reporting on financial statements or a compliance certificate, then the proper margin shall be applied retroactively and the Borrower shall promptly pay to the Administrative Agent, for the ratable benefit of the Lenders, an amount equal to the difference between the amount of interest and fees that would have accrued using the proper margin and the amount actually paid;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if the Applicable Margin would have resulted in higher pricing for one or more periods and lower pricing for one or more other periods (due to the shifting of income or expenses from one period to another period or any similar reason), then the amount payable by the Borrower shall be based upon the excess, if any, of the amount of interest and fees that should have been paid for all applicable periods over the amount of interest and fees paid for all such periods. The obligations of the Borrower under Section 9.6(a) and (b) shall survive the termination of this Agreement.</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Numbers of Documents</w:t>
      </w:r>
      <w:r>
        <w:rPr>
          <w:rFonts w:ascii="Arial" w:cs="Arial" w:eastAsia="Arial" w:hAnsi="Arial"/>
          <w:sz w:val="18"/>
          <w:szCs w:val="18"/>
          <w:color w:val="auto"/>
        </w:rPr>
        <w:t>. All statements, notices, closing documents and requests hereunder shall be furnished to the Administrative Agent with sufficient counterparts so that the Administrative Agent may furnish one to each of the Lenders.</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Accounting</w:t>
      </w:r>
      <w:r>
        <w:rPr>
          <w:rFonts w:ascii="Arial" w:cs="Arial" w:eastAsia="Arial" w:hAnsi="Arial"/>
          <w:sz w:val="17"/>
          <w:szCs w:val="17"/>
          <w:color w:val="auto"/>
        </w:rPr>
        <w:t xml:space="preserve">. Except as provided to the contrary herein, all accounting terms used herein shall be interpreted and all accounting determinations hereunder shall be made in accordance with GAAP in a manner consistent with that used in preparing the financial statements referred to in Section 5.4. If at any time any change in GAAP would affect in any material respect the computation of any financial ratio or requirement set forth in any Loan Document, and the Borrower, the Administrative Agent or the Required Lenders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i w:val="1"/>
          <w:iCs w:val="1"/>
          <w:color w:val="auto"/>
        </w:rPr>
        <w:t>provided that</w:t>
      </w:r>
      <w:r>
        <w:rPr>
          <w:rFonts w:ascii="Arial" w:cs="Arial" w:eastAsia="Arial" w:hAnsi="Arial"/>
          <w:sz w:val="17"/>
          <w:szCs w:val="17"/>
          <w:color w:val="auto"/>
        </w:rPr>
        <w:t>, until so amended, such ratio or requirement shall continue to be computed in accordance with GAAP prior to such change therein and the Borrower shall provide to the Administrative Agent and the Lenders reconciliation statements showing the difference in such calculation, together with the delivery of monthly, quarterly and annual financial statements required hereunder.</w:t>
      </w:r>
    </w:p>
    <w:p>
      <w:pPr>
        <w:spacing w:after="0" w:line="17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Any provision in any Loan Document that is held to be inoperative, unenforceable or invalid in any jurisdiction shall, as to that jurisdiction,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4" w:right="239" w:bottom="1440" w:gutter="0" w:footer="0" w:header="0"/>
        </w:sectPr>
      </w:pPr>
    </w:p>
    <w:bookmarkStart w:id="100" w:name="page101"/>
    <w:bookmarkEnd w:id="100"/>
    <w:p>
      <w:pPr>
        <w:ind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Nonliability of Lenders</w:t>
      </w:r>
      <w:r>
        <w:rPr>
          <w:rFonts w:ascii="Arial" w:cs="Arial" w:eastAsia="Arial" w:hAnsi="Arial"/>
          <w:sz w:val="16"/>
          <w:szCs w:val="16"/>
          <w:color w:val="auto"/>
        </w:rPr>
        <w:t>. The relationship between the Borrower on the one hand and the Lenders, the LC Issuers and the Administrative Agent on the other hand shall be solely that of borrower and lender. Neither the Administrative Agent, the Arranger, any LC Issuer nor any Lender shall have any fiduciary responsibilities to the Borrower. Neither the Administrative Agent, the Arranger, any LC Issuer nor any Lender undertakes any responsibility to the Borrower to review or inform the Borrower of any matter in connection with any phase of the Borrower’s business or operations. The Borrower agrees that neither the Administrative Agent, the Arranger, any LC Issuer nor any Lender shall have liability to the Borrower (whether sounding in tort, contract or otherwise) for losses suffered by the Borrower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or willful misconduct of the party from which recovery is sought. Neither the Administrative Agent, the Arranger, any LC Issuer nor any Lender shall have any liability with respect to, and the Borrower hereby waives, releases and agrees not to sue for, any special, indirect, consequential or punitive damages suffered by the Borrower in connection with, arising out of or in any way related to the Loan Documents or the transactions contemplated thereby. It is agreed that the Arranger shall, in its capacity as such, have no duties or responsibilities under the Agreement or any other Loan Document. Each Lender acknowledges that it has not relied and will not rely on the Arranger in deciding to enter into the Agreement or any other Loan Document or in taking or not taking any action.</w:t>
      </w:r>
    </w:p>
    <w:p>
      <w:pPr>
        <w:spacing w:after="0" w:line="175"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Administrative Agent and each Lender agrees to hold any confidential information that it receives from the Borrower and the Subsidiaries in connection with this Agreement in confidence, except for disclosure (i) to its Affiliates and to the Administrative Agent and any other Lender and their respective Affiliates and, in each case, their respective employees, directors, and officers, (ii) to its legal counsel, accountants, and other professional advisors, (iii) to regulatory officials, (iv) to any Person as requested pursuant to or as required by law, regulation or legal process, (v) to any Person in connection with any legal proceeding to which it is a party, (vi) to its direct or indirect contractual counterparties in swap agreements or to legal counsel, accountants and other professional advisors to such counterparties provided such parties have been notified of the confidential nature of such information, and</w:t>
      </w:r>
    </w:p>
    <w:p>
      <w:pPr>
        <w:spacing w:after="0" w:line="5" w:lineRule="exact"/>
        <w:rPr>
          <w:sz w:val="20"/>
          <w:szCs w:val="20"/>
          <w:color w:val="auto"/>
        </w:rPr>
      </w:pPr>
    </w:p>
    <w:p>
      <w:pPr>
        <w:ind w:right="60" w:firstLine="8"/>
        <w:spacing w:after="0" w:line="273" w:lineRule="auto"/>
        <w:tabs>
          <w:tab w:leader="none" w:pos="35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a Transferee to the extent permitted by Section 12.4. Without limiting Section 9.4, the Borrower agrees that the terms of this Section shall set forth the entire agreement between the Borrower and the Administrative Agent and each Lender with respect to any confidential information previously or hereafter received by the Administrative Agent or such Lender in connection with this Agreement, and this Section shall supersede any and all prior confidentiality agreements entered into by the Administrative Agent or any Lender with respect to such confidential information.</w:t>
      </w:r>
    </w:p>
    <w:p>
      <w:pPr>
        <w:spacing w:after="0" w:line="17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Nonreliance</w:t>
      </w:r>
      <w:r>
        <w:rPr>
          <w:rFonts w:ascii="Arial" w:cs="Arial" w:eastAsia="Arial" w:hAnsi="Arial"/>
          <w:sz w:val="18"/>
          <w:szCs w:val="18"/>
          <w:color w:val="auto"/>
        </w:rPr>
        <w:t>. Each Lender hereby represents that it is not relying on or looking to any margin stock (as defined in Regulation U of the Board of Governors of the Federal Reserve System) for the repayment of the Credit Extensions provided for 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101" w:name="page102"/>
    <w:bookmarkEnd w:id="101"/>
    <w:p>
      <w:pPr>
        <w:ind w:right="5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9.13. </w:t>
      </w:r>
      <w:r>
        <w:rPr>
          <w:rFonts w:ascii="Arial" w:cs="Arial" w:eastAsia="Arial" w:hAnsi="Arial"/>
          <w:sz w:val="18"/>
          <w:szCs w:val="18"/>
          <w:u w:val="single" w:color="auto"/>
          <w:color w:val="auto"/>
        </w:rPr>
        <w:t>Disclosure</w:t>
      </w:r>
      <w:r>
        <w:rPr>
          <w:rFonts w:ascii="Arial" w:cs="Arial" w:eastAsia="Arial" w:hAnsi="Arial"/>
          <w:sz w:val="18"/>
          <w:szCs w:val="18"/>
          <w:color w:val="auto"/>
        </w:rPr>
        <w:t>. The Borrower and each Lender hereby acknowledge and agree that U.S. Bank and/or its Affiliates from time to time may hold investments in, make other loans to or have other relationships with the Borrower and its Affiliates.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PATRIOT ACT NOTIFICATION</w:t>
      </w:r>
      <w:r>
        <w:rPr>
          <w:rFonts w:ascii="Arial" w:cs="Arial" w:eastAsia="Arial" w:hAnsi="Arial"/>
          <w:sz w:val="18"/>
          <w:szCs w:val="18"/>
          <w:color w:val="auto"/>
        </w:rPr>
        <w:t>. The following notification is provided to the Borrower pursuant to Section 326 of the Patriot Act:</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Each Lender that is subject to the requirements of the Patriot Act hereby notifies the Borrower and each Subsidiary that pursuant to the requirements of the Patriot Act, such Lender is required to obtain, verify and record information that identifies the Borrower or Subsidiary, which information includes the name and address of such Person and other information that will allow such Lender to identify such Person in accordance with the Patriot Act.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ADMINISTRATIVE AGENT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Appointment; Nature of Relationship</w:t>
      </w:r>
      <w:r>
        <w:rPr>
          <w:rFonts w:ascii="Arial" w:cs="Arial" w:eastAsia="Arial" w:hAnsi="Arial"/>
          <w:sz w:val="17"/>
          <w:szCs w:val="17"/>
          <w:color w:val="auto"/>
        </w:rPr>
        <w:t>. Each Lender hereby appoints U.S. Bank as its contractual representative (herein referred to as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hereunder and under each other Loan Document, and each of the Lenders irrevocably authorizes the Administrative Agent to act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contractual representative of such Lender with the rights and duties expressly set forth herein and in the other Loan Documents. The Administrative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agrees to act as such contractual representative upon the express conditions in this Article X. Notwithstanding the use of the defined term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Agent,” it is expressly understood and agreed that the Administrative Agent shall not have any fiduciary responsibilities to any Lender by reason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or any other Loan Document and that the Administrative Agent is merely acting as the contractual representative of the Lenders with only those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duties as are expressly set forth in this Agreement and the other Loan Documents. In its capacity as the Lenders’ contractual representative,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(i) does not hereby assume any fiduciary duties to any of the Lenders, (ii) is a “representative” of the Lenders within the meaning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“secured party” as defined in the New York Uniform Commercial Code and (iii) is acting as an independent contractor, the rights and duties of which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to those expressly set forth in this Agreement and the other Loan Documents. Each of the Lenders hereby agrees to assert no claim against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on any agency theory or any other theory of liability for breach of fiduciary duty, all of which claims each Lender hereby waives.</w:t>
      </w:r>
    </w:p>
    <w:p>
      <w:pPr>
        <w:spacing w:after="0" w:line="22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Powers</w:t>
      </w:r>
      <w:r>
        <w:rPr>
          <w:rFonts w:ascii="Arial" w:cs="Arial" w:eastAsia="Arial" w:hAnsi="Arial"/>
          <w:sz w:val="18"/>
          <w:szCs w:val="18"/>
          <w:color w:val="auto"/>
        </w:rPr>
        <w:t>. The Administrative Agent shall have and may exercise such powers under the Loan Documents as are specifically delegated to the Administrative Agent by the terms thereof, together with such powers as are reasonably incidental thereto. The Administrative Agent shall have no implied duties to the Lenders and no obligation to the Lenders to take any action thereunder except any action specifically provided by the Loan Documents to be taken by the Administrative Agent.</w:t>
      </w:r>
    </w:p>
    <w:p>
      <w:pPr>
        <w:spacing w:after="0" w:line="18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General Immunity</w:t>
      </w:r>
      <w:r>
        <w:rPr>
          <w:rFonts w:ascii="Arial" w:cs="Arial" w:eastAsia="Arial" w:hAnsi="Arial"/>
          <w:sz w:val="18"/>
          <w:szCs w:val="18"/>
          <w:color w:val="auto"/>
        </w:rPr>
        <w:t>. Neither the Administrative Agent nor any of its directors, officers, agents or employees shall be liable to the Borrower, any Subsidiary, or any Lender for any action taken or omitted to be taken hereunder or under any other Loan Document or in connection herewith or therewith except to the extent such action or inaction is determined in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4" w:right="259" w:bottom="1440" w:gutter="0" w:footer="0" w:header="0"/>
        </w:sectPr>
      </w:pPr>
    </w:p>
    <w:bookmarkStart w:id="102" w:name="page103"/>
    <w:bookmarkEnd w:id="102"/>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 non-appealable judgment by a court of competent jurisdiction to have arisen from the gross negligence or willful misconduct of the Administrative Agent or any its directors, officers, agents or employees, as the case may be.</w:t>
      </w:r>
    </w:p>
    <w:p>
      <w:pPr>
        <w:spacing w:after="0" w:line="17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No Responsibility for Loans, Recitals, etc.</w:t>
      </w:r>
      <w:r>
        <w:rPr>
          <w:rFonts w:ascii="Arial" w:cs="Arial" w:eastAsia="Arial" w:hAnsi="Arial"/>
          <w:sz w:val="16"/>
          <w:szCs w:val="16"/>
          <w:color w:val="auto"/>
        </w:rPr>
        <w:t xml:space="preserve"> Neither the Administrative Agent nor any of its directors, officers, agents or employees shall be responsible for or have any duty to ascertain, inquire into or verify (a) any statement, warranty or representation made in connection with any Loan Document or any borrowing hereunder; (b) the performance or observance of any of the covenants or agreements of any obligor under any Loan Document, including, without limitation, any agreement by an obligor to furnish information directly to each Lender; (c) the satisfaction of any condition specified in Article IV, except receipt of items required to be delivered solely to the Administrative Agent; (d) the existence or possible existence of any Default or Event of Default;</w:t>
      </w:r>
    </w:p>
    <w:p>
      <w:pPr>
        <w:spacing w:after="0" w:line="2"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validity, enforceability, effectiveness, sufficiency or genuineness of any Loan Document or any other instrument or writing furnished in connection</w:t>
      </w:r>
    </w:p>
    <w:p>
      <w:pPr>
        <w:spacing w:after="0" w:line="32"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therewith; (f) the value, sufficiency, creation, perfection or priority of any Lien in any collateral security; or (g) the financial condition of the Borrower or any guarantor of any of the Obligations or of any of the Borrower’s or any such guarantor’s respective Subsidiaries.</w:t>
      </w:r>
    </w:p>
    <w:p>
      <w:pPr>
        <w:spacing w:after="0" w:line="18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Action on Instructions of Lenders</w:t>
      </w:r>
      <w:r>
        <w:rPr>
          <w:rFonts w:ascii="Arial" w:cs="Arial" w:eastAsia="Arial" w:hAnsi="Arial"/>
          <w:sz w:val="17"/>
          <w:szCs w:val="17"/>
          <w:color w:val="auto"/>
        </w:rPr>
        <w:t>. The Administrative Agent shall in all cases be fully protected in acting, or in refraining from acting, hereunder and under any other Loan Document in accordance with written instructions signed by the Required Lenders, and such instructions and any action taken or failure to act pursuant thereto shall be binding on all of the Lenders. The Lenders hereby acknowledge that the Administrative Agent shall be under no duty to take any discretionary action permitted to be taken by it pursuant to the provisions of this Agreement or any other Loan Document unless the Required Lenders request in writing that it take such action. The Administrative Agent shall be fully justified in failing or refusing to take any action hereunder and under any other Loan Document unless it is first indemnified to its satisfaction by the Lenders pro rata against any and all liability, cost and expense that it may incur by reason of taking or continuing to take any such action.</w:t>
      </w:r>
    </w:p>
    <w:p>
      <w:pPr>
        <w:spacing w:after="0" w:line="17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Employment of Administrative Agents and Counsel</w:t>
      </w:r>
      <w:r>
        <w:rPr>
          <w:rFonts w:ascii="Arial" w:cs="Arial" w:eastAsia="Arial" w:hAnsi="Arial"/>
          <w:sz w:val="16"/>
          <w:szCs w:val="16"/>
          <w:color w:val="auto"/>
        </w:rPr>
        <w:t>. The Administrative Agent may execute any of its duties as Administrative Agent hereunder and under any other Loan Document by or through employees, agents and attorneys-in-fact and shall not be answerable to the Lenders, except as to money or securities received by it or its authorized agents, for the default or misconduct of any employees, agents or attorneys-in-fact selected by it with reasonable care. The Administrative Agent shall be entitled to advice of counsel concerning the contractual arrangement between the Administrative Agent and the Lenders and all matters pertaining to the Administrative Agent’s duties hereunder and under any other Loan Document.</w:t>
      </w:r>
    </w:p>
    <w:p>
      <w:pPr>
        <w:spacing w:after="0" w:line="15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Reliance on Documents; Counsel</w:t>
      </w:r>
      <w:r>
        <w:rPr>
          <w:rFonts w:ascii="Arial" w:cs="Arial" w:eastAsia="Arial" w:hAnsi="Arial"/>
          <w:sz w:val="16"/>
          <w:szCs w:val="16"/>
          <w:color w:val="auto"/>
        </w:rPr>
        <w:t>. The Administrative Agent shall be entitled to rely upon any Note, notice, consent, certificate, affidavit, letter, telegram, facsimile, telex, electronic mail message, statement, paper or document it believes to be genuine and correct and to have been signed or sent by the proper person or persons, and, in respect to legal matters, upon the opinion of counsel selected by the Administrative Agent, which counsel may be employees of the Administrative Agent. For purposes of determining compliance with the conditions specified in Sections 4.1 and 4.2, each Lender that has signed this Agreement shall be deemed to have consented to, approved or accepted or to be satisfied with each document or other matter required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103" w:name="page104"/>
    <w:bookmarkEnd w:id="103"/>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thereunder to be consented to or approved by or acceptable or satisfactory to a Lender unless the Administrative Agent has received notice from such Lender prior to the applicable date specifying its objection thereto.</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Administrative Agent’s Reimbursement and Indemnification</w:t>
      </w:r>
      <w:r>
        <w:rPr>
          <w:rFonts w:ascii="Arial" w:cs="Arial" w:eastAsia="Arial" w:hAnsi="Arial"/>
          <w:sz w:val="16"/>
          <w:szCs w:val="16"/>
          <w:color w:val="auto"/>
        </w:rPr>
        <w:t xml:space="preserve">. The Lenders agree to reimburse and indemnify the Administrative Agent ratably in proportion to their respective Commitments (or, if the Commitments have been terminated, in proportion to their Commitments immediately prior to such termination), determined without excluding the Defaulting Lenders, (i) for any amounts not reimbursed by the Borrower for which the Administrative Agent is entitled to reimbursement by the Borrower under the Loan Documents, (ii) for any other expenses incurred by the Administrative Agent on behalf of the Lenders, in connection with the preparation, execution, delivery, administration and enforcement of the Loan Documents (including, without limitation, for any expenses incurred by the Administrative Agent in connection with any dispute between the Administrative Agent and any Lender or between two or more of the Lenders) and (iii) for any liabilities, obligations, losses, damages, penalties, actions, judgments, suits, costs, expenses or disbursements of any kind and nature whatsoever that may be imposed on, incurred by or asserted against the Administrative Agent in any way relating to or arising out of the Loan Documents or any other document delivered in connection therewith or the transactions contemplated thereby (including, without limitation, for any such amounts incurred by or asserted against the Administrative Agent in connection with any dispute between the Administrative Agent and any Lender or between two or more of the Lenders), or the enforcement of any of the terms of the Loan Documents or of any such other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Lender shall be liable for any of the foregoing to the extent any of the foregoing is found in a final non-appealable judgment by a court of competent jurisdiction to have resulted from the gross negligence or willful misconduct of the Administrative Agent and (ii) any indemnification required pursuant to Section 3.5(h) shall, notwithstanding the provisions of this Section, be paid by the relevant Lender in accordance with the provisions thereof. The obligations of the Lenders under this Section shall survive payment of the Obligations and termination of this Agreement.</w:t>
      </w:r>
    </w:p>
    <w:p>
      <w:pPr>
        <w:spacing w:after="0" w:line="1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Notice of Event of Default</w:t>
      </w:r>
      <w:r>
        <w:rPr>
          <w:rFonts w:ascii="Arial" w:cs="Arial" w:eastAsia="Arial" w:hAnsi="Arial"/>
          <w:sz w:val="17"/>
          <w:szCs w:val="17"/>
          <w:color w:val="auto"/>
        </w:rPr>
        <w:t>. The Administrative Agent shall not be deemed to have knowledge or notice of the occurrence of any Default or Event of Default hereunder unless the Administrative Agent has 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prompt notice thereof to the Lenders; provided that, except as expressly set forth in the Loan Documents, the Administrative Agent shall have no duty to disclose, and shall not be liable for the failure to disclose, any information relating to any of the Borrower or any of the Subsidiaries that is communicated to or obtained by the bank serving as Administrative Agent or any of its Affiliates in any capacity.</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Rights as a Lender</w:t>
      </w:r>
      <w:r>
        <w:rPr>
          <w:rFonts w:ascii="Arial" w:cs="Arial" w:eastAsia="Arial" w:hAnsi="Arial"/>
          <w:sz w:val="18"/>
          <w:szCs w:val="18"/>
          <w:color w:val="auto"/>
        </w:rPr>
        <w:t>. In the event the Administrative Agent is a Lender, the Administrative Agent shall have the same rights and powers hereunder and under any other Loan Document with respect to its Commitment and its Loans as any Lender and may exercise the same as though it were not the Administrative Agent, and the term “Lender” or “Lenders” shall, at any time when the Administrative Agent is a Lender, unless the context otherwise requires, include the Administrative Agent in its individual capacity. The Administrative Agent and 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74" w:right="259" w:bottom="1440" w:gutter="0" w:footer="0" w:header="0"/>
        </w:sectPr>
      </w:pPr>
    </w:p>
    <w:bookmarkStart w:id="104" w:name="page105"/>
    <w:bookmarkEnd w:id="104"/>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Affiliates may accept deposits from, lend money to and generally engage in any kind of trust, debt, equity or other transaction, in addition to those contemplated by this Agreement or any other Loan Document, with any of the Borrower or any of the Subsidiaries in which the Borrower or such Subsidiary is not restricted hereby from engaging with any other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Lender Credit Decision, Legal Representation</w:t>
      </w:r>
      <w:r>
        <w:rPr>
          <w:rFonts w:ascii="Arial" w:cs="Arial" w:eastAsia="Arial" w:hAnsi="Arial"/>
          <w:sz w:val="18"/>
          <w:szCs w:val="18"/>
          <w:color w:val="auto"/>
        </w:rPr>
        <w:t>.</w:t>
      </w:r>
    </w:p>
    <w:p>
      <w:pPr>
        <w:spacing w:after="0" w:line="117" w:lineRule="exact"/>
        <w:rPr>
          <w:sz w:val="20"/>
          <w:szCs w:val="20"/>
          <w:color w:val="auto"/>
        </w:rPr>
      </w:pPr>
    </w:p>
    <w:p>
      <w:pPr>
        <w:ind w:left="460" w:right="20" w:firstLine="443"/>
        <w:spacing w:after="0" w:line="270" w:lineRule="auto"/>
        <w:tabs>
          <w:tab w:leader="none" w:pos="1143"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Lender acknowledges that it has, independently and without reliance upon the Administrative Agent, the Arranger, or any other Lender and based on the financial statements prepared by the Borrower and such other documents and information as it has deemed appropriate, made its own credit analysis and decision to enter into this Agreement and the other Loan Documents. Each Lender also acknowledges that it will, independently and without reliance upon the Administrative Agent, the Arranger or any other Lender and based on such documents and information as it deems appropriate at the time, continue to make its own credit decisions in taking or not taking action under this Agreement and the other Loan Documents. Except for any notice, report, document or other information expressly required to be furnished to the Lenders by the Administrative Agent or the Arranger hereunder, neither the Administrative Agent nor the Arranger shall have any duty or responsibility (either initially or on a continuing basis) to provide any Lender with any notice, report, document, credit information or other information concerning the affairs, financial condition or business of the Borrower or any of its Affiliates that may come into the possession of the Administrative Agent or the Arranger (whether or not in its capacity as Administrative Agent or the Arranger) or any of its Affiliates.</w:t>
      </w:r>
    </w:p>
    <w:p>
      <w:pPr>
        <w:spacing w:after="0" w:line="69" w:lineRule="exact"/>
        <w:rPr>
          <w:rFonts w:ascii="Arial" w:cs="Arial" w:eastAsia="Arial" w:hAnsi="Arial"/>
          <w:sz w:val="17"/>
          <w:szCs w:val="17"/>
          <w:color w:val="auto"/>
        </w:rPr>
      </w:pPr>
    </w:p>
    <w:p>
      <w:pPr>
        <w:ind w:left="460" w:right="40" w:firstLine="443"/>
        <w:spacing w:after="0" w:line="259" w:lineRule="auto"/>
        <w:tabs>
          <w:tab w:leader="none" w:pos="11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Lender further acknowledges that it has had the opportunity to be represented by legal counsel in connection with its execution of this Agreement and the other Loan Documents, that it has made its own evaluation of all applicable laws and regulations relating to the transactions contemplated hereby and that the counsel to the Administrative Agent represents only the Administrative Agent and not the Lenders in connection with this Agreement and the transactions contemplated hereby.</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 The Administrative Agent may resign at any time by giving written notice thereof to the Lenders and the Borrower, such resignation to be effective upon the appointment of a successor Administrative Agent or, if no successor Administrative Agent has been appointed, forty-five days after the retiring Administrative Agent gives notice of its intention to resign. Upon any such resignation or removal, the Required Lenders shall have the right to appoint, on behalf of the Borrower and the Lenders, a successor Administrative Agent. If no successor Administrative Agent is so appointed by the Required Lenders within thirty days after the resigning Administrative Agent’s giving notice of its intention to resign, then the resigning Administrative Agent may appoint, on behalf of the Borrower and the Lenders, a successor Administrative Agent. Notwithstanding the previous sentence, the Administrative Agent may at any time without the consent of the Borrower or any Lender appoint any of its Affiliates that is a commercial bank as a successor Administrative Agent hereunder. If the Administrative Agent has resigned or been removed and no successor Administrative Agent has been appointed, the Lenders may perform all the duties of the Administrative Agent hereunder and the Borrower shall make all payments in respect of the Obligations to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74" w:right="259" w:bottom="1440" w:gutter="0" w:footer="0" w:header="0"/>
        </w:sectPr>
      </w:pPr>
    </w:p>
    <w:bookmarkStart w:id="105" w:name="page106"/>
    <w:bookmarkEnd w:id="10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Lender and for all other purposes shall deal directly with the Lenders. No successor Administrative Agent shall be deemed to be appointed hereunder until such successor Administrative Agent has accepted the appointment. Any such successor Administrative Agent shall be a commercial bank having capital and retained earnings of at least $100,000,000. Upon the acceptance of any appointment as Administrative Agent hereunder by a successor Administrative Agent, such successor Administrative Agent shall thereupon succeed to and become vested with all the rights, powers, privileges and duties of the resigning or removed Administrative Agent. Upon the effectiveness of the resignation of the Administrative Agent, the resigning Administrative Agent shall be discharged from its duties and obligations hereunder and under the Loan Documents. After the effectiveness of the resignation of an Administrative Agent, the provisions of this Article X shall continue in effect for the benefit of such Administrative Agent in respect of any actions taken or omitted to be taken by it while it was acting as the Administrative Agent hereunder and under the other Loan Documents.</w:t>
      </w:r>
    </w:p>
    <w:p>
      <w:pPr>
        <w:spacing w:after="0" w:line="17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Administrative Agent and Arranger Fees</w:t>
      </w:r>
      <w:r>
        <w:rPr>
          <w:rFonts w:ascii="Arial" w:cs="Arial" w:eastAsia="Arial" w:hAnsi="Arial"/>
          <w:sz w:val="18"/>
          <w:szCs w:val="18"/>
          <w:color w:val="auto"/>
        </w:rPr>
        <w:t>. The Borrower agrees to pay to the Administrative Agent and the Arranger, for their respective accounts, the fees agreed to by the Borrower, the Administrative Agent and the Arranger pursuant to the U.S. Bank Fee Letter, or as otherwise agreed from time to time.</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Delegation to Affiliates</w:t>
      </w:r>
      <w:r>
        <w:rPr>
          <w:rFonts w:ascii="Arial" w:cs="Arial" w:eastAsia="Arial" w:hAnsi="Arial"/>
          <w:sz w:val="18"/>
          <w:szCs w:val="18"/>
          <w:color w:val="auto"/>
        </w:rPr>
        <w:t>. The Borrower and the Lenders agree that the Administrative Agent may delegate any of its duties under this Agreement to any of its Affiliates. Any such Affiliate (and such Affiliate’s directors, officers, agents and employees) that performs duties in connection with this Agreement shall be entitled to the same benefits of the indemnification, waiver and other protective provisions to which the Administrative Agent is entitled under Articles IX and X.</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Execution of Collateral Documents</w:t>
      </w:r>
      <w:r>
        <w:rPr>
          <w:rFonts w:ascii="Arial" w:cs="Arial" w:eastAsia="Arial" w:hAnsi="Arial"/>
          <w:sz w:val="18"/>
          <w:szCs w:val="18"/>
          <w:color w:val="auto"/>
        </w:rPr>
        <w:t>. The Lenders hereby empower and authorize the Administrative Agent to execute and deliver to the Borrower on its behalf the Collateral Documents, all related financing statements and any financing statements, agreements, documents or instruments that are necessary or appropriate to effect the purposes of the Collateral Documents.</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10.16. </w:t>
      </w:r>
      <w:r>
        <w:rPr>
          <w:rFonts w:ascii="Arial" w:cs="Arial" w:eastAsia="Arial" w:hAnsi="Arial"/>
          <w:sz w:val="17"/>
          <w:szCs w:val="17"/>
          <w:u w:val="single" w:color="auto"/>
          <w:color w:val="auto"/>
        </w:rPr>
        <w:t>Collateral and Guarantor Releases</w:t>
      </w:r>
      <w:r>
        <w:rPr>
          <w:rFonts w:ascii="Arial" w:cs="Arial" w:eastAsia="Arial" w:hAnsi="Arial"/>
          <w:sz w:val="17"/>
          <w:szCs w:val="17"/>
          <w:color w:val="auto"/>
        </w:rPr>
        <w:t>. The Lenders hereby empower and authorize the Administrative Agent to execute and deliver to the Borrower on their behalf any agreements, documents or instruments as shall be necessary or appropriate to effect any releases of Collateral which shall be permitted by the terms hereof or of any other Loan Document (including, without limitation, in connection with any asset sale permitted hereunder or in connection with any release of a Guarantor made in accordance with the Loan Documents) or which shall otherwise have been approved by the Required Lenders (or, if required by the terms of Section 8.3, all of the Lenders) in writing. In addition, the Lenders authorize the Administrative Agent to release any Guarantor from its obligations under the Loan Documents if such Person is no longer required to be a Guarantor hereunder or if such Person is sold, transferred or assigned in accordance with and to the extent permitted by the terms of this Agreement. Upon the request of the Administrative Agent at any time, the Required Lenders will confirm in writing the Administrative Agent’s authority to release or subordinate its interest in particular types or items of Collateral, or to release any Guarantor from its obligations under the Loan Documents pursuant to the foregoing. In each case as specified hereto, the Administrative Agent (and each Lender hereby authorizes the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74" w:right="259" w:bottom="1440" w:gutter="0" w:footer="0" w:header="0"/>
        </w:sectPr>
      </w:pPr>
    </w:p>
    <w:bookmarkStart w:id="106" w:name="page107"/>
    <w:bookmarkEnd w:id="106"/>
    <w:p>
      <w:pPr>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to), at the Borrower’s expense, execute and deliver to Borrower or applicable Guarantor such documents as Borrower or such Guarantor may reasonably request to evidence the release of such item of Collateral from the security interest granted under the Loan Documents or to subordinate its interest therein, or to release a Guarantor from its obligations under the Guaranty, in each case in accordance with the terms of the Loan Documents.</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SETOFF; RATABLE PAYMENTS</w:t>
      </w:r>
    </w:p>
    <w:p>
      <w:pPr>
        <w:spacing w:after="0" w:line="21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Setoff</w:t>
      </w:r>
      <w:r>
        <w:rPr>
          <w:rFonts w:ascii="Arial" w:cs="Arial" w:eastAsia="Arial" w:hAnsi="Arial"/>
          <w:sz w:val="17"/>
          <w:szCs w:val="17"/>
          <w:color w:val="auto"/>
        </w:rPr>
        <w:t>. The Borrower hereby grants each Lender a security interest in all deposits, credits and deposit accounts (including all account balances, whether provisional or final and whether or not collected or available) other than Excluded Payroll Accounts of the Borrower with such Lender or any Affiliate of such Lender (the “</w:t>
      </w:r>
      <w:r>
        <w:rPr>
          <w:rFonts w:ascii="Arial" w:cs="Arial" w:eastAsia="Arial" w:hAnsi="Arial"/>
          <w:sz w:val="17"/>
          <w:szCs w:val="17"/>
          <w:u w:val="single" w:color="auto"/>
          <w:color w:val="auto"/>
        </w:rPr>
        <w:t>Deposits</w:t>
      </w:r>
      <w:r>
        <w:rPr>
          <w:rFonts w:ascii="Arial" w:cs="Arial" w:eastAsia="Arial" w:hAnsi="Arial"/>
          <w:sz w:val="17"/>
          <w:szCs w:val="17"/>
          <w:color w:val="auto"/>
        </w:rPr>
        <w:t>”). In addition to, and without limitation of, any rights of the Lenders under applicable law, if the Borrower becomes insolvent, however evidenced or defined, or any Event of Default occurs, the Borrower authorizes each Lender to offset and apply all such Deposits toward the payment of the Obligations owing to such Lender, whether or not the Obligations, or any part thereof, are then due and regardless of the existence or adequacy of any collateral, guaranty or any other security, right or remedy available to any Lender.</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Ratable Payments</w:t>
      </w:r>
      <w:r>
        <w:rPr>
          <w:rFonts w:ascii="Arial" w:cs="Arial" w:eastAsia="Arial" w:hAnsi="Arial"/>
          <w:sz w:val="18"/>
          <w:szCs w:val="18"/>
          <w:color w:val="auto"/>
        </w:rPr>
        <w:t>. If any Lender, whether by setoff or otherwise, has payment made to it upon its Outstanding Credit Exposure (other than payments received pursuant to Section 3.1, 3.2, 3.4 or 3.5) in a greater proportion than that received by any other Lender, such Lender agrees, promptly upon demand, to purchase a portion of the Aggregate Outstanding Credit Exposure held by the other Lenders so that after such purchase each Lender will hold its Pro Rata Share of the Aggregate Outstanding Credit Exposure. If any Lender, whether in connection with setoff or amounts that might be subject to setoff or otherwise, receives collateral or other protection for its Obligations or such amounts that may be subject to setoff, such Lender agrees, promptly upon demand, to take such action necessary such that all Lenders share in the benefits of such collateral ratably in proportion to their respective Pro Rata Shares of the Aggregate Outstanding Credit Exposure. In case any such payment is disturbed by legal process, or otherwise, the Lenders agree to make appropriate further adjustments.</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BENEFIT OF AGREEMENT; ASSIGNMENTS; PARTICIPATIONS</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terms and provisions of the Loan Documents shall be binding upon and inure to the benefit of the Borrower and the Lenders and their respective successors and assigns permitted hereby, except that (i) the Borrower shall not have the right to assign its rights or obligations under the Loan Documents without the prior written consent of each Lender, (ii) any assignment by any Lender must be made in compliance with</w:t>
      </w:r>
    </w:p>
    <w:p>
      <w:pPr>
        <w:ind w:right="240"/>
        <w:spacing w:after="0" w:line="273" w:lineRule="auto"/>
        <w:rPr>
          <w:sz w:val="20"/>
          <w:szCs w:val="20"/>
          <w:color w:val="auto"/>
        </w:rPr>
      </w:pPr>
      <w:r>
        <w:rPr>
          <w:rFonts w:ascii="Arial" w:cs="Arial" w:eastAsia="Arial" w:hAnsi="Arial"/>
          <w:sz w:val="17"/>
          <w:szCs w:val="17"/>
          <w:color w:val="auto"/>
        </w:rPr>
        <w:t>Section 12.3, and (iii) any transfer by participation must be made in compliance with Section 12.2. Any attempted assignment or transfer by any party not made in compliance with this Section shall be null and void, unless such attempted assignment or transfer is treated as a participation in accordance with Section 12.3.3. The parties to this Agreement acknowledge that clause (ii) of this Section relates only to absolute assignments and this Section does not prohibit assignments creating security interests, including, without limitation, (x) any pledge or assignment by any</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274" w:right="339" w:bottom="1440" w:gutter="0" w:footer="0" w:header="0"/>
        </w:sectPr>
      </w:pPr>
    </w:p>
    <w:bookmarkStart w:id="107" w:name="page108"/>
    <w:bookmarkEnd w:id="10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 of all or any portion of its rights under this Agreement and any Note to a Federal Reserve Bank or (y) in the case of a Lender that is a Fund, any pledge or assignment of all or any portion of its rights under this Agreement and any Note to its trustee in support of its obligations to its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pledge or assignment creating a security interest shall release the transferor Lender from its obligations hereunder unless and until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parties thereto have complied with the provisions of Section 12.3. The Administrative Agent may treat the Person that made any Loan or that holds any Note as the owner thereof for all purposes hereof unless and until such Person complies with Section 12.3;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Administrative Agent may in its discretion (but shall not be required to) follow instructions from the Person that made any Loan or that holds any Note to direct payments relating to such Loan or Note to another Person. Any assignee of the rights to any Loan or any Note agrees by acceptance of such assignment to be bound by all the terms and provisions of the Loan Documents. Any request, authority or consent of any Person that at the time of making such request or giving such authority or consent is the owner of the rights to any Loan (whether or not a Note has been issued in evidence thereof) shall be conclusive and binding on any subsequent holder or assignee of the rights to such Loan.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Participations</w:t>
      </w:r>
      <w:r>
        <w:rPr>
          <w:rFonts w:ascii="Arial" w:cs="Arial" w:eastAsia="Arial" w:hAnsi="Arial"/>
          <w:sz w:val="18"/>
          <w:szCs w:val="18"/>
          <w:color w:val="auto"/>
        </w:rPr>
        <w:t>.</w:t>
      </w:r>
    </w:p>
    <w:p>
      <w:pPr>
        <w:spacing w:after="0" w:line="117" w:lineRule="exact"/>
        <w:rPr>
          <w:sz w:val="20"/>
          <w:szCs w:val="20"/>
          <w:color w:val="auto"/>
        </w:rPr>
      </w:pPr>
    </w:p>
    <w:p>
      <w:pPr>
        <w:ind w:left="460" w:right="60" w:firstLine="438"/>
        <w:spacing w:after="0" w:line="271" w:lineRule="auto"/>
        <w:rPr>
          <w:sz w:val="20"/>
          <w:szCs w:val="20"/>
          <w:color w:val="auto"/>
        </w:rPr>
      </w:pPr>
      <w:r>
        <w:rPr>
          <w:rFonts w:ascii="Arial" w:cs="Arial" w:eastAsia="Arial" w:hAnsi="Arial"/>
          <w:sz w:val="17"/>
          <w:szCs w:val="17"/>
          <w:color w:val="auto"/>
        </w:rPr>
        <w:t xml:space="preserve">12.2.1 </w:t>
      </w:r>
      <w:r>
        <w:rPr>
          <w:rFonts w:ascii="Arial" w:cs="Arial" w:eastAsia="Arial" w:hAnsi="Arial"/>
          <w:sz w:val="17"/>
          <w:szCs w:val="17"/>
          <w:u w:val="single" w:color="auto"/>
          <w:color w:val="auto"/>
        </w:rPr>
        <w:t>Permitted Participants; Effect</w:t>
      </w:r>
      <w:r>
        <w:rPr>
          <w:rFonts w:ascii="Arial" w:cs="Arial" w:eastAsia="Arial" w:hAnsi="Arial"/>
          <w:sz w:val="17"/>
          <w:szCs w:val="17"/>
          <w:color w:val="auto"/>
        </w:rPr>
        <w:t>. Any Lender may at any time sell to one or more banks or other entities (“</w:t>
      </w:r>
      <w:r>
        <w:rPr>
          <w:rFonts w:ascii="Arial" w:cs="Arial" w:eastAsia="Arial" w:hAnsi="Arial"/>
          <w:sz w:val="17"/>
          <w:szCs w:val="17"/>
          <w:u w:val="single" w:color="auto"/>
          <w:color w:val="auto"/>
        </w:rPr>
        <w:t>Participants</w:t>
      </w:r>
      <w:r>
        <w:rPr>
          <w:rFonts w:ascii="Arial" w:cs="Arial" w:eastAsia="Arial" w:hAnsi="Arial"/>
          <w:sz w:val="17"/>
          <w:szCs w:val="17"/>
          <w:color w:val="auto"/>
        </w:rPr>
        <w:t>”) participating interests in any Outstanding Credit Exposure owing to such Lender, any Note held by such Lender, any Commitment of such Lender or any other interest of such Lender under the Loan Documents. In the event of any such sale by a Lender of participating interests to a Participant, such Lender’s obligations under the Loan Documents shall remain unchanged, such Lender shall remain solely responsible to the other parties hereto for the performance of such obligations, such Lender shall remain the owner of its Outstanding Credit Exposure and the holder of any Note issued to it in evidence thereof for all purposes under the Loan Documents, all amounts payable by the Borrower under this Agreement shall be determined as if such Lender had not sold such participating interests and the Borrower and the Administrative Agent shall continue to deal solely and directly with such Lender in connection with such Lender’s rights and obligations under the Loan Documents.</w:t>
      </w:r>
    </w:p>
    <w:p>
      <w:pPr>
        <w:spacing w:after="0" w:line="71"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 xml:space="preserve">12.2.2 </w:t>
      </w:r>
      <w:r>
        <w:rPr>
          <w:rFonts w:ascii="Arial" w:cs="Arial" w:eastAsia="Arial" w:hAnsi="Arial"/>
          <w:sz w:val="18"/>
          <w:szCs w:val="18"/>
          <w:u w:val="single" w:color="auto"/>
          <w:color w:val="auto"/>
        </w:rPr>
        <w:t>Voting Rights</w:t>
      </w:r>
      <w:r>
        <w:rPr>
          <w:rFonts w:ascii="Arial" w:cs="Arial" w:eastAsia="Arial" w:hAnsi="Arial"/>
          <w:sz w:val="18"/>
          <w:szCs w:val="18"/>
          <w:color w:val="auto"/>
        </w:rPr>
        <w:t>. Each Lender shall retain the sole right to approve, without the consent of any Participant, any amendment, modification or waiver of any provision of the Loan Documents other than any amendment, modification or waiver with respect to any Outstanding Credit Exposure or Commitment in which such Participant has an interest that would require consent of all of the Lenders pursuant to the terms of Section 8.3 or of any other Loan Document.</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12.2.3 </w:t>
      </w:r>
      <w:r>
        <w:rPr>
          <w:rFonts w:ascii="Arial" w:cs="Arial" w:eastAsia="Arial" w:hAnsi="Arial"/>
          <w:sz w:val="17"/>
          <w:szCs w:val="17"/>
          <w:u w:val="single" w:color="auto"/>
          <w:color w:val="auto"/>
        </w:rPr>
        <w:t>Benefit of Certain Provisions</w:t>
      </w:r>
      <w:r>
        <w:rPr>
          <w:rFonts w:ascii="Arial" w:cs="Arial" w:eastAsia="Arial" w:hAnsi="Arial"/>
          <w:sz w:val="17"/>
          <w:szCs w:val="17"/>
          <w:color w:val="auto"/>
        </w:rPr>
        <w:t>. The Borrower agrees that each Participant shall be deemed to have the right of setoff provided in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11.1 in respect of its participating interest in amounts owing under the Loan Documents to the same extent as if the amount of its participating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interest were owing directly to it as a Lender under the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Lender shall retain the right of setoff provided in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11.1 with respect to the amount of participating interests sold to each Participant. The Lenders agree to share with each Participant, and each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 by exercising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108" w:name="page109"/>
    <w:bookmarkEnd w:id="10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right of setoff provided in Section 11.1, agrees to share with each Lender, any amount received pursuant to the exercise of its right of setoff, such amounts to be shared in accordance with Section 11.2 as if each Participant were a Lender. The Borrower further agrees that each Participant shall be entitled to the benefits of Sections 3.1, 3.2, 3.4, 3.5, 9.6 and 9.10 to the same extent as if it were a Lender and had acquired its interest by assignment pursuant to Section 12.3,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 Participant shall not be entitled to receive any greater payment under Section 3.1, 3.2 or 3.5 than the Lender who sold the participating interest to such Participant would have received had it retained such interest for its own account, unless the sale of such interest to such Participant is made with the prior written consent of the Borrower, and (ii) any Participant not incorporated under the laws of the United States of America or any State thereof agrees to comply with the provisions of Section 3.5 to the same extent as if it were a Lender.</w:t>
      </w:r>
    </w:p>
    <w:p>
      <w:pPr>
        <w:spacing w:after="0" w:line="59" w:lineRule="exact"/>
        <w:rPr>
          <w:sz w:val="20"/>
          <w:szCs w:val="20"/>
          <w:color w:val="auto"/>
        </w:rPr>
      </w:pPr>
    </w:p>
    <w:p>
      <w:pPr>
        <w:ind w:firstLine="438"/>
        <w:spacing w:after="0" w:line="270" w:lineRule="auto"/>
        <w:rPr>
          <w:sz w:val="20"/>
          <w:szCs w:val="20"/>
          <w:color w:val="auto"/>
        </w:rPr>
      </w:pPr>
      <w:r>
        <w:rPr>
          <w:rFonts w:ascii="Arial" w:cs="Arial" w:eastAsia="Arial" w:hAnsi="Arial"/>
          <w:sz w:val="17"/>
          <w:szCs w:val="17"/>
          <w:color w:val="auto"/>
        </w:rPr>
        <w:t xml:space="preserve">12.2.4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Assignments</w:t>
      </w:r>
      <w:r>
        <w:rPr>
          <w:rFonts w:ascii="Arial" w:cs="Arial" w:eastAsia="Arial" w:hAnsi="Arial"/>
          <w:sz w:val="18"/>
          <w:szCs w:val="18"/>
          <w:color w:val="auto"/>
        </w:rPr>
        <w:t>.</w:t>
      </w:r>
    </w:p>
    <w:p>
      <w:pPr>
        <w:spacing w:after="0" w:line="117" w:lineRule="exact"/>
        <w:rPr>
          <w:sz w:val="20"/>
          <w:szCs w:val="20"/>
          <w:color w:val="auto"/>
        </w:rPr>
      </w:pPr>
    </w:p>
    <w:p>
      <w:pPr>
        <w:ind w:right="20" w:firstLine="438"/>
        <w:spacing w:after="0" w:line="291" w:lineRule="auto"/>
        <w:rPr>
          <w:sz w:val="20"/>
          <w:szCs w:val="20"/>
          <w:color w:val="auto"/>
        </w:rPr>
      </w:pPr>
      <w:r>
        <w:rPr>
          <w:rFonts w:ascii="Arial" w:cs="Arial" w:eastAsia="Arial" w:hAnsi="Arial"/>
          <w:sz w:val="16"/>
          <w:szCs w:val="16"/>
          <w:color w:val="auto"/>
        </w:rPr>
        <w:t xml:space="preserve">12.3.1 </w:t>
      </w:r>
      <w:r>
        <w:rPr>
          <w:rFonts w:ascii="Arial" w:cs="Arial" w:eastAsia="Arial" w:hAnsi="Arial"/>
          <w:sz w:val="16"/>
          <w:szCs w:val="16"/>
          <w:u w:val="single" w:color="auto"/>
          <w:color w:val="auto"/>
        </w:rPr>
        <w:t>Permitted Assignments</w:t>
      </w:r>
      <w:r>
        <w:rPr>
          <w:rFonts w:ascii="Arial" w:cs="Arial" w:eastAsia="Arial" w:hAnsi="Arial"/>
          <w:sz w:val="16"/>
          <w:szCs w:val="16"/>
          <w:color w:val="auto"/>
        </w:rPr>
        <w:t>. Any Lender may at any time assign to one or more Eligible Assignees (“</w:t>
      </w:r>
      <w:r>
        <w:rPr>
          <w:rFonts w:ascii="Arial" w:cs="Arial" w:eastAsia="Arial" w:hAnsi="Arial"/>
          <w:sz w:val="16"/>
          <w:szCs w:val="16"/>
          <w:u w:val="single" w:color="auto"/>
          <w:color w:val="auto"/>
        </w:rPr>
        <w:t>Purchasers</w:t>
      </w:r>
      <w:r>
        <w:rPr>
          <w:rFonts w:ascii="Arial" w:cs="Arial" w:eastAsia="Arial" w:hAnsi="Arial"/>
          <w:sz w:val="16"/>
          <w:szCs w:val="16"/>
          <w:color w:val="auto"/>
        </w:rPr>
        <w:t xml:space="preserve">”) all or any part of its rights and obligations under the Loan Documents. Such assignment shall be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in such other form reasonably acceptable to the Administrative Agent as agreed to by the parties thereto. Each assignment to a Purchaser that is not a Lender, an Affiliate of a Lender or an Approved Fund shall either be in an amount equal to the entire applicable Commitment and Outstanding Credit Exposure of the assigning Lender or (unless each of the Borrower and the Administrative Agent otherwise consents) be in an aggregate amount not less than $5,000,000. The amount of the assignment shall be based on the Commitment or Outstanding Credit Exposure (if the Commitment has been terminated) subject to the assignment, determined as of the date of such assignment or as of the “Trade Date,” if the “Trade Date” is specified in the assignment.</w:t>
      </w:r>
    </w:p>
    <w:p>
      <w:pPr>
        <w:spacing w:after="0" w:line="59" w:lineRule="exact"/>
        <w:rPr>
          <w:sz w:val="20"/>
          <w:szCs w:val="20"/>
          <w:color w:val="auto"/>
        </w:rPr>
      </w:pPr>
    </w:p>
    <w:p>
      <w:pPr>
        <w:ind w:right="280" w:firstLine="438"/>
        <w:spacing w:after="0" w:line="277" w:lineRule="auto"/>
        <w:rPr>
          <w:sz w:val="20"/>
          <w:szCs w:val="20"/>
          <w:color w:val="auto"/>
        </w:rPr>
      </w:pPr>
      <w:r>
        <w:rPr>
          <w:rFonts w:ascii="Arial" w:cs="Arial" w:eastAsia="Arial" w:hAnsi="Arial"/>
          <w:sz w:val="18"/>
          <w:szCs w:val="18"/>
          <w:color w:val="auto"/>
        </w:rPr>
        <w:t xml:space="preserve">12.3.2 </w:t>
      </w:r>
      <w:r>
        <w:rPr>
          <w:rFonts w:ascii="Arial" w:cs="Arial" w:eastAsia="Arial" w:hAnsi="Arial"/>
          <w:sz w:val="18"/>
          <w:szCs w:val="18"/>
          <w:u w:val="single" w:color="auto"/>
          <w:color w:val="auto"/>
        </w:rPr>
        <w:t>Consents</w:t>
      </w:r>
      <w:r>
        <w:rPr>
          <w:rFonts w:ascii="Arial" w:cs="Arial" w:eastAsia="Arial" w:hAnsi="Arial"/>
          <w:sz w:val="18"/>
          <w:szCs w:val="18"/>
          <w:color w:val="auto"/>
        </w:rPr>
        <w:t>. The consent of the Borrower shall be required prior to an assignment becoming effective unless the Purchaser is a Lender, an Affiliate of a Lender</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60"/>
          </w:cols>
          <w:pgMar w:left="700" w:top="274" w:right="239" w:bottom="1440" w:gutter="0" w:footer="0" w:header="0"/>
        </w:sectPr>
      </w:pPr>
    </w:p>
    <w:bookmarkStart w:id="109" w:name="page110"/>
    <w:bookmarkEnd w:id="109"/>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an Approved Fund, provided that the consent of the Borrower shall not be required for an assignment to any Person if an Event of Default has occurred and is continuing; provided further that the Borrower shall be deemed to have consented to any such assignment unless it shall object thereto by written notice to the Administrative Agent within five (5) Business Days after having received notice thereof. The consent of the Administrative Agent shall be required prior to an assignment becoming effective. The consent of each of the LC Issuers and the Swing Line Lender shall be required prior to an assignment of a Revolving Commitment becoming effective. Any consent required under this Section 12.3.2 other than with respect to the LC Issuers or the Swing Line Lender shall not be unreasonably withheld or delayed.</w:t>
      </w:r>
    </w:p>
    <w:p>
      <w:pPr>
        <w:spacing w:after="0" w:line="70" w:lineRule="exact"/>
        <w:rPr>
          <w:sz w:val="20"/>
          <w:szCs w:val="20"/>
          <w:color w:val="auto"/>
        </w:rPr>
      </w:pPr>
    </w:p>
    <w:p>
      <w:pPr>
        <w:ind w:firstLine="438"/>
        <w:spacing w:after="0" w:line="285" w:lineRule="auto"/>
        <w:rPr>
          <w:sz w:val="20"/>
          <w:szCs w:val="20"/>
          <w:color w:val="auto"/>
        </w:rPr>
      </w:pPr>
      <w:r>
        <w:rPr>
          <w:rFonts w:ascii="Arial" w:cs="Arial" w:eastAsia="Arial" w:hAnsi="Arial"/>
          <w:sz w:val="16"/>
          <w:szCs w:val="16"/>
          <w:color w:val="auto"/>
        </w:rPr>
        <w:t xml:space="preserve">12.3.3 </w:t>
      </w:r>
      <w:r>
        <w:rPr>
          <w:rFonts w:ascii="Arial" w:cs="Arial" w:eastAsia="Arial" w:hAnsi="Arial"/>
          <w:sz w:val="16"/>
          <w:szCs w:val="16"/>
          <w:u w:val="single" w:color="auto"/>
          <w:color w:val="auto"/>
        </w:rPr>
        <w:t>Effect; Effective Date</w:t>
      </w:r>
      <w:r>
        <w:rPr>
          <w:rFonts w:ascii="Arial" w:cs="Arial" w:eastAsia="Arial" w:hAnsi="Arial"/>
          <w:sz w:val="16"/>
          <w:szCs w:val="16"/>
          <w:color w:val="auto"/>
        </w:rPr>
        <w:t>. Upon (i) delivery to the Administrative Agent of an assignment, together with any consents required by Sections 12.3.1 and 12.3.2, and (ii) payment of a $3,500 fee to the Administrative Agent for processing such assignment (unless the Administrative Agent waives such fee), such assignment shall become effective on the effective date specified in such assignment. The assignment shall contain a representation by the Purchaser to the effect that none of the consideration used to make the purchase of the Commitment and Outstanding Credit Exposure under the applicable assignment agreement constitutes “plan assets” as defined under ERISA and that the rights and interests of the Purchaser in and under the Loan Documents will not be “plan assets” under ERISA. On and after the effective date of such assignment, such Purchaser shall for all purposes be a Lender party to this Agreement and any other Loan Document executed by or on behalf of the Lenders and shall have all the rights and obligations of a Lender under the Loan Documents, to the same extent as if it were an original party thereto, and the transferor Lender shall be released with respect to the Commitment and Outstanding Credit Exposure assigned to such Purchaser without any further consent or action by the Borrower, the Lenders or the Administrative Agent. In the case of an assignment covering all of the assigning Lender’s rights and obligations under this Agreement, such Lender shall cease to be a Lender hereunder but shall continue to be entitled to the benefits of, and subject to, those provisions of this Agreement and the other Loan Documents that survive payment of the Obligations and termination of the applicable agreement. Any assignment or transfer by a Lender of rights or obligations under this Agreement that does not comply with this Section shall be treated for purposes of this Agreement as a sale by such Lender of a participation in such rights and obligations in accordance with Section 12.2. Upon the consummation of any assignment to a Purchaser pursuant to this Section, the transferor Lender, the Administrative Agent and the Borrower shall, if the transferor Lender or the Purchaser desires that its Loans be evidenced by Notes, make appropriate arrangements so that new Notes or, as appropriate, replacement Notes are issued to such transferor Lender and new Notes or, as appropriate, replacement Notes, are issued to such Purchaser, in each case in principal amounts reflecting their respective Commitments, as adjusted pursuant to such assignment.</w:t>
      </w:r>
    </w:p>
    <w:p>
      <w:pPr>
        <w:spacing w:after="0" w:line="65" w:lineRule="exact"/>
        <w:rPr>
          <w:sz w:val="20"/>
          <w:szCs w:val="20"/>
          <w:color w:val="auto"/>
        </w:rPr>
      </w:pPr>
    </w:p>
    <w:p>
      <w:pPr>
        <w:ind w:right="240" w:firstLine="438"/>
        <w:spacing w:after="0" w:line="312" w:lineRule="auto"/>
        <w:rPr>
          <w:sz w:val="20"/>
          <w:szCs w:val="20"/>
          <w:color w:val="auto"/>
        </w:rPr>
      </w:pPr>
      <w:r>
        <w:rPr>
          <w:rFonts w:ascii="Arial" w:cs="Arial" w:eastAsia="Arial" w:hAnsi="Arial"/>
          <w:sz w:val="16"/>
          <w:szCs w:val="16"/>
          <w:color w:val="auto"/>
        </w:rPr>
        <w:t xml:space="preserve">12.3.4 </w:t>
      </w: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 shall maintain at one of its offices in the United States of America a copy of each assignment agreement delivered to it and a register for the recordation of the names and addresses of the Lenders, the Commitments of and principal amounts of the Loans owing to each Lender, and participations of each Lender in Facility LCs, pursuant</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40"/>
          </w:cols>
          <w:pgMar w:left="700" w:top="274" w:right="259" w:bottom="1440" w:gutter="0" w:footer="0" w:header="0"/>
        </w:sectPr>
      </w:pPr>
    </w:p>
    <w:bookmarkStart w:id="110" w:name="page111"/>
    <w:bookmarkEnd w:id="110"/>
    <w:p>
      <w:pPr>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at any reasonable time and from time to time upon reasonable prior notice.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Dissemination of Information</w:t>
      </w:r>
      <w:r>
        <w:rPr>
          <w:rFonts w:ascii="Arial" w:cs="Arial" w:eastAsia="Arial" w:hAnsi="Arial"/>
          <w:sz w:val="18"/>
          <w:szCs w:val="18"/>
          <w:color w:val="auto"/>
        </w:rPr>
        <w:t>. The Borrower authorizes each Lender to disclose to any Participant, Purchaser, other Person acquiring an interest in the Loan Documents by operation of law (each a “</w:t>
      </w:r>
      <w:r>
        <w:rPr>
          <w:rFonts w:ascii="Arial" w:cs="Arial" w:eastAsia="Arial" w:hAnsi="Arial"/>
          <w:sz w:val="18"/>
          <w:szCs w:val="18"/>
          <w:u w:val="single" w:color="auto"/>
          <w:color w:val="auto"/>
        </w:rPr>
        <w:t>Transferee</w:t>
      </w:r>
      <w:r>
        <w:rPr>
          <w:rFonts w:ascii="Arial" w:cs="Arial" w:eastAsia="Arial" w:hAnsi="Arial"/>
          <w:sz w:val="18"/>
          <w:szCs w:val="18"/>
          <w:color w:val="auto"/>
        </w:rPr>
        <w:t xml:space="preserve">”) and prospective Transferee any and all information in such Lender’s possession concerning the creditworthiness of the Borrower and its Subsidiaries, including without limitation any information contained in any Reports;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Transferee and prospective Transferee agrees to be bound by Section 9.11 of this Agreement.</w:t>
      </w:r>
    </w:p>
    <w:p>
      <w:pPr>
        <w:spacing w:after="0" w:line="18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Tax Treatment</w:t>
      </w:r>
      <w:r>
        <w:rPr>
          <w:rFonts w:ascii="Arial" w:cs="Arial" w:eastAsia="Arial" w:hAnsi="Arial"/>
          <w:sz w:val="18"/>
          <w:szCs w:val="18"/>
          <w:color w:val="auto"/>
        </w:rPr>
        <w:t>. If any interest in any Loan Document is transferred to any Transferee that is not incorporated under the laws of the United States or any State thereof, the transferor Lender shall cause such Transferee, concurrently with the effectiveness of such transfer, to comply with the provisions of Section 3.5(g).</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Notices; Effectiveness; Electronic Communication</w:t>
      </w:r>
      <w:r>
        <w:rPr>
          <w:rFonts w:ascii="Arial" w:cs="Arial" w:eastAsia="Arial" w:hAnsi="Arial"/>
          <w:sz w:val="18"/>
          <w:szCs w:val="18"/>
          <w:color w:val="auto"/>
        </w:rPr>
        <w:t>.</w:t>
      </w:r>
    </w:p>
    <w:p>
      <w:pPr>
        <w:spacing w:after="0" w:line="117" w:lineRule="exact"/>
        <w:rPr>
          <w:sz w:val="20"/>
          <w:szCs w:val="20"/>
          <w:color w:val="auto"/>
        </w:rPr>
      </w:pPr>
    </w:p>
    <w:p>
      <w:pPr>
        <w:jc w:val="both"/>
        <w:ind w:left="460" w:right="440" w:firstLine="443"/>
        <w:spacing w:after="0" w:line="264" w:lineRule="auto"/>
        <w:tabs>
          <w:tab w:leader="none" w:pos="114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telecopier as follows:</w:t>
      </w:r>
    </w:p>
    <w:p>
      <w:pPr>
        <w:spacing w:after="0" w:line="73" w:lineRule="exact"/>
        <w:rPr>
          <w:rFonts w:ascii="Arial" w:cs="Arial" w:eastAsia="Arial" w:hAnsi="Arial"/>
          <w:sz w:val="18"/>
          <w:szCs w:val="18"/>
          <w:color w:val="auto"/>
        </w:rPr>
      </w:pPr>
    </w:p>
    <w:p>
      <w:pPr>
        <w:ind w:left="1560" w:hanging="219"/>
        <w:spacing w:after="0"/>
        <w:tabs>
          <w:tab w:leader="none" w:pos="15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to the Borrower, at its address or telecopier number set forth on its signature page hereof;</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to the Administrative Agent, at its address or telecopier number set forth on its signature page hereof;</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to a LC Issuer, at its address or telecopier number set forth on its signature page hereof; and</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to a Lender, at its address or telecopier number set forth in its Administrative Questionnaire.</w:t>
      </w:r>
    </w:p>
    <w:p>
      <w:pPr>
        <w:spacing w:after="0" w:line="117"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telecopier shall be deemed to have been given when sent (or, if not given during normal business hours for the recipient, at the opening of business on the next Business Day for the recipient). Notices delivered through electronic communications to the extent provided in paragraph (b) below shall be effective as provided in said paragraph (b).</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40"/>
          </w:cols>
          <w:pgMar w:left="240" w:top="274" w:right="319" w:bottom="1440" w:gutter="0" w:footer="0" w:header="0"/>
        </w:sectPr>
      </w:pPr>
    </w:p>
    <w:bookmarkStart w:id="111" w:name="page112"/>
    <w:bookmarkEnd w:id="111"/>
    <w:p>
      <w:pPr>
        <w:ind w:left="460" w:right="100" w:firstLine="443"/>
        <w:spacing w:after="0" w:line="291" w:lineRule="auto"/>
        <w:tabs>
          <w:tab w:leader="none" w:pos="1153"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Communications</w:t>
      </w:r>
      <w:r>
        <w:rPr>
          <w:rFonts w:ascii="Arial" w:cs="Arial" w:eastAsia="Arial" w:hAnsi="Arial"/>
          <w:sz w:val="16"/>
          <w:szCs w:val="16"/>
          <w:color w:val="auto"/>
        </w:rPr>
        <w:t>. Notices and other communications to the Lenders and the LC Issuers hereunder may be delivered or furnished by electronic communication (including e-mail and internet or intranet websites) pursuant to procedures approved by the Administrative Agent or as otherwise determined by the Administrative Agent, provided that the foregoing shall not apply to notices to any Lender or any LC Issuer pursuant to Article II if such Lender or such LC Issuer, as applicable, has notified the Administrative Agent that it is incapable of receiving notices under such Article by electronic communication. The Administrative Agent or the Borrower may, in their respective discretion, agree to accept notices and other communications to it hereunder by electronic communications pursuant to procedures approved by it or as it otherwise determines, provided that such determination or approval may be limited to particular notices or communications.</w:t>
      </w:r>
    </w:p>
    <w:p>
      <w:pPr>
        <w:spacing w:after="0" w:line="59" w:lineRule="exact"/>
        <w:rPr>
          <w:sz w:val="20"/>
          <w:szCs w:val="20"/>
          <w:color w:val="auto"/>
        </w:rPr>
      </w:pPr>
    </w:p>
    <w:p>
      <w:pPr>
        <w:ind w:left="460" w:right="20" w:firstLine="438"/>
        <w:spacing w:after="0" w:line="286" w:lineRule="auto"/>
        <w:rPr>
          <w:sz w:val="20"/>
          <w:szCs w:val="20"/>
          <w:color w:val="auto"/>
        </w:rPr>
      </w:pPr>
      <w:r>
        <w:rPr>
          <w:rFonts w:ascii="Arial" w:cs="Arial" w:eastAsia="Arial" w:hAnsi="Arial"/>
          <w:sz w:val="16"/>
          <w:szCs w:val="16"/>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given during the normal business hours of the recipient, such notice or communication shall be deemed to have been given at the opening of business on the next Business Day for the recipient, and</w:t>
      </w:r>
    </w:p>
    <w:p>
      <w:pPr>
        <w:spacing w:after="0" w:line="2" w:lineRule="exact"/>
        <w:rPr>
          <w:sz w:val="20"/>
          <w:szCs w:val="20"/>
          <w:color w:val="auto"/>
        </w:rPr>
      </w:pPr>
    </w:p>
    <w:p>
      <w:pPr>
        <w:ind w:left="460" w:right="120" w:firstLine="4"/>
        <w:spacing w:after="0" w:line="255" w:lineRule="auto"/>
        <w:tabs>
          <w:tab w:leader="none" w:pos="725"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82" w:lineRule="exact"/>
        <w:rPr>
          <w:rFonts w:ascii="Arial" w:cs="Arial" w:eastAsia="Arial" w:hAnsi="Arial"/>
          <w:sz w:val="18"/>
          <w:szCs w:val="18"/>
          <w:color w:val="auto"/>
        </w:rPr>
      </w:pPr>
    </w:p>
    <w:p>
      <w:pPr>
        <w:ind w:left="460" w:right="220" w:firstLine="443"/>
        <w:spacing w:after="0" w:line="277" w:lineRule="auto"/>
        <w:tabs>
          <w:tab w:leader="none" w:pos="1143"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xml:space="preserve"> Any party hereto may change its address or telecopier number for notices and other communications hereunder by notice to the other parties hereto.</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COUNTERPARTS; INTEGRATION; EFFECTIVENESS; ELECTRONIC EXECUTION;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ELECTRONIC RECORDS</w:t>
      </w:r>
    </w:p>
    <w:p>
      <w:pPr>
        <w:spacing w:after="0" w:line="21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Counterparts; Effectiveness</w:t>
      </w:r>
      <w:r>
        <w:rPr>
          <w:rFonts w:ascii="Arial" w:cs="Arial" w:eastAsia="Arial" w:hAnsi="Arial"/>
          <w:sz w:val="17"/>
          <w:szCs w:val="17"/>
          <w:color w:val="auto"/>
        </w:rPr>
        <w:t>. This Agreement may be executed in counterparts (and by different parties hereto in different counterparts), each of which shall constitute an original, but all of which when taken together shall constitute a single contract. Except as provided in Article IV, this Agreement shall become effective when it shall have been executed by the Administrative Agent, and when the Administrative Agent shall have received counterparts hereof which, when taken together, bear the signatures of each of the parties hereto,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 Agreement.</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Electronic Execution of Assignments</w:t>
      </w:r>
      <w:r>
        <w:rPr>
          <w:rFonts w:ascii="Arial" w:cs="Arial" w:eastAsia="Arial" w:hAnsi="Arial"/>
          <w:sz w:val="18"/>
          <w:szCs w:val="18"/>
          <w:color w:val="auto"/>
        </w:rPr>
        <w:t>. The words “execution,” “signed,” “signature,” and words of like import in any assignment and assumption agreement shall be deemed to include electronic signatures or the keeping of records in electronic form, each of which shall be of the same legal effect, validity or enforceability as a manually executed signature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274" w:right="299" w:bottom="1440" w:gutter="0" w:footer="0" w:header="0"/>
        </w:sectPr>
      </w:pPr>
    </w:p>
    <w:bookmarkStart w:id="112" w:name="page113"/>
    <w:bookmarkEnd w:id="112"/>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the use of a paper-based recordkeeping system, as the case may be, to the extent and as provided for in any applicable law, including the Federal Electronic Signatures in Global and National Commerce Act, or any other state laws based on the Uniform Electronic Transactions Act.</w:t>
      </w:r>
    </w:p>
    <w:p>
      <w:pPr>
        <w:spacing w:after="0" w:line="14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Electronic Records</w:t>
      </w:r>
      <w:r>
        <w:rPr>
          <w:rFonts w:ascii="Arial" w:cs="Arial" w:eastAsia="Arial" w:hAnsi="Arial"/>
          <w:sz w:val="16"/>
          <w:szCs w:val="16"/>
          <w:color w:val="auto"/>
        </w:rPr>
        <w:t>. The Borrower hereby acknowledges the receipt of a copy of this Agreement and all other Loan Documents. The Administrative Agent and each Lender may, on behalf of the Borrower, create a microfilm or optical disk or other electronic image of this Agreement and any or all of the Loan Documents. The Administrative Agent and each Lender may store the electronic image of this Agreement and Loan Documents in its electronic form and then destroy the paper original as part of the Administrative Agent’s and each Lender’s normal business practices, with the electronic image deemed to be an original and of the same legal effect, validity and enforceability as the paper originals. The Administrative Agent and each Lender are authorized, when appropriate, to convert any note into a “transferable record” under the Uniform Electronic Transactions Act.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CHOICE OF LAW; CONSENT TO JURISDICTION; WAIVER OF JURY TRIAL</w:t>
      </w:r>
    </w:p>
    <w:p>
      <w:pPr>
        <w:spacing w:after="0" w:line="20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u w:val="single" w:color="auto"/>
          <w:color w:val="auto"/>
        </w:rPr>
        <w:t>CHOICE OF LAW</w:t>
      </w:r>
      <w:r>
        <w:rPr>
          <w:rFonts w:ascii="Arial" w:cs="Arial" w:eastAsia="Arial" w:hAnsi="Arial"/>
          <w:sz w:val="18"/>
          <w:szCs w:val="18"/>
          <w:b w:val="1"/>
          <w:bCs w:val="1"/>
          <w:color w:val="auto"/>
        </w:rPr>
        <w:t>. THE LOAN DOCUMENTS (OTHER THAN THOSE CONTAINING A CONTRARY EXPRESS CHOICE OF</w:t>
      </w:r>
      <w:r>
        <w:rPr>
          <w:rFonts w:ascii="Arial" w:cs="Arial" w:eastAsia="Arial" w:hAnsi="Arial"/>
          <w:sz w:val="18"/>
          <w:szCs w:val="18"/>
          <w:color w:val="auto"/>
        </w:rPr>
        <w:t xml:space="preserve"> </w:t>
      </w:r>
      <w:r>
        <w:rPr>
          <w:rFonts w:ascii="Arial" w:cs="Arial" w:eastAsia="Arial" w:hAnsi="Arial"/>
          <w:sz w:val="18"/>
          <w:szCs w:val="18"/>
          <w:b w:val="1"/>
          <w:bCs w:val="1"/>
          <w:color w:val="auto"/>
        </w:rPr>
        <w:t>LAW PROVISION) SHALL BE CONSTRUED IN ACCORDANCE WITH THE INTERNAL LAWS OF THE STATE OF NEW YORK, WITHOUT REGARD TO THE CONFLICT OF LAWS PROVISIONS THEREOF (OTHER THAN THE PROVISIONS OF SECTIONS 5-1401 OF THE GENERAL OBLIGATIONS LAW OF THE STATE OF NEW YORK) BUT GIVING EFFECT TO FEDERAL LAWS APPLICABLE TO NATIONAL BANKS.</w:t>
      </w:r>
    </w:p>
    <w:p>
      <w:pPr>
        <w:spacing w:after="0" w:line="184"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THE BORROWER AND ADMINISTRATIVE AGENT AND EACH LENDER HEREBY</w:t>
      </w:r>
      <w:r>
        <w:rPr>
          <w:rFonts w:ascii="Arial" w:cs="Arial" w:eastAsia="Arial" w:hAnsi="Arial"/>
          <w:sz w:val="18"/>
          <w:szCs w:val="18"/>
          <w:color w:val="auto"/>
        </w:rPr>
        <w:t xml:space="preserve"> </w:t>
      </w:r>
      <w:r>
        <w:rPr>
          <w:rFonts w:ascii="Arial" w:cs="Arial" w:eastAsia="Arial" w:hAnsi="Arial"/>
          <w:sz w:val="18"/>
          <w:szCs w:val="18"/>
          <w:b w:val="1"/>
          <w:bCs w:val="1"/>
          <w:color w:val="auto"/>
        </w:rPr>
        <w:t>IRREVOCABLY SUBMITS TO THE EXCLUSIVE JURISDICTION OF ANY UNITED STATES FEDERAL OR STATE COURT SITTING IN MINNEAPOLIS, MINNESOTA IN ANY ACTION OR PROCEEDING ARISING OUT OF OR RELATING TO ANY LOAN DOCUMENTS,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ADMINISTRATIVE AGENT, ANY LC ISSUER OR ANY LENDER TO BRING PROCEEDINGS AGAINST THE BORROWER OR TO ENFORCE RIGHTS AND REMEDIES IN RESPECT OF COLLATERAL IN THE COURTS OF ANY OTHER JURISDICTION. ANY JUDICIAL PROCEEDING BY THE BORROWER AGAINST THE ADMINISTRATIVE AGENT, ANYLC ISSUER OR ANY LENDER OR ANY AFFILIATE OF THE ADMINISTRATIVE AGENT, ANY LC ISSUER OR ANY LENDER INVOLVING, DIRECTLY OR INDIRECTLY, ANY MATTER IN ANY WAY ARISING OUT OF, RELATED TO OR CONNECTED WITH ANY LOAN DOCUMENT SHALL BE BROUGHT ONLY IN A COURT IN MINNEAPOLIS, MINNESOTA.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74" w:right="259" w:bottom="1440" w:gutter="0" w:footer="0" w:header="0"/>
        </w:sectPr>
      </w:pPr>
    </w:p>
    <w:bookmarkStart w:id="113" w:name="page114"/>
    <w:bookmarkEnd w:id="113"/>
    <w:p>
      <w:pPr>
        <w:ind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15.3.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THE BORROWER, THE ADMINISTRATIVE AGENT, EACH LC ISSUER AND EACH LENDER</w:t>
      </w:r>
      <w:r>
        <w:rPr>
          <w:rFonts w:ascii="Arial" w:cs="Arial" w:eastAsia="Arial" w:hAnsi="Arial"/>
          <w:sz w:val="18"/>
          <w:szCs w:val="18"/>
          <w:color w:val="auto"/>
        </w:rPr>
        <w:t xml:space="preserve"> </w:t>
      </w:r>
      <w:r>
        <w:rPr>
          <w:rFonts w:ascii="Arial" w:cs="Arial" w:eastAsia="Arial" w:hAnsi="Arial"/>
          <w:sz w:val="18"/>
          <w:szCs w:val="18"/>
          <w:b w:val="1"/>
          <w:bCs w:val="1"/>
          <w:color w:val="auto"/>
        </w:rPr>
        <w:t>HEREBY WAIVE TRIAL BY JURY IN ANY JUDICIAL PROCEEDING INVOLVING, DIRECTLY OR INDIRECTLY, ANY MATTER (WHETHER SOUNDING IN TORT, CONTRACT OR OTHERWISE) IN ANY WAY ARISING OUT OF, RELATED TO OR CONNECTED WITH ANY LOAN DOCUMENT OR THE RELATIONSHIP ESTABLISHED THEREUNDER.</w:t>
      </w:r>
    </w:p>
    <w:p>
      <w:pPr>
        <w:spacing w:after="0" w:line="18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880"/>
          </w:cols>
          <w:pgMar w:left="240" w:top="270" w:right="779" w:bottom="1440" w:gutter="0" w:footer="0" w:header="0"/>
        </w:sectPr>
      </w:pPr>
    </w:p>
    <w:bookmarkStart w:id="114" w:name="page115"/>
    <w:bookmarkEnd w:id="114"/>
    <w:p>
      <w:pPr>
        <w:ind w:right="2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Borrower, the Lenders, the LC Issuers and the Administrative Agent have executed this Agreement as of the date first above written.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BORROWER:</w:t>
            </w:r>
          </w:p>
        </w:tc>
      </w:tr>
      <w:tr>
        <w:trPr>
          <w:trHeight w:val="20"/>
        </w:trPr>
        <w:tc>
          <w:tcPr>
            <w:tcW w:w="10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53"/>
        </w:trPr>
        <w:tc>
          <w:tcPr>
            <w:tcW w:w="10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HAWKINS, INC.</w:t>
            </w:r>
          </w:p>
        </w:tc>
      </w:tr>
      <w:tr>
        <w:trPr>
          <w:trHeight w:val="432"/>
        </w:trPr>
        <w:tc>
          <w:tcPr>
            <w:tcW w:w="10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Kathleen P. Pepski</w:t>
            </w:r>
          </w:p>
        </w:tc>
      </w:tr>
      <w:tr>
        <w:trPr>
          <w:trHeight w:val="209"/>
        </w:trPr>
        <w:tc>
          <w:tcPr>
            <w:tcW w:w="10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gridSpan w:val="2"/>
          </w:tcPr>
          <w:p>
            <w:pPr>
              <w:spacing w:after="0"/>
              <w:rPr>
                <w:sz w:val="20"/>
                <w:szCs w:val="20"/>
                <w:color w:val="auto"/>
              </w:rPr>
            </w:pPr>
            <w:r>
              <w:rPr>
                <w:rFonts w:ascii="Arial" w:cs="Arial" w:eastAsia="Arial" w:hAnsi="Arial"/>
                <w:sz w:val="18"/>
                <w:szCs w:val="18"/>
                <w:color w:val="auto"/>
              </w:rPr>
              <w:t>Kathleen Pepski</w:t>
            </w: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Address for Borrower:</w:t>
            </w: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w w:val="93"/>
              </w:rPr>
              <w:t>Hawkins, Inc.</w:t>
            </w:r>
          </w:p>
        </w:tc>
        <w:tc>
          <w:tcPr>
            <w:tcW w:w="5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2381 Rosegate</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Roseville, MN 55113</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Attention:</w:t>
            </w:r>
          </w:p>
        </w:tc>
        <w:tc>
          <w:tcPr>
            <w:tcW w:w="5240" w:type="dxa"/>
            <w:vAlign w:val="bottom"/>
          </w:tcPr>
          <w:p>
            <w:pPr>
              <w:spacing w:after="0"/>
              <w:rPr>
                <w:sz w:val="20"/>
                <w:szCs w:val="20"/>
                <w:color w:val="auto"/>
              </w:rPr>
            </w:pPr>
            <w:r>
              <w:rPr>
                <w:rFonts w:ascii="Arial" w:cs="Arial" w:eastAsia="Arial" w:hAnsi="Arial"/>
                <w:sz w:val="18"/>
                <w:szCs w:val="18"/>
                <w:color w:val="auto"/>
              </w:rPr>
              <w:t>Kathleen Pepski</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Telephone:</w:t>
            </w:r>
          </w:p>
        </w:tc>
        <w:tc>
          <w:tcPr>
            <w:tcW w:w="5240" w:type="dxa"/>
            <w:vAlign w:val="bottom"/>
          </w:tcPr>
          <w:p>
            <w:pPr>
              <w:spacing w:after="0"/>
              <w:rPr>
                <w:sz w:val="20"/>
                <w:szCs w:val="20"/>
                <w:color w:val="auto"/>
              </w:rPr>
            </w:pPr>
            <w:r>
              <w:rPr>
                <w:rFonts w:ascii="Arial" w:cs="Arial" w:eastAsia="Arial" w:hAnsi="Arial"/>
                <w:sz w:val="18"/>
                <w:szCs w:val="18"/>
                <w:color w:val="auto"/>
              </w:rPr>
              <w:t>612-331-6910</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Fax:</w:t>
            </w:r>
          </w:p>
        </w:tc>
        <w:tc>
          <w:tcPr>
            <w:tcW w:w="5240" w:type="dxa"/>
            <w:vAlign w:val="bottom"/>
          </w:tcPr>
          <w:p>
            <w:pPr>
              <w:spacing w:after="0"/>
              <w:rPr>
                <w:sz w:val="20"/>
                <w:szCs w:val="20"/>
                <w:color w:val="auto"/>
              </w:rPr>
            </w:pPr>
            <w:r>
              <w:rPr>
                <w:rFonts w:ascii="Arial" w:cs="Arial" w:eastAsia="Arial" w:hAnsi="Arial"/>
                <w:sz w:val="18"/>
                <w:szCs w:val="18"/>
                <w:color w:val="auto"/>
              </w:rPr>
              <w:t>612-225-6705</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Faegre Baker Daniels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1220" w:type="dxa"/>
            <w:vAlign w:val="bottom"/>
          </w:tcPr>
          <w:p>
            <w:pPr>
              <w:ind w:left="100"/>
              <w:spacing w:after="0"/>
              <w:rPr>
                <w:sz w:val="20"/>
                <w:szCs w:val="20"/>
                <w:color w:val="auto"/>
              </w:rPr>
            </w:pPr>
            <w:r>
              <w:rPr>
                <w:rFonts w:ascii="Arial" w:cs="Arial" w:eastAsia="Arial" w:hAnsi="Arial"/>
                <w:sz w:val="18"/>
                <w:szCs w:val="18"/>
                <w:color w:val="auto"/>
                <w:w w:val="99"/>
              </w:rPr>
              <w:t>Nicole Leimer</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w w:val="99"/>
              </w:rPr>
              <w:t>Telephone:</w:t>
            </w:r>
          </w:p>
        </w:tc>
        <w:tc>
          <w:tcPr>
            <w:tcW w:w="1220" w:type="dxa"/>
            <w:vAlign w:val="bottom"/>
          </w:tcPr>
          <w:p>
            <w:pPr>
              <w:ind w:left="100"/>
              <w:spacing w:after="0"/>
              <w:rPr>
                <w:sz w:val="20"/>
                <w:szCs w:val="20"/>
                <w:color w:val="auto"/>
              </w:rPr>
            </w:pPr>
            <w:r>
              <w:rPr>
                <w:rFonts w:ascii="Arial" w:cs="Arial" w:eastAsia="Arial" w:hAnsi="Arial"/>
                <w:sz w:val="18"/>
                <w:szCs w:val="18"/>
                <w:color w:val="auto"/>
                <w:w w:val="89"/>
              </w:rPr>
              <w:t>(612) 766-7000</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Fax:</w:t>
            </w:r>
          </w:p>
        </w:tc>
        <w:tc>
          <w:tcPr>
            <w:tcW w:w="1220" w:type="dxa"/>
            <w:vAlign w:val="bottom"/>
          </w:tcPr>
          <w:p>
            <w:pPr>
              <w:ind w:left="100"/>
              <w:spacing w:after="0"/>
              <w:rPr>
                <w:sz w:val="20"/>
                <w:szCs w:val="20"/>
                <w:color w:val="auto"/>
              </w:rPr>
            </w:pPr>
            <w:r>
              <w:rPr>
                <w:rFonts w:ascii="Arial" w:cs="Arial" w:eastAsia="Arial" w:hAnsi="Arial"/>
                <w:sz w:val="18"/>
                <w:szCs w:val="18"/>
                <w:color w:val="auto"/>
                <w:w w:val="89"/>
              </w:rPr>
              <w:t>(612) 766-1600</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1 to Credit Agreement]</w:t>
      </w:r>
    </w:p>
    <w:p>
      <w:pPr>
        <w:sectPr>
          <w:pgSz w:w="11900" w:h="16838" w:orient="portrait"/>
          <w:cols w:equalWidth="0" w:num="1">
            <w:col w:w="11420"/>
          </w:cols>
          <w:pgMar w:left="240" w:top="274" w:right="239" w:bottom="1440" w:gutter="0" w:footer="0" w:header="0"/>
        </w:sectPr>
      </w:pPr>
    </w:p>
    <w:bookmarkStart w:id="115" w:name="page116"/>
    <w:bookmarkEnd w:id="115"/>
    <w:p>
      <w:pPr>
        <w:ind w:left="6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Lender, as an LC Issuer and as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Administrative Agent</w:t>
      </w:r>
    </w:p>
    <w:p>
      <w:pPr>
        <w:spacing w:after="0" w:line="224"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Bryan Carow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Bryan Carow</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Address for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800 Nicollet Mall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BC-MN-H03O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1240" w:type="dxa"/>
            <w:vAlign w:val="bottom"/>
          </w:tcPr>
          <w:p>
            <w:pPr>
              <w:ind w:left="120"/>
              <w:spacing w:after="0"/>
              <w:rPr>
                <w:sz w:val="20"/>
                <w:szCs w:val="20"/>
                <w:color w:val="auto"/>
              </w:rPr>
            </w:pPr>
            <w:r>
              <w:rPr>
                <w:rFonts w:ascii="Arial" w:cs="Arial" w:eastAsia="Arial" w:hAnsi="Arial"/>
                <w:sz w:val="18"/>
                <w:szCs w:val="18"/>
                <w:color w:val="auto"/>
              </w:rPr>
              <w:t>Bryan Carow</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Telephone:</w:t>
            </w:r>
          </w:p>
        </w:tc>
        <w:tc>
          <w:tcPr>
            <w:tcW w:w="1240" w:type="dxa"/>
            <w:vAlign w:val="bottom"/>
          </w:tcPr>
          <w:p>
            <w:pPr>
              <w:ind w:left="120"/>
              <w:spacing w:after="0"/>
              <w:rPr>
                <w:sz w:val="20"/>
                <w:szCs w:val="20"/>
                <w:color w:val="auto"/>
              </w:rPr>
            </w:pPr>
            <w:r>
              <w:rPr>
                <w:rFonts w:ascii="Arial" w:cs="Arial" w:eastAsia="Arial" w:hAnsi="Arial"/>
                <w:sz w:val="18"/>
                <w:szCs w:val="18"/>
                <w:color w:val="auto"/>
                <w:w w:val="89"/>
              </w:rPr>
              <w:t>(612) 303-4583</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1240" w:type="dxa"/>
            <w:vAlign w:val="bottom"/>
          </w:tcPr>
          <w:p>
            <w:pPr>
              <w:ind w:left="120"/>
              <w:spacing w:after="0"/>
              <w:rPr>
                <w:sz w:val="20"/>
                <w:szCs w:val="20"/>
                <w:color w:val="auto"/>
              </w:rPr>
            </w:pPr>
            <w:r>
              <w:rPr>
                <w:rFonts w:ascii="Arial" w:cs="Arial" w:eastAsia="Arial" w:hAnsi="Arial"/>
                <w:sz w:val="18"/>
                <w:szCs w:val="18"/>
                <w:color w:val="auto"/>
                <w:w w:val="89"/>
              </w:rPr>
              <w:t>(612) 303-2251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Dorsey &amp; Whitney,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 South Sixth Street,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1560" w:type="dxa"/>
            <w:vAlign w:val="bottom"/>
          </w:tcPr>
          <w:p>
            <w:pPr>
              <w:ind w:left="120"/>
              <w:spacing w:after="0"/>
              <w:rPr>
                <w:sz w:val="20"/>
                <w:szCs w:val="20"/>
                <w:color w:val="auto"/>
              </w:rPr>
            </w:pPr>
            <w:r>
              <w:rPr>
                <w:rFonts w:ascii="Arial" w:cs="Arial" w:eastAsia="Arial" w:hAnsi="Arial"/>
                <w:sz w:val="18"/>
                <w:szCs w:val="18"/>
                <w:color w:val="auto"/>
                <w:w w:val="87"/>
              </w:rPr>
              <w:t>L. Joseph Genereux</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Telephone:</w:t>
            </w:r>
          </w:p>
        </w:tc>
        <w:tc>
          <w:tcPr>
            <w:tcW w:w="1560" w:type="dxa"/>
            <w:vAlign w:val="bottom"/>
          </w:tcPr>
          <w:p>
            <w:pPr>
              <w:ind w:left="120"/>
              <w:spacing w:after="0"/>
              <w:rPr>
                <w:sz w:val="20"/>
                <w:szCs w:val="20"/>
                <w:color w:val="auto"/>
              </w:rPr>
            </w:pPr>
            <w:r>
              <w:rPr>
                <w:rFonts w:ascii="Arial" w:cs="Arial" w:eastAsia="Arial" w:hAnsi="Arial"/>
                <w:sz w:val="18"/>
                <w:szCs w:val="18"/>
                <w:color w:val="auto"/>
              </w:rPr>
              <w:t>(612) 349-2888</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1560" w:type="dxa"/>
            <w:vAlign w:val="bottom"/>
          </w:tcPr>
          <w:p>
            <w:pPr>
              <w:ind w:left="120"/>
              <w:spacing w:after="0"/>
              <w:rPr>
                <w:sz w:val="20"/>
                <w:szCs w:val="20"/>
                <w:color w:val="auto"/>
              </w:rPr>
            </w:pPr>
            <w:r>
              <w:rPr>
                <w:rFonts w:ascii="Arial" w:cs="Arial" w:eastAsia="Arial" w:hAnsi="Arial"/>
                <w:sz w:val="18"/>
                <w:szCs w:val="18"/>
                <w:color w:val="auto"/>
              </w:rPr>
              <w:t>(612) 340-2868</w:t>
            </w:r>
          </w:p>
        </w:tc>
      </w:tr>
    </w:tbl>
    <w:p>
      <w:pPr>
        <w:spacing w:after="0" w:line="13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[Signature Page 2 to Credit Agreement]</w:t>
      </w:r>
    </w:p>
    <w:p>
      <w:pPr>
        <w:sectPr>
          <w:pgSz w:w="11900" w:h="16838" w:orient="portrait"/>
          <w:cols w:equalWidth="0" w:num="1">
            <w:col w:w="10219"/>
          </w:cols>
          <w:pgMar w:left="240" w:top="274" w:right="1440" w:bottom="1440" w:gutter="0" w:footer="0" w:header="0"/>
        </w:sectPr>
      </w:pPr>
    </w:p>
    <w:bookmarkStart w:id="116" w:name="page117"/>
    <w:bookmarkEnd w:id="116"/>
    <w:p>
      <w:pPr>
        <w:ind w:left="6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 MORGAN CHASE BANK, N.A.,</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Lender and an LC Issuer</w:t>
      </w:r>
    </w:p>
    <w:p>
      <w:pPr>
        <w:spacing w:after="0" w:line="21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Nicolas L. Schweim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Nicolas L. Schweim</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Authorized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Address for JP 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650 3</w:t>
      </w:r>
      <w:r>
        <w:rPr>
          <w:rFonts w:ascii="Arial" w:cs="Arial" w:eastAsia="Arial" w:hAnsi="Arial"/>
          <w:sz w:val="15"/>
          <w:szCs w:val="15"/>
          <w:color w:val="auto"/>
        </w:rPr>
        <w:t>rd</w:t>
      </w:r>
      <w:r>
        <w:rPr>
          <w:rFonts w:ascii="Arial" w:cs="Arial" w:eastAsia="Arial" w:hAnsi="Arial"/>
          <w:sz w:val="18"/>
          <w:szCs w:val="18"/>
          <w:color w:val="auto"/>
        </w:rPr>
        <w:t xml:space="preserve"> Ave.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1380" w:type="dxa"/>
            <w:vAlign w:val="bottom"/>
          </w:tcPr>
          <w:p>
            <w:pPr>
              <w:ind w:left="120"/>
              <w:spacing w:after="0"/>
              <w:rPr>
                <w:sz w:val="20"/>
                <w:szCs w:val="20"/>
                <w:color w:val="auto"/>
              </w:rPr>
            </w:pPr>
            <w:r>
              <w:rPr>
                <w:rFonts w:ascii="Arial" w:cs="Arial" w:eastAsia="Arial" w:hAnsi="Arial"/>
                <w:sz w:val="18"/>
                <w:szCs w:val="18"/>
                <w:color w:val="auto"/>
                <w:w w:val="90"/>
              </w:rPr>
              <w:t>Nicolas Schweim</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Telephone:</w:t>
            </w:r>
          </w:p>
        </w:tc>
        <w:tc>
          <w:tcPr>
            <w:tcW w:w="1380" w:type="dxa"/>
            <w:vAlign w:val="bottom"/>
          </w:tcPr>
          <w:p>
            <w:pPr>
              <w:ind w:left="120"/>
              <w:spacing w:after="0"/>
              <w:rPr>
                <w:sz w:val="20"/>
                <w:szCs w:val="20"/>
                <w:color w:val="auto"/>
              </w:rPr>
            </w:pPr>
            <w:r>
              <w:rPr>
                <w:rFonts w:ascii="Arial" w:cs="Arial" w:eastAsia="Arial" w:hAnsi="Arial"/>
                <w:sz w:val="18"/>
                <w:szCs w:val="18"/>
                <w:color w:val="auto"/>
              </w:rPr>
              <w:t>(612) 486-5396</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1380" w:type="dxa"/>
            <w:vAlign w:val="bottom"/>
          </w:tcPr>
          <w:p>
            <w:pPr>
              <w:ind w:left="120"/>
              <w:spacing w:after="0"/>
              <w:rPr>
                <w:sz w:val="20"/>
                <w:szCs w:val="20"/>
                <w:color w:val="auto"/>
              </w:rPr>
            </w:pPr>
            <w:r>
              <w:rPr>
                <w:rFonts w:ascii="Arial" w:cs="Arial" w:eastAsia="Arial" w:hAnsi="Arial"/>
                <w:sz w:val="18"/>
                <w:szCs w:val="18"/>
                <w:color w:val="auto"/>
              </w:rPr>
              <w:t>(612) 333-9194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111 East Wisconsin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Floor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53202</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Credit Executive</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(414) 977-6702</w:t>
      </w:r>
    </w:p>
    <w:p>
      <w:pPr>
        <w:spacing w:after="0" w:line="14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[Signature Page 3 to Credit Agreement]</w:t>
      </w:r>
    </w:p>
    <w:p>
      <w:pPr>
        <w:sectPr>
          <w:pgSz w:w="11900" w:h="16838" w:orient="portrait"/>
          <w:cols w:equalWidth="0" w:num="1">
            <w:col w:w="10219"/>
          </w:cols>
          <w:pgMar w:left="240" w:top="274" w:right="1440"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PRICING SCHEDULE</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PPLICABLE</w:t>
            </w:r>
            <w:r>
              <w:rPr>
                <w:rFonts w:ascii="Arial" w:cs="Arial" w:eastAsia="Arial" w:hAnsi="Arial"/>
                <w:sz w:val="14"/>
                <w:szCs w:val="14"/>
                <w:b w:val="1"/>
                <w:bCs w:val="1"/>
                <w:color w:val="auto"/>
              </w:rPr>
              <w:t xml:space="preserve"> M</w:t>
            </w:r>
            <w:r>
              <w:rPr>
                <w:rFonts w:ascii="Arial" w:cs="Arial" w:eastAsia="Arial" w:hAnsi="Arial"/>
                <w:sz w:val="11"/>
                <w:szCs w:val="11"/>
                <w:b w:val="1"/>
                <w:bCs w:val="1"/>
                <w:color w:val="auto"/>
              </w:rPr>
              <w:t>ARGIN</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I</w:t>
            </w: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II</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III</w:t>
            </w:r>
          </w:p>
        </w:tc>
        <w:tc>
          <w:tcPr>
            <w:tcW w:w="0" w:type="dxa"/>
            <w:vAlign w:val="bottom"/>
          </w:tcPr>
          <w:p>
            <w:pPr>
              <w:spacing w:after="0"/>
              <w:rPr>
                <w:sz w:val="1"/>
                <w:szCs w:val="1"/>
                <w:color w:val="auto"/>
              </w:rPr>
            </w:pPr>
          </w:p>
        </w:tc>
      </w:tr>
      <w:tr>
        <w:trPr>
          <w:trHeight w:val="158"/>
        </w:trPr>
        <w:tc>
          <w:tcPr>
            <w:tcW w:w="6320" w:type="dxa"/>
            <w:vAlign w:val="bottom"/>
            <w:gridSpan w:val="3"/>
            <w:vMerge w:val="continue"/>
          </w:tcPr>
          <w:p>
            <w:pPr>
              <w:spacing w:after="0"/>
              <w:rPr>
                <w:sz w:val="13"/>
                <w:szCs w:val="13"/>
                <w:color w:val="auto"/>
              </w:rPr>
            </w:pPr>
          </w:p>
        </w:tc>
        <w:tc>
          <w:tcPr>
            <w:tcW w:w="11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TATUS</w:t>
            </w:r>
          </w:p>
        </w:tc>
        <w:tc>
          <w:tcPr>
            <w:tcW w:w="124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TATUS</w:t>
            </w:r>
          </w:p>
        </w:tc>
        <w:tc>
          <w:tcPr>
            <w:tcW w:w="8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TATUS</w:t>
            </w: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shd w:val="clear" w:color="auto" w:fill="000000"/>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i w:val="1"/>
                <w:iCs w:val="1"/>
                <w:color w:val="auto"/>
              </w:rPr>
              <w:t>Eurocurrency Rate</w:t>
            </w:r>
          </w:p>
        </w:tc>
        <w:tc>
          <w:tcPr>
            <w:tcW w:w="118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i w:val="1"/>
                <w:iCs w:val="1"/>
                <w:color w:val="auto"/>
              </w:rPr>
              <w:t>1.125%</w:t>
            </w:r>
          </w:p>
        </w:tc>
        <w:tc>
          <w:tcPr>
            <w:tcW w:w="124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i w:val="1"/>
                <w:iCs w:val="1"/>
                <w:color w:val="auto"/>
              </w:rPr>
              <w:t>1.25%</w:t>
            </w: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i w:val="1"/>
                <w:iCs w:val="1"/>
                <w:color w:val="auto"/>
              </w:rPr>
              <w:t>1.50%</w:t>
            </w:r>
          </w:p>
        </w:tc>
        <w:tc>
          <w:tcPr>
            <w:tcW w:w="0" w:type="dxa"/>
            <w:vAlign w:val="bottom"/>
          </w:tcPr>
          <w:p>
            <w:pPr>
              <w:spacing w:after="0"/>
              <w:rPr>
                <w:sz w:val="1"/>
                <w:szCs w:val="1"/>
                <w:color w:val="auto"/>
              </w:rPr>
            </w:pPr>
          </w:p>
        </w:tc>
      </w:tr>
      <w:tr>
        <w:trPr>
          <w:trHeight w:val="230"/>
        </w:trPr>
        <w:tc>
          <w:tcPr>
            <w:tcW w:w="6320" w:type="dxa"/>
            <w:vAlign w:val="bottom"/>
            <w:gridSpan w:val="3"/>
          </w:tcPr>
          <w:p>
            <w:pPr>
              <w:spacing w:after="0"/>
              <w:rPr>
                <w:sz w:val="20"/>
                <w:szCs w:val="20"/>
                <w:color w:val="auto"/>
              </w:rPr>
            </w:pPr>
            <w:r>
              <w:rPr>
                <w:rFonts w:ascii="Arial" w:cs="Arial" w:eastAsia="Arial" w:hAnsi="Arial"/>
                <w:sz w:val="18"/>
                <w:szCs w:val="18"/>
                <w:i w:val="1"/>
                <w:iCs w:val="1"/>
                <w:color w:val="auto"/>
              </w:rPr>
              <w:t>Base Rate</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auto"/>
              </w:rPr>
              <w:t>0.125%</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auto"/>
              </w:rPr>
              <w:t>0.25%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0.50%</w:t>
            </w:r>
          </w:p>
        </w:tc>
        <w:tc>
          <w:tcPr>
            <w:tcW w:w="0" w:type="dxa"/>
            <w:vAlign w:val="bottom"/>
          </w:tcPr>
          <w:p>
            <w:pPr>
              <w:spacing w:after="0"/>
              <w:rPr>
                <w:sz w:val="1"/>
                <w:szCs w:val="1"/>
                <w:color w:val="auto"/>
              </w:rPr>
            </w:pPr>
          </w:p>
        </w:tc>
      </w:tr>
      <w:tr>
        <w:trPr>
          <w:trHeight w:val="328"/>
        </w:trPr>
        <w:tc>
          <w:tcPr>
            <w:tcW w:w="6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PPLICABLE</w:t>
            </w:r>
            <w:r>
              <w:rPr>
                <w:rFonts w:ascii="Arial" w:cs="Arial" w:eastAsia="Arial" w:hAnsi="Arial"/>
                <w:sz w:val="14"/>
                <w:szCs w:val="14"/>
                <w:b w:val="1"/>
                <w:bCs w:val="1"/>
                <w:color w:val="auto"/>
              </w:rPr>
              <w:t xml:space="preserve"> F</w:t>
            </w:r>
            <w:r>
              <w:rPr>
                <w:rFonts w:ascii="Arial" w:cs="Arial" w:eastAsia="Arial" w:hAnsi="Arial"/>
                <w:sz w:val="11"/>
                <w:szCs w:val="11"/>
                <w:b w:val="1"/>
                <w:bCs w:val="1"/>
                <w:color w:val="auto"/>
              </w:rPr>
              <w:t>EE</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ATE</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I</w:t>
            </w: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II</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III</w:t>
            </w:r>
          </w:p>
        </w:tc>
        <w:tc>
          <w:tcPr>
            <w:tcW w:w="0" w:type="dxa"/>
            <w:vAlign w:val="bottom"/>
          </w:tcPr>
          <w:p>
            <w:pPr>
              <w:spacing w:after="0"/>
              <w:rPr>
                <w:sz w:val="1"/>
                <w:szCs w:val="1"/>
                <w:color w:val="auto"/>
              </w:rPr>
            </w:pPr>
          </w:p>
        </w:tc>
      </w:tr>
      <w:tr>
        <w:trPr>
          <w:trHeight w:val="158"/>
        </w:trPr>
        <w:tc>
          <w:tcPr>
            <w:tcW w:w="6320" w:type="dxa"/>
            <w:vAlign w:val="bottom"/>
            <w:gridSpan w:val="3"/>
            <w:vMerge w:val="continue"/>
          </w:tcPr>
          <w:p>
            <w:pPr>
              <w:spacing w:after="0"/>
              <w:rPr>
                <w:sz w:val="13"/>
                <w:szCs w:val="13"/>
                <w:color w:val="auto"/>
              </w:rPr>
            </w:pPr>
          </w:p>
        </w:tc>
        <w:tc>
          <w:tcPr>
            <w:tcW w:w="11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TATUS</w:t>
            </w:r>
          </w:p>
        </w:tc>
        <w:tc>
          <w:tcPr>
            <w:tcW w:w="124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TATUS</w:t>
            </w:r>
          </w:p>
        </w:tc>
        <w:tc>
          <w:tcPr>
            <w:tcW w:w="8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TATUS</w:t>
            </w: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gridSpan w:val="2"/>
            <w:vMerge w:val="restart"/>
            <w:shd w:val="clear" w:color="auto" w:fill="CCEEFF"/>
          </w:tcPr>
          <w:p>
            <w:pPr>
              <w:spacing w:after="0"/>
              <w:rPr>
                <w:sz w:val="20"/>
                <w:szCs w:val="20"/>
                <w:color w:val="auto"/>
              </w:rPr>
            </w:pPr>
            <w:r>
              <w:rPr>
                <w:rFonts w:ascii="Arial" w:cs="Arial" w:eastAsia="Arial" w:hAnsi="Arial"/>
                <w:sz w:val="18"/>
                <w:szCs w:val="18"/>
                <w:i w:val="1"/>
                <w:iCs w:val="1"/>
                <w:color w:val="auto"/>
              </w:rPr>
              <w:t>Commitment Fee</w:t>
            </w:r>
          </w:p>
        </w:tc>
        <w:tc>
          <w:tcPr>
            <w:tcW w:w="48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gridSpan w:val="2"/>
            <w:vMerge w:val="continue"/>
            <w:shd w:val="clear" w:color="auto" w:fill="CCEEFF"/>
          </w:tcPr>
          <w:p>
            <w:pPr>
              <w:spacing w:after="0"/>
              <w:rPr>
                <w:sz w:val="17"/>
                <w:szCs w:val="17"/>
                <w:color w:val="auto"/>
              </w:rPr>
            </w:pPr>
          </w:p>
        </w:tc>
        <w:tc>
          <w:tcPr>
            <w:tcW w:w="488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i w:val="1"/>
                <w:iCs w:val="1"/>
                <w:color w:val="auto"/>
              </w:rPr>
              <w:t>0.25%</w:t>
            </w:r>
          </w:p>
        </w:tc>
        <w:tc>
          <w:tcPr>
            <w:tcW w:w="124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i w:val="1"/>
                <w:iCs w:val="1"/>
                <w:color w:val="auto"/>
              </w:rPr>
              <w:t>0.25%</w:t>
            </w: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i w:val="1"/>
                <w:iCs w:val="1"/>
                <w:color w:val="auto"/>
              </w:rPr>
              <w:t>0.30%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Schedule, the following terms have the following meanings, subject to the final paragraph of this Schedule: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“Financials” means the annual or quarterly financial statements of the Borrower delivered pursuant to Section 6.1(a) or (b).</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“Level I Status” exists at any date if, as of the last day of the Fiscal Quarter referred to in the most recent Financials, the Total Cash Flow Leverage Ratio as of the last day of any Fiscal Quarter for the four consecutive Fiscal Quarters ending on that date is less than 1.00 to 1.00.</w:t>
      </w:r>
    </w:p>
    <w:p>
      <w:pPr>
        <w:spacing w:after="0" w:line="14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“Level II Status” exists at any date if, as of the last day of the Fiscal Quarter referred to in the most recent Financials, (i) the Borrower has not qualified for Level I Status and (ii) the Total Cash Flow Leverage Ratio for the four consecutive Fiscal Quarters ending on that date is less than 2.00 to 1.00.</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Status” exists at any date if the Borrower has not qualified for Level I Status or Level II Status.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“Status” means either Level I Status, Level II Status or Level III Status.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Applicable Margin and Applicable Fee Rate shall be determined in accordance with the foregoing table based on the Borrower’s Status as reflected in the then most recent Compliance Certificate based on the related Financials. Adjustments, if any, to the Applicable Margin or Applicable Fee Rate shall be effective from and after the fifth day after such Compliance Certificate is delivered until the fifth day immediately following the next such date on which any subsequent Compliance Certificate is delivered. If the Borrower fails to deliver the Compliance Certificate based on the related Financials to the Administrative Agent at the time required pursuant to Section 6.1, then the Applicable Margin and Applicable Fee Rate shall be the highest Applicable Margin and Applicable Fee Rate set forth in the foregoing table until five (5) days after such Compliance Certificate based on the related Financials are so delivered.</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lowerLetter"/>
      <w:start w:val="1"/>
    </w:lvl>
  </w:abstractNum>
  <w:abstractNum w:abstractNumId="2">
    <w:nsid w:val="2A487CB0"/>
    <w:multiLevelType w:val="hybridMultilevel"/>
    <w:lvl w:ilvl="0">
      <w:lvlJc w:val="left"/>
      <w:lvlText w:val="(%1)"/>
      <w:numFmt w:val="lowerLetter"/>
      <w:start w:val="2"/>
    </w:lvl>
  </w:abstractNum>
  <w:abstractNum w:abstractNumId="3">
    <w:nsid w:val="1D4ED43B"/>
    <w:multiLevelType w:val="hybridMultilevel"/>
    <w:lvl w:ilvl="0">
      <w:lvlJc w:val="left"/>
      <w:lvlText w:val="(%1)"/>
      <w:numFmt w:val="lowerLetter"/>
      <w:start w:val="4"/>
    </w:lvl>
  </w:abstractNum>
  <w:abstractNum w:abstractNumId="4">
    <w:nsid w:val="725A06FB"/>
    <w:multiLevelType w:val="hybridMultilevel"/>
    <w:lvl w:ilvl="0">
      <w:lvlJc w:val="left"/>
      <w:lvlText w:val="(%1)"/>
      <w:numFmt w:val="lowerRoman"/>
      <w:start w:val="2"/>
    </w:lvl>
  </w:abstractNum>
  <w:abstractNum w:abstractNumId="5">
    <w:nsid w:val="2CD89A32"/>
    <w:multiLevelType w:val="hybridMultilevel"/>
    <w:lvl w:ilvl="0">
      <w:lvlJc w:val="left"/>
      <w:lvlText w:val="(%1)"/>
      <w:numFmt w:val="lowerLetter"/>
      <w:start w:val="4"/>
    </w:lvl>
  </w:abstractNum>
  <w:abstractNum w:abstractNumId="6">
    <w:nsid w:val="57E4CCAF"/>
    <w:multiLevelType w:val="hybridMultilevel"/>
    <w:lvl w:ilvl="0">
      <w:lvlJc w:val="left"/>
      <w:lvlText w:val="(%1)"/>
      <w:numFmt w:val="lowerLetter"/>
      <w:start w:val="4"/>
    </w:lvl>
  </w:abstractNum>
  <w:abstractNum w:abstractNumId="7">
    <w:nsid w:val="7A6D8D3C"/>
    <w:multiLevelType w:val="hybridMultilevel"/>
    <w:lvl w:ilvl="0">
      <w:lvlJc w:val="left"/>
      <w:lvlText w:val="(%1)"/>
      <w:numFmt w:val="lowerLetter"/>
      <w:start w:val="5"/>
    </w:lvl>
  </w:abstractNum>
  <w:abstractNum w:abstractNumId="8">
    <w:nsid w:val="4B588F54"/>
    <w:multiLevelType w:val="hybridMultilevel"/>
    <w:lvl w:ilvl="0">
      <w:lvlJc w:val="left"/>
      <w:lvlText w:val="(%1)"/>
      <w:numFmt w:val="lowerLetter"/>
      <w:start w:val="25"/>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1)"/>
      <w:numFmt w:val="lowerLetter"/>
      <w:start w:val="2"/>
    </w:lvl>
  </w:abstractNum>
  <w:abstractNum w:abstractNumId="11">
    <w:nsid w:val="38437FDB"/>
    <w:multiLevelType w:val="hybridMultilevel"/>
    <w:lvl w:ilvl="0">
      <w:lvlJc w:val="left"/>
      <w:lvlText w:val="(%1)"/>
      <w:numFmt w:val="lowerLetter"/>
      <w:start w:val="1"/>
    </w:lvl>
  </w:abstractNum>
  <w:abstractNum w:abstractNumId="12">
    <w:nsid w:val="7644A45C"/>
    <w:multiLevelType w:val="hybridMultilevel"/>
    <w:lvl w:ilvl="0">
      <w:lvlJc w:val="left"/>
      <w:lvlText w:val="(%1)"/>
      <w:numFmt w:val="lowerLetter"/>
      <w:start w:val="2"/>
    </w:lvl>
  </w:abstractNum>
  <w:abstractNum w:abstractNumId="13">
    <w:nsid w:val="32FFF902"/>
    <w:multiLevelType w:val="hybridMultilevel"/>
    <w:lvl w:ilvl="0">
      <w:lvlJc w:val="left"/>
      <w:lvlText w:val="(%1)"/>
      <w:numFmt w:val="lowerLetter"/>
      <w:start w:val="2"/>
    </w:lvl>
  </w:abstractNum>
  <w:abstractNum w:abstractNumId="14">
    <w:nsid w:val="684A481A"/>
    <w:multiLevelType w:val="hybridMultilevel"/>
    <w:lvl w:ilvl="0">
      <w:lvlJc w:val="left"/>
      <w:lvlText w:val="(%1)"/>
      <w:numFmt w:val="lowerRoman"/>
      <w:start w:val="1"/>
    </w:lvl>
  </w:abstractNum>
  <w:abstractNum w:abstractNumId="15">
    <w:nsid w:val="579478FE"/>
    <w:multiLevelType w:val="hybridMultilevel"/>
    <w:lvl w:ilvl="0">
      <w:lvlJc w:val="left"/>
      <w:lvlText w:val="(%1)"/>
      <w:numFmt w:val="lowerRoman"/>
      <w:start w:val="3"/>
    </w:lvl>
  </w:abstractNum>
  <w:abstractNum w:abstractNumId="16">
    <w:nsid w:val="749ABB43"/>
    <w:multiLevelType w:val="hybridMultilevel"/>
    <w:lvl w:ilvl="0">
      <w:lvlJc w:val="left"/>
      <w:lvlText w:val="(%1)"/>
      <w:numFmt w:val="lowerLetter"/>
      <w:start w:val="1"/>
    </w:lvl>
  </w:abstractNum>
  <w:abstractNum w:abstractNumId="17">
    <w:nsid w:val="3DC240FB"/>
    <w:multiLevelType w:val="hybridMultilevel"/>
    <w:lvl w:ilvl="0">
      <w:lvlJc w:val="left"/>
      <w:lvlText w:val="%1"/>
      <w:numFmt w:val="lowerLetter"/>
      <w:start w:val="1"/>
    </w:lvl>
    <w:lvl w:ilvl="1">
      <w:lvlJc w:val="left"/>
      <w:lvlText w:val="(%2)"/>
      <w:numFmt w:val="lowerLetter"/>
      <w:start w:val="3"/>
    </w:lvl>
  </w:abstractNum>
  <w:abstractNum w:abstractNumId="18">
    <w:nsid w:val="1BA026FA"/>
    <w:multiLevelType w:val="hybridMultilevel"/>
    <w:lvl w:ilvl="0">
      <w:lvlJc w:val="left"/>
      <w:lvlText w:val="(%1)"/>
      <w:numFmt w:val="lowerLetter"/>
      <w:start w:val="61"/>
    </w:lvl>
    <w:lvl w:ilvl="1">
      <w:lvlJc w:val="left"/>
      <w:lvlText w:val="(%2)"/>
      <w:numFmt w:val="lowerLetter"/>
      <w:start w:val="5"/>
    </w:lvl>
  </w:abstractNum>
  <w:abstractNum w:abstractNumId="19">
    <w:nsid w:val="79A1DEAA"/>
    <w:multiLevelType w:val="hybridMultilevel"/>
    <w:lvl w:ilvl="0">
      <w:lvlJc w:val="left"/>
      <w:lvlText w:val="(%1)"/>
      <w:numFmt w:val="lowerLetter"/>
      <w:start w:val="1"/>
    </w:lvl>
  </w:abstractNum>
  <w:abstractNum w:abstractNumId="20">
    <w:nsid w:val="75C6C33A"/>
    <w:multiLevelType w:val="hybridMultilevel"/>
    <w:lvl w:ilvl="0">
      <w:lvlJc w:val="left"/>
      <w:lvlText w:val="(%1)"/>
      <w:numFmt w:val="lowerLetter"/>
      <w:start w:val="1"/>
    </w:lvl>
  </w:abstractNum>
  <w:abstractNum w:abstractNumId="21">
    <w:nsid w:val="12E685FB"/>
    <w:multiLevelType w:val="hybridMultilevel"/>
    <w:lvl w:ilvl="0">
      <w:lvlJc w:val="left"/>
      <w:lvlText w:val="%1"/>
      <w:numFmt w:val="lowerRoman"/>
      <w:start w:val="1"/>
    </w:lvl>
    <w:lvl w:ilvl="1">
      <w:lvlJc w:val="left"/>
      <w:lvlText w:val="(%2)"/>
      <w:numFmt w:val="lowerLetter"/>
      <w:start w:val="1"/>
    </w:lvl>
  </w:abstractNum>
  <w:abstractNum w:abstractNumId="22">
    <w:nsid w:val="70C6A529"/>
    <w:multiLevelType w:val="hybridMultilevel"/>
    <w:lvl w:ilvl="0">
      <w:lvlJc w:val="left"/>
      <w:lvlText w:val="(%1)"/>
      <w:numFmt w:val="lowerRoman"/>
      <w:start w:val="4"/>
    </w:lvl>
    <w:lvl w:ilvl="1">
      <w:lvlJc w:val="left"/>
      <w:lvlText w:val="(%2)"/>
      <w:numFmt w:val="lowerLetter"/>
      <w:start w:val="3"/>
    </w:lvl>
  </w:abstractNum>
  <w:abstractNum w:abstractNumId="23">
    <w:nsid w:val="520EEDD1"/>
    <w:multiLevelType w:val="hybridMultilevel"/>
    <w:lvl w:ilvl="0">
      <w:lvlJc w:val="left"/>
      <w:lvlText w:val="%1"/>
      <w:numFmt w:val="lowerLetter"/>
      <w:start w:val="1"/>
    </w:lvl>
    <w:lvl w:ilvl="1">
      <w:lvlJc w:val="left"/>
      <w:lvlText w:val="(%2)"/>
      <w:numFmt w:val="lowerLetter"/>
      <w:start w:val="4"/>
    </w:lvl>
  </w:abstractNum>
  <w:abstractNum w:abstractNumId="24">
    <w:nsid w:val="374A3FE6"/>
    <w:multiLevelType w:val="hybridMultilevel"/>
    <w:lvl w:ilvl="0">
      <w:lvlJc w:val="left"/>
      <w:lvlText w:val="(%1)"/>
      <w:numFmt w:val="lowerLetter"/>
      <w:start w:val="35"/>
    </w:lvl>
    <w:lvl w:ilvl="1">
      <w:lvlJc w:val="left"/>
      <w:lvlText w:val="%2"/>
      <w:numFmt w:val="lowerLetter"/>
      <w:start w:val="1"/>
    </w:lvl>
  </w:abstractNum>
  <w:abstractNum w:abstractNumId="25">
    <w:nsid w:val="4F4EF005"/>
    <w:multiLevelType w:val="hybridMultilevel"/>
    <w:lvl w:ilvl="0">
      <w:lvlJc w:val="left"/>
      <w:lvlText w:val="(%1)"/>
      <w:numFmt w:val="upperLetter"/>
      <w:start w:val="1"/>
    </w:lvl>
  </w:abstractNum>
  <w:abstractNum w:abstractNumId="26">
    <w:nsid w:val="23F9C13C"/>
    <w:multiLevelType w:val="hybridMultilevel"/>
    <w:lvl w:ilvl="0">
      <w:lvlJc w:val="left"/>
      <w:lvlText w:val="(%1)"/>
      <w:numFmt w:val="lowerLetter"/>
      <w:start w:val="1"/>
    </w:lvl>
  </w:abstractNum>
  <w:abstractNum w:abstractNumId="27">
    <w:nsid w:val="649BB77C"/>
    <w:multiLevelType w:val="hybridMultilevel"/>
    <w:lvl w:ilvl="0">
      <w:lvlJc w:val="left"/>
      <w:lvlText w:val="(%1)"/>
      <w:numFmt w:val="lowerRoman"/>
      <w:start w:val="1"/>
    </w:lvl>
  </w:abstractNum>
  <w:abstractNum w:abstractNumId="28">
    <w:nsid w:val="275AC794"/>
    <w:multiLevelType w:val="hybridMultilevel"/>
    <w:lvl w:ilvl="0">
      <w:lvlJc w:val="left"/>
      <w:lvlText w:val="(%1)"/>
      <w:numFmt w:val="lowerLetter"/>
      <w:start w:val="1"/>
    </w:lvl>
  </w:abstractNum>
  <w:abstractNum w:abstractNumId="29">
    <w:nsid w:val="39386575"/>
    <w:multiLevelType w:val="hybridMultilevel"/>
    <w:lvl w:ilvl="0">
      <w:lvlJc w:val="left"/>
      <w:lvlText w:val="(%1)"/>
      <w:numFmt w:val="lowerLetter"/>
      <w:start w:val="1"/>
    </w:lvl>
    <w:lvl w:ilvl="1">
      <w:lvlJc w:val="left"/>
      <w:lvlText w:val="(%2)"/>
      <w:numFmt w:val="lowerRoman"/>
      <w:start w:val="1"/>
    </w:lvl>
  </w:abstractNum>
  <w:abstractNum w:abstractNumId="30">
    <w:nsid w:val="1CF10FD8"/>
    <w:multiLevelType w:val="hybridMultilevel"/>
    <w:lvl w:ilvl="0">
      <w:lvlJc w:val="left"/>
      <w:lvlText w:val="(%1)"/>
      <w:numFmt w:val="lowerRoman"/>
      <w:start w:val="3"/>
    </w:lvl>
    <w:lvl w:ilvl="1">
      <w:lvlJc w:val="left"/>
      <w:lvlText w:val="(%2)"/>
      <w:numFmt w:val="upperLetter"/>
      <w:start w:val="1"/>
    </w:lvl>
  </w:abstractNum>
  <w:abstractNum w:abstractNumId="31">
    <w:nsid w:val="180115BE"/>
    <w:multiLevelType w:val="hybridMultilevel"/>
    <w:lvl w:ilvl="0">
      <w:lvlJc w:val="left"/>
      <w:lvlText w:val="(%1)"/>
      <w:numFmt w:val="lowerLetter"/>
      <w:start w:val="2"/>
    </w:lvl>
  </w:abstractNum>
  <w:abstractNum w:abstractNumId="32">
    <w:nsid w:val="235BA861"/>
    <w:multiLevelType w:val="hybridMultilevel"/>
    <w:lvl w:ilvl="0">
      <w:lvlJc w:val="left"/>
      <w:lvlText w:val="(%1)"/>
      <w:numFmt w:val="lowerLetter"/>
      <w:start w:val="1"/>
    </w:lvl>
  </w:abstractNum>
  <w:abstractNum w:abstractNumId="33">
    <w:nsid w:val="47398C89"/>
    <w:multiLevelType w:val="hybridMultilevel"/>
    <w:lvl w:ilvl="0">
      <w:lvlJc w:val="left"/>
      <w:lvlText w:val="(%1)"/>
      <w:numFmt w:val="lowerLetter"/>
      <w:start w:val="2"/>
    </w:lvl>
  </w:abstractNum>
  <w:abstractNum w:abstractNumId="34">
    <w:nsid w:val="354FE9F9"/>
    <w:multiLevelType w:val="hybridMultilevel"/>
    <w:lvl w:ilvl="0">
      <w:lvlJc w:val="left"/>
      <w:lvlText w:val="%1"/>
      <w:numFmt w:val="upperLetter"/>
      <w:start w:val="1"/>
    </w:lvl>
    <w:lvl w:ilvl="1">
      <w:lvlJc w:val="left"/>
      <w:lvlText w:val="(%2)"/>
      <w:numFmt w:val="lowerLetter"/>
      <w:start w:val="1"/>
    </w:lvl>
  </w:abstractNum>
  <w:abstractNum w:abstractNumId="35">
    <w:nsid w:val="15B5AF5C"/>
    <w:multiLevelType w:val="hybridMultilevel"/>
    <w:lvl w:ilvl="0">
      <w:lvlJc w:val="left"/>
      <w:lvlText w:val="(%1)"/>
      <w:numFmt w:val="upperLetter"/>
      <w:start w:val="1"/>
    </w:lvl>
    <w:lvl w:ilvl="1">
      <w:lvlJc w:val="left"/>
      <w:lvlText w:val="(%2)"/>
      <w:numFmt w:val="lowerLetter"/>
      <w:start w:val="2"/>
    </w:lvl>
  </w:abstractNum>
  <w:abstractNum w:abstractNumId="36">
    <w:nsid w:val="741226BB"/>
    <w:multiLevelType w:val="hybridMultilevel"/>
    <w:lvl w:ilvl="0">
      <w:lvlJc w:val="left"/>
      <w:lvlText w:val="(%1)"/>
      <w:numFmt w:val="lowerLetter"/>
      <w:start w:val="1"/>
    </w:lvl>
  </w:abstractNum>
  <w:abstractNum w:abstractNumId="37">
    <w:nsid w:val="D34B6A8"/>
    <w:multiLevelType w:val="hybridMultilevel"/>
    <w:lvl w:ilvl="0">
      <w:lvlJc w:val="left"/>
      <w:lvlText w:val="(%1)"/>
      <w:numFmt w:val="lowerLetter"/>
      <w:start w:val="2"/>
    </w:lvl>
  </w:abstractNum>
  <w:abstractNum w:abstractNumId="38">
    <w:nsid w:val="10233C99"/>
    <w:multiLevelType w:val="hybridMultilevel"/>
    <w:lvl w:ilvl="0">
      <w:lvlJc w:val="left"/>
      <w:lvlText w:val="(%1)"/>
      <w:numFmt w:val="lowerLetter"/>
      <w:start w:val="1"/>
    </w:lvl>
  </w:abstractNum>
  <w:abstractNum w:abstractNumId="39">
    <w:nsid w:val="3F6AB60F"/>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40">
    <w:nsid w:val="61574095"/>
    <w:multiLevelType w:val="hybridMultilevel"/>
    <w:lvl w:ilvl="0">
      <w:lvlJc w:val="left"/>
      <w:lvlText w:val="(%1)"/>
      <w:numFmt w:val="lowerLetter"/>
      <w:start w:val="9"/>
    </w:lvl>
    <w:lvl w:ilvl="1">
      <w:lvlJc w:val="left"/>
      <w:lvlText w:val="(%2)"/>
      <w:numFmt w:val="lowerLetter"/>
      <w:start w:val="6"/>
    </w:lvl>
    <w:lvl w:ilvl="2">
      <w:lvlJc w:val="left"/>
      <w:lvlText w:val="(%3)"/>
      <w:numFmt w:val="lowerLetter"/>
      <w:start w:val="9"/>
    </w:lvl>
  </w:abstractNum>
  <w:abstractNum w:abstractNumId="41">
    <w:nsid w:val="7E0C57B1"/>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42">
    <w:nsid w:val="77AE35EB"/>
    <w:multiLevelType w:val="hybridMultilevel"/>
    <w:lvl w:ilvl="0">
      <w:lvlJc w:val="left"/>
      <w:lvlText w:val="(%1)"/>
      <w:numFmt w:val="upperLetter"/>
      <w:start w:val="3"/>
    </w:lvl>
  </w:abstractNum>
  <w:abstractNum w:abstractNumId="43">
    <w:nsid w:val="579BE4F1"/>
    <w:multiLevelType w:val="hybridMultilevel"/>
    <w:lvl w:ilvl="0">
      <w:lvlJc w:val="left"/>
      <w:lvlText w:val="(%1)"/>
      <w:numFmt w:val="lowerLetter"/>
      <w:start w:val="8"/>
    </w:lvl>
  </w:abstractNum>
  <w:abstractNum w:abstractNumId="44">
    <w:nsid w:val="310C50B3"/>
    <w:multiLevelType w:val="hybridMultilevel"/>
    <w:lvl w:ilvl="0">
      <w:lvlJc w:val="left"/>
      <w:lvlText w:val="(%1)"/>
      <w:numFmt w:val="lowerRoman"/>
      <w:start w:val="1"/>
    </w:lvl>
  </w:abstractNum>
  <w:abstractNum w:abstractNumId="45">
    <w:nsid w:val="5FF87E05"/>
    <w:multiLevelType w:val="hybridMultilevel"/>
    <w:lvl w:ilvl="0">
      <w:lvlJc w:val="left"/>
      <w:lvlText w:val="(%1)"/>
      <w:numFmt w:val="lowerLetter"/>
      <w:start w:val="1"/>
    </w:lvl>
    <w:lvl w:ilvl="1">
      <w:lvlJc w:val="left"/>
      <w:lvlText w:val="(%2)"/>
      <w:numFmt w:val="upperLetter"/>
      <w:start w:val="1"/>
    </w:lvl>
  </w:abstractNum>
  <w:abstractNum w:abstractNumId="46">
    <w:nsid w:val="2F305DEF"/>
    <w:multiLevelType w:val="hybridMultilevel"/>
    <w:lvl w:ilvl="0">
      <w:lvlJc w:val="left"/>
      <w:lvlText w:val="(%1)"/>
      <w:numFmt w:val="lowerLetter"/>
      <w:start w:val="7"/>
    </w:lvl>
    <w:lvl w:ilvl="1">
      <w:lvlJc w:val="left"/>
      <w:lvlText w:val="(%2)"/>
      <w:numFmt w:val="upperLetter"/>
      <w:start w:val="1"/>
    </w:lvl>
  </w:abstractNum>
  <w:abstractNum w:abstractNumId="47">
    <w:nsid w:val="25A70BF7"/>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48">
    <w:nsid w:val="1DBABF0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49">
    <w:nsid w:val="4AD084E9"/>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4"/>
    </w:lvl>
  </w:abstractNum>
  <w:abstractNum w:abstractNumId="50">
    <w:nsid w:val="1F48EAA1"/>
    <w:multiLevelType w:val="hybridMultilevel"/>
    <w:lvl w:ilvl="0">
      <w:lvlJc w:val="left"/>
      <w:lvlText w:val="%1"/>
      <w:numFmt w:val="lowerRoman"/>
      <w:start w:val="1"/>
    </w:lvl>
    <w:lvl w:ilvl="1">
      <w:lvlJc w:val="left"/>
      <w:lvlText w:val="(%2)"/>
      <w:numFmt w:val="lowerLetter"/>
      <w:start w:val="13"/>
    </w:lvl>
    <w:lvl w:ilvl="2">
      <w:lvlJc w:val="left"/>
      <w:lvlText w:val="%3"/>
      <w:numFmt w:val="upperLetter"/>
      <w:start w:val="1"/>
    </w:lvl>
  </w:abstractNum>
  <w:abstractNum w:abstractNumId="51">
    <w:nsid w:val="1381823A"/>
    <w:multiLevelType w:val="hybridMultilevel"/>
    <w:lvl w:ilvl="0">
      <w:lvlJc w:val="left"/>
      <w:lvlText w:val="(%1)"/>
      <w:numFmt w:val="lowerRoman"/>
      <w:start w:val="4"/>
    </w:lvl>
    <w:lvl w:ilvl="1">
      <w:lvlJc w:val="left"/>
      <w:lvlText w:val="(%2)"/>
      <w:numFmt w:val="lowerLetter"/>
      <w:start w:val="16"/>
    </w:lvl>
    <w:lvl w:ilvl="2">
      <w:lvlJc w:val="left"/>
      <w:lvlText w:val="%3"/>
      <w:numFmt w:val="upperLetter"/>
      <w:start w:val="1"/>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lowerLetter"/>
      <w:start w:val="1"/>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1)"/>
      <w:numFmt w:val="lowerLetter"/>
      <w:start w:val="1"/>
    </w:lvl>
  </w:abstractNum>
  <w:abstractNum w:abstractNumId="56">
    <w:nsid w:val="5F5E7FD0"/>
    <w:multiLevelType w:val="hybridMultilevel"/>
    <w:lvl w:ilvl="0">
      <w:lvlJc w:val="left"/>
      <w:lvlText w:val="(%1)"/>
      <w:numFmt w:val="lowerLetter"/>
      <w:start w:val="5"/>
    </w:lvl>
  </w:abstractNum>
  <w:abstractNum w:abstractNumId="57">
    <w:nsid w:val="98A3148"/>
    <w:multiLevelType w:val="hybridMultilevel"/>
    <w:lvl w:ilvl="0">
      <w:lvlJc w:val="left"/>
      <w:lvlText w:val="(%1)"/>
      <w:numFmt w:val="lowerRoman"/>
      <w:start w:val="1"/>
    </w:lvl>
  </w:abstractNum>
  <w:abstractNum w:abstractNumId="58">
    <w:nsid w:val="799D0247"/>
    <w:multiLevelType w:val="hybridMultilevel"/>
    <w:lvl w:ilvl="0">
      <w:lvlJc w:val="left"/>
      <w:lvlText w:val="%1"/>
      <w:numFmt w:val="lowerLetter"/>
      <w:start w:val="1"/>
    </w:lvl>
    <w:lvl w:ilvl="1">
      <w:lvlJc w:val="left"/>
      <w:lvlText w:val="(%2)"/>
      <w:numFmt w:val="lowerLetter"/>
      <w:start w:val="1"/>
    </w:lvl>
  </w:abstractNum>
  <w:abstractNum w:abstractNumId="59">
    <w:nsid w:val="6B94764"/>
    <w:multiLevelType w:val="hybridMultilevel"/>
    <w:lvl w:ilvl="0">
      <w:lvlJc w:val="left"/>
      <w:lvlText w:val="(%1)"/>
      <w:numFmt w:val="lowerLetter"/>
      <w:start w:val="9"/>
    </w:lvl>
    <w:lvl w:ilvl="1">
      <w:lvlJc w:val="left"/>
      <w:lvlText w:val="(%2)"/>
      <w:numFmt w:val="lowerLetter"/>
      <w:start w:val="5"/>
    </w:lvl>
  </w:abstractNum>
  <w:abstractNum w:abstractNumId="60">
    <w:nsid w:val="42C296BD"/>
    <w:multiLevelType w:val="hybridMultilevel"/>
    <w:lvl w:ilvl="0">
      <w:lvlJc w:val="left"/>
      <w:lvlText w:val="(%1)"/>
      <w:numFmt w:val="lowerLetter"/>
      <w:start w:val="6"/>
    </w:lvl>
  </w:abstractNum>
  <w:abstractNum w:abstractNumId="61">
    <w:nsid w:val="168E121F"/>
    <w:multiLevelType w:val="hybridMultilevel"/>
    <w:lvl w:ilvl="0">
      <w:lvlJc w:val="left"/>
      <w:lvlText w:val="(%1)"/>
      <w:numFmt w:val="lowerRoman"/>
      <w:start w:val="2"/>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lowerLetter"/>
      <w:start w:val="1"/>
    </w:lvl>
    <w:lvl w:ilvl="1">
      <w:lvlJc w:val="left"/>
      <w:lvlText w:val="(%2)"/>
      <w:numFmt w:val="lowerLetter"/>
      <w:start w:val="6"/>
    </w:lvl>
  </w:abstractNum>
  <w:abstractNum w:abstractNumId="64">
    <w:nsid w:val="5DC79EA8"/>
    <w:multiLevelType w:val="hybridMultilevel"/>
    <w:lvl w:ilvl="0">
      <w:lvlJc w:val="left"/>
      <w:lvlText w:val="(%1)"/>
      <w:numFmt w:val="lowerLetter"/>
      <w:start w:val="1"/>
    </w:lvl>
    <w:lvl w:ilvl="1">
      <w:lvlJc w:val="left"/>
      <w:lvlText w:val="(%2)"/>
      <w:numFmt w:val="lowerLetter"/>
      <w:start w:val="7"/>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1)"/>
      <w:numFmt w:val="lowerLetter"/>
      <w:start w:val="13"/>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lowerLetter"/>
      <w:start w:val="9"/>
    </w:lvl>
  </w:abstractNum>
  <w:abstractNum w:abstractNumId="71">
    <w:nsid w:val="42963E5A"/>
    <w:multiLevelType w:val="hybridMultilevel"/>
    <w:lvl w:ilvl="0">
      <w:lvlJc w:val="left"/>
      <w:lvlText w:val="(%1)"/>
      <w:numFmt w:val="lowerLetter"/>
      <w:start w:val="1"/>
    </w:lvl>
  </w:abstractNum>
  <w:abstractNum w:abstractNumId="72">
    <w:nsid w:val="A0382C5"/>
    <w:multiLevelType w:val="hybridMultilevel"/>
    <w:lvl w:ilvl="0">
      <w:lvlJc w:val="left"/>
      <w:lvlText w:val="(%1)"/>
      <w:numFmt w:val="lowerLetter"/>
      <w:start w:val="1"/>
    </w:lvl>
  </w:abstractNum>
  <w:abstractNum w:abstractNumId="73">
    <w:nsid w:val="8F2B15E"/>
    <w:multiLevelType w:val="hybridMultilevel"/>
    <w:lvl w:ilvl="0">
      <w:lvlJc w:val="left"/>
      <w:lvlText w:val="(%1)"/>
      <w:numFmt w:val="lowerLetter"/>
      <w:start w:val="4"/>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lowerLetter"/>
      <w:start w:val="1"/>
    </w:lvl>
  </w:abstractNum>
  <w:abstractNum w:abstractNumId="76">
    <w:nsid w:val="68EB2F63"/>
    <w:multiLevelType w:val="hybridMultilevel"/>
    <w:lvl w:ilvl="0">
      <w:lvlJc w:val="left"/>
      <w:lvlText w:val="(%1)"/>
      <w:numFmt w:val="lowerLetter"/>
      <w:start w:val="2"/>
    </w:lvl>
  </w:abstractNum>
  <w:abstractNum w:abstractNumId="77">
    <w:nsid w:val="4962813B"/>
    <w:multiLevelType w:val="hybridMultilevel"/>
    <w:lvl w:ilvl="0">
      <w:lvlJc w:val="left"/>
      <w:lvlText w:val="(%1)"/>
      <w:numFmt w:val="lowerRoman"/>
      <w:start w:val="7"/>
    </w:lvl>
  </w:abstractNum>
  <w:abstractNum w:abstractNumId="78">
    <w:nsid w:val="60B6DF70"/>
    <w:multiLevelType w:val="hybridMultilevel"/>
    <w:lvl w:ilvl="0">
      <w:lvlJc w:val="left"/>
      <w:lvlText w:val="(%1)"/>
      <w:numFmt w:val="lowerLetter"/>
      <w:start w:val="5"/>
    </w:lvl>
  </w:abstractNum>
  <w:abstractNum w:abstractNumId="79">
    <w:nsid w:val="6A5EE64"/>
    <w:multiLevelType w:val="hybridMultilevel"/>
    <w:lvl w:ilvl="0">
      <w:lvlJc w:val="left"/>
      <w:lvlText w:val="(%1)"/>
      <w:numFmt w:val="lowerLetter"/>
      <w:start w:val="1"/>
    </w:lvl>
  </w:abstractNum>
  <w:abstractNum w:abstractNumId="80">
    <w:nsid w:val="14330624"/>
    <w:multiLevelType w:val="hybridMultilevel"/>
    <w:lvl w:ilvl="0">
      <w:lvlJc w:val="left"/>
      <w:lvlText w:val="(%1)"/>
      <w:numFmt w:val="lowerLetter"/>
      <w:start w:val="1"/>
    </w:lvl>
    <w:lvl w:ilvl="1">
      <w:lvlJc w:val="left"/>
      <w:lvlText w:val="(%2)"/>
      <w:numFmt w:val="lowerRoman"/>
      <w:start w:val="1"/>
    </w:lvl>
  </w:abstractNum>
  <w:abstractNum w:abstractNumId="81">
    <w:nsid w:val="7FFFCA11"/>
    <w:multiLevelType w:val="hybridMultilevel"/>
    <w:lvl w:ilvl="0">
      <w:lvlJc w:val="left"/>
      <w:lvlText w:val="(%1)"/>
      <w:numFmt w:val="lowerLetter"/>
      <w:start w:val="2"/>
    </w:lvl>
  </w:abstractNum>
  <w:abstractNum w:abstractNumId="82">
    <w:nsid w:val="1A27709E"/>
    <w:multiLevelType w:val="hybridMultilevel"/>
    <w:lvl w:ilvl="0">
      <w:lvlJc w:val="left"/>
      <w:lvlText w:val="(%1)"/>
      <w:numFmt w:val="lowerLetter"/>
      <w:start w:val="35"/>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2019-12-05T11:10:04Z</dcterms:created>
  <dcterms:modified xsi:type="dcterms:W3CDTF">2019-12-05T11:10:04Z</dcterms:modified>
</cp:coreProperties>
</file>