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8"/>
          <w:szCs w:val="18"/>
          <w:color w:val="auto"/>
        </w:rPr>
        <w:t>FORM 12b-25</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NOTIFICATION OF LATE FILING</w:t>
      </w:r>
    </w:p>
    <w:p>
      <w:pPr>
        <w:sectPr>
          <w:pgSz w:w="11900" w:h="16838" w:orient="portrait"/>
          <w:cols w:equalWidth="0" w:num="1">
            <w:col w:w="10139"/>
          </w:cols>
          <w:pgMar w:left="320" w:top="655"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0-7647</w:t>
      </w:r>
    </w:p>
    <w:p>
      <w:pPr>
        <w:spacing w:after="0" w:line="200" w:lineRule="exact"/>
        <w:rPr>
          <w:sz w:val="24"/>
          <w:szCs w:val="24"/>
          <w:color w:val="auto"/>
        </w:rPr>
      </w:pPr>
    </w:p>
    <w:p>
      <w:pPr>
        <w:sectPr>
          <w:pgSz w:w="11900" w:h="16838" w:orient="portrait"/>
          <w:cols w:equalWidth="0" w:num="2">
            <w:col w:w="2420" w:space="220"/>
            <w:col w:w="7499"/>
          </w:cols>
          <w:pgMar w:left="320" w:top="655" w:right="1440"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one)</w:t>
      </w:r>
    </w:p>
    <w:p>
      <w:pPr>
        <w:spacing w:after="0"/>
        <w:tabs>
          <w:tab w:leader="none" w:pos="620" w:val="left"/>
          <w:tab w:leader="none" w:pos="3980" w:val="left"/>
          <w:tab w:leader="none" w:pos="46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Form 10-K and Form 10-KSB</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Form 11-K</w:t>
      </w:r>
    </w:p>
    <w:p>
      <w:pPr>
        <w:sectPr>
          <w:pgSz w:w="11900" w:h="16838" w:orient="portrait"/>
          <w:cols w:equalWidth="0" w:num="1">
            <w:col w:w="10139"/>
          </w:cols>
          <w:pgMar w:left="320" w:top="655" w:right="1440" w:bottom="1440" w:gutter="0" w:footer="0" w:header="0"/>
          <w:type w:val="continuous"/>
        </w:sectPr>
      </w:pPr>
    </w:p>
    <w:p>
      <w:pPr>
        <w:spacing w:after="0"/>
        <w:tabs>
          <w:tab w:leader="none" w:pos="620" w:val="left"/>
          <w:tab w:leader="none" w:pos="2620" w:val="left"/>
          <w:tab w:leader="none" w:pos="3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Form 20-F</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FORM 10-Q AND FORM 10-QSB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Form N-SAR</w:t>
      </w:r>
    </w:p>
    <w:p>
      <w:pPr>
        <w:spacing w:after="0" w:line="216" w:lineRule="exact"/>
        <w:rPr>
          <w:sz w:val="24"/>
          <w:szCs w:val="24"/>
          <w:color w:val="auto"/>
        </w:rPr>
      </w:pPr>
    </w:p>
    <w:p>
      <w:pPr>
        <w:sectPr>
          <w:pgSz w:w="11900" w:h="16838" w:orient="portrait"/>
          <w:cols w:equalWidth="0" w:num="3">
            <w:col w:w="5820" w:space="720"/>
            <w:col w:w="320" w:space="200"/>
            <w:col w:w="3079"/>
          </w:cols>
          <w:pgMar w:left="320" w:top="655" w:right="1440" w:bottom="1440" w:gutter="0" w:footer="0" w:header="0"/>
          <w:type w:val="continuous"/>
        </w:sectPr>
      </w:pPr>
    </w:p>
    <w:p>
      <w:pPr>
        <w:spacing w:after="0" w:line="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FOR THE QUARTERLY PERIOD ENDED DECEMBER 31, 1999</w:t>
      </w:r>
    </w:p>
    <w:p>
      <w:pPr>
        <w:spacing w:after="0" w:line="207" w:lineRule="exact"/>
        <w:rPr>
          <w:sz w:val="24"/>
          <w:szCs w:val="24"/>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Read attached Instruction Sheet before preparing form. Please print or type.</w:t>
      </w:r>
    </w:p>
    <w:p>
      <w:pPr>
        <w:spacing w:after="0" w:line="208" w:lineRule="exact"/>
        <w:rPr>
          <w:sz w:val="24"/>
          <w:szCs w:val="24"/>
          <w:color w:val="auto"/>
        </w:rPr>
      </w:pPr>
    </w:p>
    <w:p>
      <w:pPr>
        <w:ind w:right="2559"/>
        <w:spacing w:after="0" w:line="235" w:lineRule="auto"/>
        <w:rPr>
          <w:sz w:val="20"/>
          <w:szCs w:val="20"/>
          <w:color w:val="auto"/>
        </w:rPr>
      </w:pPr>
      <w:r>
        <w:rPr>
          <w:rFonts w:ascii="Courier New" w:cs="Courier New" w:eastAsia="Courier New" w:hAnsi="Courier New"/>
          <w:sz w:val="18"/>
          <w:szCs w:val="18"/>
          <w:color w:val="auto"/>
        </w:rPr>
        <w:t>Nothing in this form shall be construed to imply that the Commission has verified any information contained herein.</w:t>
      </w:r>
    </w:p>
    <w:p>
      <w:pPr>
        <w:spacing w:after="0" w:line="208" w:lineRule="exact"/>
        <w:rPr>
          <w:sz w:val="24"/>
          <w:szCs w:val="24"/>
          <w:color w:val="auto"/>
        </w:rPr>
      </w:pPr>
    </w:p>
    <w:p>
      <w:pPr>
        <w:ind w:right="2859"/>
        <w:spacing w:after="0" w:line="235" w:lineRule="auto"/>
        <w:rPr>
          <w:sz w:val="20"/>
          <w:szCs w:val="20"/>
          <w:color w:val="auto"/>
        </w:rPr>
      </w:pPr>
      <w:r>
        <w:rPr>
          <w:rFonts w:ascii="Courier New" w:cs="Courier New" w:eastAsia="Courier New" w:hAnsi="Courier New"/>
          <w:sz w:val="18"/>
          <w:szCs w:val="18"/>
          <w:color w:val="auto"/>
        </w:rPr>
        <w:t>If the notification relates to a portion of the filing checked above, identify the item(s) to which the notification relates:</w:t>
      </w:r>
    </w:p>
    <w:p>
      <w:pPr>
        <w:ind w:left="380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4"/>
          <w:szCs w:val="24"/>
          <w:color w:val="auto"/>
        </w:rPr>
      </w:pPr>
    </w:p>
    <w:p>
      <w:pPr>
        <w:spacing w:after="0" w:line="204"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8"/>
          <w:szCs w:val="18"/>
          <w:color w:val="auto"/>
        </w:rPr>
        <w:t>PART I</w:t>
      </w:r>
    </w:p>
    <w:p>
      <w:pPr>
        <w:jc w:val="center"/>
        <w:ind w:right="2119"/>
        <w:spacing w:after="0" w:line="238" w:lineRule="auto"/>
        <w:rPr>
          <w:sz w:val="20"/>
          <w:szCs w:val="20"/>
          <w:color w:val="auto"/>
        </w:rPr>
      </w:pPr>
      <w:r>
        <w:rPr>
          <w:rFonts w:ascii="Courier New" w:cs="Courier New" w:eastAsia="Courier New" w:hAnsi="Courier New"/>
          <w:sz w:val="18"/>
          <w:szCs w:val="18"/>
          <w:color w:val="auto"/>
        </w:rPr>
        <w:t>REGISTRANT INFORMATION</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Full name of registrant:</w:t>
      </w:r>
      <w:r>
        <w:rPr>
          <w:sz w:val="20"/>
          <w:szCs w:val="20"/>
          <w:color w:val="auto"/>
        </w:rPr>
        <w:tab/>
      </w:r>
      <w:r>
        <w:rPr>
          <w:rFonts w:ascii="Courier New" w:cs="Courier New" w:eastAsia="Courier New" w:hAnsi="Courier New"/>
          <w:sz w:val="16"/>
          <w:szCs w:val="16"/>
          <w:color w:val="auto"/>
        </w:rPr>
        <w:t>HAWKINS CHEMICAL, INC.</w:t>
      </w:r>
    </w:p>
    <w:p>
      <w:pPr>
        <w:spacing w:after="0" w:line="4"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Former name if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 of principal executive</w:t>
      </w:r>
    </w:p>
    <w:p>
      <w:pPr>
        <w:ind w:left="420"/>
        <w:spacing w:after="0" w:line="238" w:lineRule="auto"/>
        <w:rPr>
          <w:sz w:val="20"/>
          <w:szCs w:val="20"/>
          <w:color w:val="auto"/>
        </w:rPr>
      </w:pPr>
      <w:r>
        <w:rPr>
          <w:rFonts w:ascii="Courier New" w:cs="Courier New" w:eastAsia="Courier New" w:hAnsi="Courier New"/>
          <w:sz w:val="18"/>
          <w:szCs w:val="18"/>
          <w:color w:val="auto"/>
        </w:rPr>
        <w:t>office (street and number): 3100 East Hennepin Avenue</w:t>
      </w:r>
    </w:p>
    <w:p>
      <w:pPr>
        <w:spacing w:after="0" w:line="5" w:lineRule="exact"/>
        <w:rPr>
          <w:sz w:val="24"/>
          <w:szCs w:val="24"/>
          <w:color w:val="auto"/>
        </w:r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655" w:right="1440"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City, State and Zip Code: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Minneapolis, MN 55413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640" w:space="0"/>
            <w:col w:w="7499"/>
          </w:cols>
          <w:pgMar w:left="320" w:top="655" w:right="1440" w:bottom="1440" w:gutter="0" w:footer="0" w:header="0"/>
          <w:type w:val="continuous"/>
        </w:sectPr>
      </w:pPr>
    </w:p>
    <w:p>
      <w:pPr>
        <w:spacing w:after="0" w:line="22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PART II</w:t>
      </w:r>
    </w:p>
    <w:p>
      <w:pPr>
        <w:ind w:left="2860"/>
        <w:spacing w:after="0" w:line="238" w:lineRule="auto"/>
        <w:rPr>
          <w:sz w:val="20"/>
          <w:szCs w:val="20"/>
          <w:color w:val="auto"/>
        </w:rPr>
      </w:pPr>
      <w:r>
        <w:rPr>
          <w:rFonts w:ascii="Courier New" w:cs="Courier New" w:eastAsia="Courier New" w:hAnsi="Courier New"/>
          <w:sz w:val="18"/>
          <w:szCs w:val="18"/>
          <w:color w:val="auto"/>
        </w:rPr>
        <w:t>RULE 12b-25(b) AND (c)</w:t>
      </w:r>
    </w:p>
    <w:p>
      <w:pPr>
        <w:spacing w:after="0" w:line="207" w:lineRule="exact"/>
        <w:rPr>
          <w:sz w:val="24"/>
          <w:szCs w:val="24"/>
          <w:color w:val="auto"/>
        </w:rPr>
      </w:pPr>
    </w:p>
    <w:p>
      <w:pPr>
        <w:jc w:val="both"/>
        <w:ind w:right="2659"/>
        <w:spacing w:after="0" w:line="236" w:lineRule="auto"/>
        <w:rPr>
          <w:sz w:val="20"/>
          <w:szCs w:val="20"/>
          <w:color w:val="auto"/>
        </w:rPr>
      </w:pPr>
      <w:r>
        <w:rPr>
          <w:rFonts w:ascii="Courier New" w:cs="Courier New" w:eastAsia="Courier New" w:hAnsi="Courier New"/>
          <w:sz w:val="18"/>
          <w:szCs w:val="18"/>
          <w:color w:val="auto"/>
        </w:rPr>
        <w:t>If the subject report could not be filed without unreasonable effort or expense and the registrant seeks relief pursuant to Rule 12b-25(b), the following should be completed: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appropriate box)</w:t>
      </w:r>
    </w:p>
    <w:p>
      <w:pPr>
        <w:spacing w:after="0" w:line="207" w:lineRule="exact"/>
        <w:rPr>
          <w:sz w:val="24"/>
          <w:szCs w:val="24"/>
          <w:color w:val="auto"/>
        </w:rPr>
      </w:pPr>
    </w:p>
    <w:p>
      <w:pPr>
        <w:ind w:right="1699" w:firstLine="956"/>
        <w:spacing w:after="0" w:line="235" w:lineRule="auto"/>
        <w:tabs>
          <w:tab w:leader="none" w:pos="189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reasons described in reasonable detail in Part III of this form could not be eliminated without unreasonable effort or expense;</w:t>
      </w:r>
    </w:p>
    <w:p>
      <w:pPr>
        <w:spacing w:after="0" w:line="208" w:lineRule="exact"/>
        <w:rPr>
          <w:sz w:val="24"/>
          <w:szCs w:val="24"/>
          <w:color w:val="auto"/>
        </w:rPr>
      </w:pPr>
    </w:p>
    <w:p>
      <w:pPr>
        <w:ind w:right="1819" w:firstLine="956"/>
        <w:spacing w:after="0" w:line="268" w:lineRule="auto"/>
        <w:tabs>
          <w:tab w:leader="none" w:pos="189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 The subject annual report, semi-annual report, transition report on Forms 10-K, 10-KSB, 20-F, 11-K or Form N-SAR, or portion thereof, will be filed on or before the 15th calendar day following the prescribed</w:t>
      </w:r>
    </w:p>
    <w:p>
      <w:pPr>
        <w:jc w:val="both"/>
        <w:ind w:right="27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due date; or the subject quarterly report or transition report on Form 10-Q, 10-QSB, or portion thereof, will be filed on or before the fifth calendar day following the prescribed due date; and</w:t>
      </w:r>
    </w:p>
    <w:p>
      <w:pPr>
        <w:sectPr>
          <w:pgSz w:w="11900" w:h="16838" w:orient="portrait"/>
          <w:cols w:equalWidth="0" w:num="1">
            <w:col w:w="10139"/>
          </w:cols>
          <w:pgMar w:left="320" w:top="655" w:right="1440" w:bottom="1440" w:gutter="0" w:footer="0" w:header="0"/>
          <w:type w:val="continuous"/>
        </w:sectPr>
      </w:pPr>
    </w:p>
    <w:bookmarkStart w:id="1" w:name="page2"/>
    <w:bookmarkEnd w:id="1"/>
    <w:p>
      <w:pPr>
        <w:ind w:right="2119" w:firstLine="956"/>
        <w:spacing w:after="0" w:line="235" w:lineRule="auto"/>
        <w:tabs>
          <w:tab w:leader="none" w:pos="115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 The accountant's statement or other exhibit required by Rule 12b-25(c) has been attached if applicable.</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PART III</w:t>
      </w:r>
    </w:p>
    <w:p>
      <w:pPr>
        <w:ind w:left="3480"/>
        <w:spacing w:after="0" w:line="238" w:lineRule="auto"/>
        <w:rPr>
          <w:sz w:val="20"/>
          <w:szCs w:val="20"/>
          <w:color w:val="auto"/>
        </w:rPr>
      </w:pPr>
      <w:r>
        <w:rPr>
          <w:rFonts w:ascii="Courier New" w:cs="Courier New" w:eastAsia="Courier New" w:hAnsi="Courier New"/>
          <w:sz w:val="18"/>
          <w:szCs w:val="18"/>
          <w:color w:val="auto"/>
        </w:rPr>
        <w:t>NARRATIVE</w:t>
      </w:r>
    </w:p>
    <w:p>
      <w:pPr>
        <w:spacing w:after="0" w:line="207" w:lineRule="exact"/>
        <w:rPr>
          <w:sz w:val="20"/>
          <w:szCs w:val="20"/>
          <w:color w:val="auto"/>
        </w:rPr>
      </w:pPr>
    </w:p>
    <w:p>
      <w:pPr>
        <w:jc w:val="both"/>
        <w:ind w:right="2339"/>
        <w:spacing w:after="0" w:line="236" w:lineRule="auto"/>
        <w:rPr>
          <w:sz w:val="20"/>
          <w:szCs w:val="20"/>
          <w:color w:val="auto"/>
        </w:rPr>
      </w:pPr>
      <w:r>
        <w:rPr>
          <w:rFonts w:ascii="Courier New" w:cs="Courier New" w:eastAsia="Courier New" w:hAnsi="Courier New"/>
          <w:sz w:val="18"/>
          <w:szCs w:val="18"/>
          <w:color w:val="auto"/>
        </w:rPr>
        <w:t>State below in reasonable detail the reasons why Forms 10-K, 10-KSB, 11-K, 20-F, 10-Q, 10-QSB, N-SAR, or the transition report portion thereof, could not be filed within the prescribed time period:</w:t>
      </w:r>
    </w:p>
    <w:p>
      <w:pPr>
        <w:spacing w:after="0" w:line="208" w:lineRule="exact"/>
        <w:rPr>
          <w:sz w:val="20"/>
          <w:szCs w:val="20"/>
          <w:color w:val="auto"/>
        </w:rPr>
      </w:pPr>
    </w:p>
    <w:p>
      <w:pPr>
        <w:ind w:left="960" w:right="2239" w:firstLine="948"/>
        <w:spacing w:after="0" w:line="271" w:lineRule="auto"/>
        <w:rPr>
          <w:sz w:val="20"/>
          <w:szCs w:val="20"/>
          <w:color w:val="auto"/>
        </w:rPr>
      </w:pPr>
      <w:r>
        <w:rPr>
          <w:rFonts w:ascii="Courier New" w:cs="Courier New" w:eastAsia="Courier New" w:hAnsi="Courier New"/>
          <w:sz w:val="16"/>
          <w:szCs w:val="16"/>
          <w:color w:val="auto"/>
        </w:rPr>
        <w:t>The change to segment reporting for the first quarter placed a significant burden on the Registrant and its personnel. The required financial information has taken longer to prepare than the amount of time available, particularly since many of the Registrant's internal and external resources were also required to prepare the Company's annual report on Form 10-K, proxy statement and annual report to shareholders during the same time period.</w:t>
      </w:r>
    </w:p>
    <w:p>
      <w:pPr>
        <w:spacing w:after="0" w:line="384"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8"/>
          <w:szCs w:val="18"/>
          <w:color w:val="auto"/>
        </w:rPr>
        <w:t>PART IV</w:t>
      </w:r>
    </w:p>
    <w:p>
      <w:pPr>
        <w:jc w:val="center"/>
        <w:ind w:right="2239"/>
        <w:spacing w:after="0" w:line="238" w:lineRule="auto"/>
        <w:rPr>
          <w:sz w:val="20"/>
          <w:szCs w:val="20"/>
          <w:color w:val="auto"/>
        </w:rPr>
      </w:pPr>
      <w:r>
        <w:rPr>
          <w:rFonts w:ascii="Courier New" w:cs="Courier New" w:eastAsia="Courier New" w:hAnsi="Courier New"/>
          <w:sz w:val="18"/>
          <w:szCs w:val="18"/>
          <w:color w:val="auto"/>
        </w:rPr>
        <w:t>OTHER INFORMATION</w:t>
      </w:r>
    </w:p>
    <w:p>
      <w:pPr>
        <w:spacing w:after="0" w:line="207" w:lineRule="exact"/>
        <w:rPr>
          <w:sz w:val="20"/>
          <w:szCs w:val="20"/>
          <w:color w:val="auto"/>
        </w:rPr>
      </w:pPr>
    </w:p>
    <w:p>
      <w:pPr>
        <w:ind w:right="297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telephone number of person to contact in regard to this notification:</w:t>
      </w:r>
    </w:p>
    <w:p>
      <w:pPr>
        <w:sectPr>
          <w:pgSz w:w="11900" w:h="16838" w:orient="portrait"/>
          <w:cols w:equalWidth="0" w:num="1">
            <w:col w:w="10139"/>
          </w:cols>
          <w:pgMar w:left="320" w:top="72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Jennie A. Clarke, Esq.</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(612) 339-2500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(Area Code) (Telephone number)</w:t>
      </w:r>
    </w:p>
    <w:p>
      <w:pPr>
        <w:spacing w:after="0" w:line="200" w:lineRule="exact"/>
        <w:rPr>
          <w:sz w:val="20"/>
          <w:szCs w:val="20"/>
          <w:color w:val="auto"/>
        </w:rPr>
      </w:pPr>
    </w:p>
    <w:p>
      <w:pPr>
        <w:sectPr>
          <w:pgSz w:w="11900" w:h="16838" w:orient="portrait"/>
          <w:cols w:equalWidth="0" w:num="2">
            <w:col w:w="4240" w:space="720"/>
            <w:col w:w="5179"/>
          </w:cols>
          <w:pgMar w:left="320" w:top="722" w:right="1440" w:bottom="1440" w:gutter="0" w:footer="0" w:header="0"/>
          <w:type w:val="continuous"/>
        </w:sectPr>
      </w:pPr>
    </w:p>
    <w:p>
      <w:pPr>
        <w:spacing w:after="0" w:line="7" w:lineRule="exact"/>
        <w:rPr>
          <w:sz w:val="20"/>
          <w:szCs w:val="20"/>
          <w:color w:val="auto"/>
        </w:rPr>
      </w:pPr>
    </w:p>
    <w:p>
      <w:pPr>
        <w:ind w:right="2439" w:firstLine="956"/>
        <w:spacing w:after="0" w:line="237" w:lineRule="auto"/>
        <w:tabs>
          <w:tab w:leader="none" w:pos="136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 (s) been filed? If the answer is no, identify report(s):</w:t>
      </w:r>
    </w:p>
    <w:p>
      <w:pPr>
        <w:jc w:val="both"/>
        <w:ind w:left="5800"/>
        <w:spacing w:after="0"/>
        <w:tabs>
          <w:tab w:leader="none" w:pos="6300" w:val="left"/>
          <w:tab w:leader="none" w:pos="7560" w:val="left"/>
          <w:tab w:leader="none" w:pos="7880" w:val="left"/>
          <w:tab w:leader="none" w:pos="8200" w:val="left"/>
        </w:tabs>
        <w:rPr>
          <w:sz w:val="20"/>
          <w:szCs w:val="20"/>
          <w:color w:val="auto"/>
        </w:rPr>
      </w:pPr>
      <w:r>
        <w:rPr>
          <w:rFonts w:ascii="Courier New" w:cs="Courier New" w:eastAsia="Courier New" w:hAnsi="Courier New"/>
          <w:sz w:val="18"/>
          <w:szCs w:val="18"/>
          <w:color w:val="auto"/>
        </w:rPr>
        <w:t>[X]</w:t>
        <w:tab/>
        <w:t>Yes</w:t>
      </w:r>
      <w:r>
        <w:rPr>
          <w:sz w:val="20"/>
          <w:szCs w:val="20"/>
          <w:color w:val="auto"/>
        </w:rPr>
        <w:tab/>
      </w:r>
      <w:r>
        <w:rPr>
          <w:rFonts w:ascii="Courier New" w:cs="Courier New" w:eastAsia="Courier New" w:hAnsi="Courier New"/>
          <w:sz w:val="18"/>
          <w:szCs w:val="18"/>
          <w:color w:val="auto"/>
        </w:rPr>
        <w:t>[</w:t>
        <w:tab/>
        <w:t>]</w:t>
        <w:tab/>
        <w:t>No</w:t>
      </w:r>
    </w:p>
    <w:p>
      <w:pPr>
        <w:spacing w:after="0" w:line="207" w:lineRule="exact"/>
        <w:rPr>
          <w:sz w:val="20"/>
          <w:szCs w:val="20"/>
          <w:color w:val="auto"/>
        </w:rPr>
      </w:pPr>
    </w:p>
    <w:p>
      <w:pPr>
        <w:ind w:right="2439" w:firstLine="956"/>
        <w:spacing w:after="0" w:line="237"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jc w:val="both"/>
        <w:ind w:left="5800"/>
        <w:spacing w:after="0" w:line="238" w:lineRule="auto"/>
        <w:tabs>
          <w:tab w:leader="none" w:pos="6300" w:val="left"/>
          <w:tab w:leader="none" w:pos="7560" w:val="left"/>
          <w:tab w:leader="none" w:pos="7880" w:val="left"/>
          <w:tab w:leader="none" w:pos="8200" w:val="left"/>
        </w:tabs>
        <w:rPr>
          <w:sz w:val="20"/>
          <w:szCs w:val="20"/>
          <w:color w:val="auto"/>
        </w:rPr>
      </w:pPr>
      <w:r>
        <w:rPr>
          <w:rFonts w:ascii="Courier New" w:cs="Courier New" w:eastAsia="Courier New" w:hAnsi="Courier New"/>
          <w:sz w:val="18"/>
          <w:szCs w:val="18"/>
          <w:color w:val="auto"/>
        </w:rPr>
        <w:t>[X]</w:t>
        <w:tab/>
        <w:t>Yes</w:t>
      </w:r>
      <w:r>
        <w:rPr>
          <w:sz w:val="20"/>
          <w:szCs w:val="20"/>
          <w:color w:val="auto"/>
        </w:rPr>
        <w:tab/>
      </w:r>
      <w:r>
        <w:rPr>
          <w:rFonts w:ascii="Courier New" w:cs="Courier New" w:eastAsia="Courier New" w:hAnsi="Courier New"/>
          <w:sz w:val="18"/>
          <w:szCs w:val="18"/>
          <w:color w:val="auto"/>
        </w:rPr>
        <w:t>[</w:t>
        <w:tab/>
        <w:t>]</w:t>
        <w:tab/>
        <w:t>No</w:t>
      </w:r>
    </w:p>
    <w:p>
      <w:pPr>
        <w:spacing w:after="0" w:line="207"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8"/>
          <w:szCs w:val="18"/>
          <w:color w:val="auto"/>
        </w:rPr>
        <w:t>If so, attach an explanation of the anticipated change, both narratively and quantitatively, and, if appropriate, state the reasons why a reasonable estimate of the results cannot be made.</w:t>
      </w:r>
    </w:p>
    <w:p>
      <w:pPr>
        <w:spacing w:after="0" w:line="208" w:lineRule="exact"/>
        <w:rPr>
          <w:sz w:val="20"/>
          <w:szCs w:val="20"/>
          <w:color w:val="auto"/>
        </w:rPr>
      </w:pPr>
    </w:p>
    <w:p>
      <w:pPr>
        <w:ind w:left="960" w:right="2239" w:firstLine="948"/>
        <w:spacing w:after="0" w:line="237" w:lineRule="auto"/>
        <w:rPr>
          <w:sz w:val="20"/>
          <w:szCs w:val="20"/>
          <w:color w:val="auto"/>
        </w:rPr>
      </w:pPr>
      <w:r>
        <w:rPr>
          <w:rFonts w:ascii="Courier New" w:cs="Courier New" w:eastAsia="Courier New" w:hAnsi="Courier New"/>
          <w:sz w:val="18"/>
          <w:szCs w:val="18"/>
          <w:color w:val="auto"/>
        </w:rPr>
        <w:t>Net income was $1,639,687 in the first quarter of fiscal 2000 compared to $3,426,234 in the prior period. The majority of the decrease is attributable to the receipt of one-time payment of insurance proceeds for pending litigation occurred in first quarter of fiscal 1999. Gross profit is down approximately $200,000 compared to the first quarter of fiscal 1999, due primarily to increased costs.</w:t>
      </w:r>
    </w:p>
    <w:p>
      <w:pPr>
        <w:sectPr>
          <w:pgSz w:w="11900" w:h="16838" w:orient="portrait"/>
          <w:cols w:equalWidth="0" w:num="1">
            <w:col w:w="10139"/>
          </w:cols>
          <w:pgMar w:left="320" w:top="722" w:right="1440" w:bottom="1440" w:gutter="0" w:footer="0" w:header="0"/>
          <w:type w:val="continuous"/>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HAWKINS CHEMICAL, INC.</w:t>
      </w:r>
    </w:p>
    <w:p>
      <w:pPr>
        <w:ind w:left="1700"/>
        <w:spacing w:after="0" w:line="238" w:lineRule="auto"/>
        <w:rPr>
          <w:sz w:val="20"/>
          <w:szCs w:val="20"/>
          <w:color w:val="auto"/>
        </w:rPr>
      </w:pPr>
      <w:r>
        <w:rPr>
          <w:rFonts w:ascii="Courier New" w:cs="Courier New" w:eastAsia="Courier New" w:hAnsi="Courier New"/>
          <w:sz w:val="18"/>
          <w:szCs w:val="18"/>
          <w:color w:val="auto"/>
        </w:rPr>
        <w:t>(Name of registrant as specified in charter)</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has caused this notification to be signed on its behalf by the undersigned thereunto duly authorized.</w:t>
      </w:r>
    </w:p>
    <w:p>
      <w:pPr>
        <w:sectPr>
          <w:pgSz w:w="11900" w:h="16838" w:orient="portrait"/>
          <w:cols w:equalWidth="0" w:num="1">
            <w:col w:w="10139"/>
          </w:cols>
          <w:pgMar w:left="320" w:top="717"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February 15,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Marvin E. Dee</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Marvin E. Dee</w:t>
      </w:r>
    </w:p>
    <w:p>
      <w:pPr>
        <w:spacing w:after="0" w:line="238" w:lineRule="auto"/>
        <w:tabs>
          <w:tab w:leader="none" w:pos="620" w:val="left"/>
        </w:tabs>
        <w:rPr>
          <w:sz w:val="20"/>
          <w:szCs w:val="20"/>
          <w:color w:val="auto"/>
        </w:rPr>
      </w:pPr>
      <w:r>
        <w:rPr>
          <w:rFonts w:ascii="Courier New" w:cs="Courier New" w:eastAsia="Courier New" w:hAnsi="Courier New"/>
          <w:sz w:val="18"/>
          <w:szCs w:val="18"/>
          <w:color w:val="auto"/>
        </w:rPr>
        <w:t>Its:</w:t>
        <w:tab/>
        <w:t>Vice President, Chief</w:t>
      </w:r>
    </w:p>
    <w:p>
      <w:pPr>
        <w:ind w:left="640"/>
        <w:spacing w:after="0" w:line="238" w:lineRule="auto"/>
        <w:rPr>
          <w:sz w:val="20"/>
          <w:szCs w:val="20"/>
          <w:color w:val="auto"/>
        </w:rPr>
      </w:pPr>
      <w:r>
        <w:rPr>
          <w:rFonts w:ascii="Courier New" w:cs="Courier New" w:eastAsia="Courier New" w:hAnsi="Courier New"/>
          <w:sz w:val="18"/>
          <w:szCs w:val="18"/>
          <w:color w:val="auto"/>
        </w:rPr>
        <w:t>Financial Officer, Secretary and</w:t>
      </w:r>
    </w:p>
    <w:p>
      <w:pPr>
        <w:ind w:left="640"/>
        <w:spacing w:after="0"/>
        <w:rPr>
          <w:sz w:val="20"/>
          <w:szCs w:val="20"/>
          <w:color w:val="auto"/>
        </w:rPr>
      </w:pPr>
      <w:r>
        <w:rPr>
          <w:rFonts w:ascii="Courier New" w:cs="Courier New" w:eastAsia="Courier New" w:hAnsi="Courier New"/>
          <w:sz w:val="18"/>
          <w:szCs w:val="18"/>
          <w:color w:val="auto"/>
        </w:rPr>
        <w:t>Treasurer</w:t>
      </w:r>
    </w:p>
    <w:sectPr>
      <w:pgSz w:w="11900" w:h="16838" w:orient="portrait"/>
      <w:cols w:equalWidth="0" w:num="3">
        <w:col w:w="540" w:space="0"/>
        <w:col w:w="2840" w:space="520"/>
        <w:col w:w="6239"/>
      </w:cols>
      <w:pgMar w:left="32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upperLetter"/>
      <w:start w:val="2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2020-10-07T08:37:28Z</dcterms:created>
  <dcterms:modified xsi:type="dcterms:W3CDTF">2020-10-07T08:37:28Z</dcterms:modified>
</cp:coreProperties>
</file>