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December 23,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20" w:type="dxa"/>
        <w:tblCellMar>
          <w:top w:w="0" w:type="dxa"/>
          <w:left w:w="0" w:type="dxa"/>
          <w:bottom w:w="0" w:type="dxa"/>
          <w:right w:w="0" w:type="dxa"/>
        </w:tblCellMar>
      </w:tblPr>
      <w:tr>
        <w:trPr>
          <w:trHeight w:val="212"/>
        </w:trPr>
        <w:tc>
          <w:tcPr>
            <w:tcW w:w="1760" w:type="dxa"/>
            <w:vAlign w:val="bottom"/>
          </w:tcPr>
          <w:p>
            <w:pPr>
              <w:jc w:val="center"/>
              <w:ind w:right="222"/>
              <w:spacing w:after="0"/>
              <w:rPr>
                <w:sz w:val="20"/>
                <w:szCs w:val="20"/>
                <w:color w:val="auto"/>
              </w:rPr>
            </w:pPr>
            <w:r>
              <w:rPr>
                <w:rFonts w:ascii="Arial" w:cs="Arial" w:eastAsia="Arial" w:hAnsi="Arial"/>
                <w:sz w:val="18"/>
                <w:szCs w:val="18"/>
                <w:b w:val="1"/>
                <w:bCs w:val="1"/>
                <w:color w:val="auto"/>
                <w:w w:val="92"/>
              </w:rPr>
              <w:t>Minnesota</w:t>
            </w:r>
          </w:p>
        </w:tc>
        <w:tc>
          <w:tcPr>
            <w:tcW w:w="4960" w:type="dxa"/>
            <w:vAlign w:val="bottom"/>
          </w:tcPr>
          <w:p>
            <w:pPr>
              <w:jc w:val="right"/>
              <w:ind w:right="1756"/>
              <w:spacing w:after="0"/>
              <w:rPr>
                <w:sz w:val="20"/>
                <w:szCs w:val="20"/>
                <w:color w:val="auto"/>
              </w:rPr>
            </w:pPr>
            <w:r>
              <w:rPr>
                <w:rFonts w:ascii="Arial" w:cs="Arial" w:eastAsia="Arial" w:hAnsi="Arial"/>
                <w:sz w:val="18"/>
                <w:szCs w:val="18"/>
                <w:b w:val="1"/>
                <w:bCs w:val="1"/>
                <w:color w:val="auto"/>
              </w:rPr>
              <w:t>0-7647</w:t>
            </w:r>
          </w:p>
        </w:tc>
        <w:tc>
          <w:tcPr>
            <w:tcW w:w="2700" w:type="dxa"/>
            <w:vAlign w:val="bottom"/>
          </w:tcPr>
          <w:p>
            <w:pPr>
              <w:jc w:val="right"/>
              <w:ind w:right="519"/>
              <w:spacing w:after="0"/>
              <w:rPr>
                <w:sz w:val="20"/>
                <w:szCs w:val="20"/>
                <w:color w:val="auto"/>
              </w:rPr>
            </w:pPr>
            <w:r>
              <w:rPr>
                <w:rFonts w:ascii="Arial" w:cs="Arial" w:eastAsia="Arial" w:hAnsi="Arial"/>
                <w:sz w:val="18"/>
                <w:szCs w:val="18"/>
                <w:b w:val="1"/>
                <w:bCs w:val="1"/>
                <w:color w:val="auto"/>
              </w:rPr>
              <w:t>41-0771293</w:t>
            </w:r>
          </w:p>
        </w:tc>
      </w:tr>
      <w:tr>
        <w:trPr>
          <w:trHeight w:val="186"/>
        </w:trPr>
        <w:tc>
          <w:tcPr>
            <w:tcW w:w="1760" w:type="dxa"/>
            <w:vAlign w:val="bottom"/>
          </w:tcPr>
          <w:p>
            <w:pPr>
              <w:jc w:val="center"/>
              <w:ind w:right="222"/>
              <w:spacing w:after="0"/>
              <w:rPr>
                <w:sz w:val="20"/>
                <w:szCs w:val="20"/>
                <w:color w:val="auto"/>
              </w:rPr>
            </w:pPr>
            <w:r>
              <w:rPr>
                <w:rFonts w:ascii="Arial" w:cs="Arial" w:eastAsia="Arial" w:hAnsi="Arial"/>
                <w:sz w:val="14"/>
                <w:szCs w:val="14"/>
                <w:b w:val="1"/>
                <w:bCs w:val="1"/>
                <w:color w:val="auto"/>
                <w:w w:val="94"/>
              </w:rPr>
              <w:t>(State of Incorporation)</w:t>
            </w:r>
          </w:p>
        </w:tc>
        <w:tc>
          <w:tcPr>
            <w:tcW w:w="4960" w:type="dxa"/>
            <w:vAlign w:val="bottom"/>
          </w:tcPr>
          <w:p>
            <w:pPr>
              <w:jc w:val="center"/>
              <w:ind w:left="676"/>
              <w:spacing w:after="0"/>
              <w:rPr>
                <w:sz w:val="20"/>
                <w:szCs w:val="20"/>
                <w:color w:val="auto"/>
              </w:rPr>
            </w:pPr>
            <w:r>
              <w:rPr>
                <w:rFonts w:ascii="Arial" w:cs="Arial" w:eastAsia="Arial" w:hAnsi="Arial"/>
                <w:sz w:val="14"/>
                <w:szCs w:val="14"/>
                <w:b w:val="1"/>
                <w:bCs w:val="1"/>
                <w:color w:val="auto"/>
                <w:w w:val="94"/>
              </w:rPr>
              <w:t>(Commission File Number)</w:t>
            </w:r>
          </w:p>
        </w:tc>
        <w:tc>
          <w:tcPr>
            <w:tcW w:w="2700" w:type="dxa"/>
            <w:vAlign w:val="bottom"/>
          </w:tcPr>
          <w:p>
            <w:pPr>
              <w:jc w:val="center"/>
              <w:ind w:left="51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99"/>
        </w:trPr>
        <w:tc>
          <w:tcPr>
            <w:tcW w:w="1760" w:type="dxa"/>
            <w:vAlign w:val="bottom"/>
          </w:tcPr>
          <w:p>
            <w:pPr>
              <w:spacing w:after="0"/>
              <w:rPr>
                <w:sz w:val="24"/>
                <w:szCs w:val="24"/>
                <w:color w:val="auto"/>
              </w:rPr>
            </w:pPr>
          </w:p>
        </w:tc>
        <w:tc>
          <w:tcPr>
            <w:tcW w:w="4960" w:type="dxa"/>
            <w:vAlign w:val="bottom"/>
          </w:tcPr>
          <w:p>
            <w:pPr>
              <w:jc w:val="center"/>
              <w:ind w:right="3176"/>
              <w:spacing w:after="0"/>
              <w:rPr>
                <w:sz w:val="20"/>
                <w:szCs w:val="20"/>
                <w:color w:val="auto"/>
              </w:rPr>
            </w:pPr>
            <w:r>
              <w:rPr>
                <w:rFonts w:ascii="Arial" w:cs="Arial" w:eastAsia="Arial" w:hAnsi="Arial"/>
                <w:sz w:val="18"/>
                <w:szCs w:val="18"/>
                <w:b w:val="1"/>
                <w:bCs w:val="1"/>
                <w:color w:val="auto"/>
                <w:w w:val="87"/>
              </w:rPr>
              <w:t>2381 Rosegate</w:t>
            </w:r>
          </w:p>
        </w:tc>
        <w:tc>
          <w:tcPr>
            <w:tcW w:w="2700" w:type="dxa"/>
            <w:vAlign w:val="bottom"/>
          </w:tcPr>
          <w:p>
            <w:pPr>
              <w:spacing w:after="0"/>
              <w:rPr>
                <w:sz w:val="24"/>
                <w:szCs w:val="24"/>
                <w:color w:val="auto"/>
              </w:rPr>
            </w:pPr>
          </w:p>
        </w:tc>
      </w:tr>
      <w:tr>
        <w:trPr>
          <w:trHeight w:val="225"/>
        </w:trPr>
        <w:tc>
          <w:tcPr>
            <w:tcW w:w="1760" w:type="dxa"/>
            <w:vAlign w:val="bottom"/>
          </w:tcPr>
          <w:p>
            <w:pPr>
              <w:spacing w:after="0"/>
              <w:rPr>
                <w:sz w:val="19"/>
                <w:szCs w:val="19"/>
                <w:color w:val="auto"/>
              </w:rPr>
            </w:pPr>
          </w:p>
        </w:tc>
        <w:tc>
          <w:tcPr>
            <w:tcW w:w="4960" w:type="dxa"/>
            <w:vAlign w:val="bottom"/>
          </w:tcPr>
          <w:p>
            <w:pPr>
              <w:jc w:val="center"/>
              <w:ind w:right="3156"/>
              <w:spacing w:after="0"/>
              <w:rPr>
                <w:sz w:val="20"/>
                <w:szCs w:val="20"/>
                <w:color w:val="auto"/>
              </w:rPr>
            </w:pPr>
            <w:r>
              <w:rPr>
                <w:rFonts w:ascii="Arial" w:cs="Arial" w:eastAsia="Arial" w:hAnsi="Arial"/>
                <w:sz w:val="18"/>
                <w:szCs w:val="18"/>
                <w:b w:val="1"/>
                <w:bCs w:val="1"/>
                <w:color w:val="auto"/>
                <w:w w:val="92"/>
              </w:rPr>
              <w:t>Roseville, MN</w:t>
            </w:r>
          </w:p>
        </w:tc>
        <w:tc>
          <w:tcPr>
            <w:tcW w:w="2700" w:type="dxa"/>
            <w:vAlign w:val="bottom"/>
          </w:tcPr>
          <w:p>
            <w:pPr>
              <w:jc w:val="right"/>
              <w:ind w:right="739"/>
              <w:spacing w:after="0"/>
              <w:rPr>
                <w:sz w:val="20"/>
                <w:szCs w:val="20"/>
                <w:color w:val="auto"/>
              </w:rPr>
            </w:pPr>
            <w:r>
              <w:rPr>
                <w:rFonts w:ascii="Arial" w:cs="Arial" w:eastAsia="Arial" w:hAnsi="Arial"/>
                <w:sz w:val="18"/>
                <w:szCs w:val="18"/>
                <w:b w:val="1"/>
                <w:bCs w:val="1"/>
                <w:color w:val="auto"/>
              </w:rPr>
              <w:t>55413</w:t>
            </w:r>
          </w:p>
        </w:tc>
      </w:tr>
      <w:tr>
        <w:trPr>
          <w:trHeight w:val="186"/>
        </w:trPr>
        <w:tc>
          <w:tcPr>
            <w:tcW w:w="6720" w:type="dxa"/>
            <w:vAlign w:val="bottom"/>
            <w:gridSpan w:val="2"/>
          </w:tcPr>
          <w:p>
            <w:pPr>
              <w:jc w:val="center"/>
              <w:ind w:right="1416"/>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700" w:type="dxa"/>
            <w:vAlign w:val="bottom"/>
          </w:tcPr>
          <w:p>
            <w:pPr>
              <w:jc w:val="center"/>
              <w:ind w:left="539"/>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1760" w:type="dxa"/>
            <w:vAlign w:val="bottom"/>
          </w:tcPr>
          <w:p>
            <w:pPr>
              <w:spacing w:after="0"/>
              <w:rPr>
                <w:sz w:val="24"/>
                <w:szCs w:val="24"/>
                <w:color w:val="auto"/>
              </w:rPr>
            </w:pPr>
          </w:p>
        </w:tc>
        <w:tc>
          <w:tcPr>
            <w:tcW w:w="4960" w:type="dxa"/>
            <w:vAlign w:val="bottom"/>
          </w:tcPr>
          <w:p>
            <w:pPr>
              <w:jc w:val="right"/>
              <w:ind w:right="1596"/>
              <w:spacing w:after="0"/>
              <w:rPr>
                <w:sz w:val="20"/>
                <w:szCs w:val="20"/>
                <w:color w:val="auto"/>
              </w:rPr>
            </w:pPr>
            <w:r>
              <w:rPr>
                <w:rFonts w:ascii="Arial" w:cs="Arial" w:eastAsia="Arial" w:hAnsi="Arial"/>
                <w:sz w:val="18"/>
                <w:szCs w:val="18"/>
                <w:b w:val="1"/>
                <w:bCs w:val="1"/>
                <w:color w:val="auto"/>
              </w:rPr>
              <w:t>(612-331-6910</w:t>
            </w:r>
          </w:p>
        </w:tc>
        <w:tc>
          <w:tcPr>
            <w:tcW w:w="2700" w:type="dxa"/>
            <w:vAlign w:val="bottom"/>
          </w:tcPr>
          <w:p>
            <w:pPr>
              <w:spacing w:after="0"/>
              <w:rPr>
                <w:sz w:val="24"/>
                <w:szCs w:val="24"/>
                <w:color w:val="auto"/>
              </w:rPr>
            </w:pPr>
          </w:p>
        </w:tc>
      </w:tr>
      <w:tr>
        <w:trPr>
          <w:trHeight w:val="186"/>
        </w:trPr>
        <w:tc>
          <w:tcPr>
            <w:tcW w:w="1760" w:type="dxa"/>
            <w:vAlign w:val="bottom"/>
          </w:tcPr>
          <w:p>
            <w:pPr>
              <w:spacing w:after="0"/>
              <w:rPr>
                <w:sz w:val="16"/>
                <w:szCs w:val="16"/>
                <w:color w:val="auto"/>
              </w:rPr>
            </w:pPr>
          </w:p>
        </w:tc>
        <w:tc>
          <w:tcPr>
            <w:tcW w:w="4960" w:type="dxa"/>
            <w:vAlign w:val="bottom"/>
          </w:tcPr>
          <w:p>
            <w:pPr>
              <w:jc w:val="center"/>
              <w:ind w:left="41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On December 23, 2015, Hawkins, Inc. (the “Company”) acquired SPH Holdings, Inc. pursuant to a Stock Purchase Agreement by and among the Company, SPH, the selling stockholders of SPH (the “SPH Stockholders”), and ICV Manager, LLC, as the representative of the SPH Stockholders.</w:t>
      </w:r>
    </w:p>
    <w:p>
      <w:pPr>
        <w:spacing w:after="0" w:line="12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This Amendment No. 1 on Form 8-K/A is being filed by Hawkins, Inc. to amend the current report on Form 8-K filed with the Securities and Exchange Commission (“SEC”) on December 23, 2015 (the “Original Report”), solely to provide the disclosures required by Item 9.01 of Form 8-K that were not previously filed with the Original Report, including the required financial statement of SPH Holdings, Inc. and the required pro forma financial information. Except as otherwise provided herein, the disclosures made in the Original Report remain unchanged.</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Financial Statements of Business Acquired</w:t>
      </w:r>
      <w:r>
        <w:rPr>
          <w:rFonts w:ascii="Arial" w:cs="Arial" w:eastAsia="Arial" w:hAnsi="Arial"/>
          <w:sz w:val="18"/>
          <w:szCs w:val="18"/>
          <w:color w:val="auto"/>
        </w:rPr>
        <w:t>.</w:t>
      </w:r>
    </w:p>
    <w:p>
      <w:pPr>
        <w:spacing w:after="0" w:line="225"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The consolidated financial statements of SPH Holdings, Inc. and subsidiaries (“SPH”) required by Item 9.01(a) of Form 8-K are attached as Exhibit 99.1 hereto and incorporated herein by reference.</w:t>
      </w:r>
    </w:p>
    <w:p>
      <w:pPr>
        <w:spacing w:after="0" w:line="7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Pro Forma Financial Information</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unaudited pro forma condensed combined statements of operations of Hawkins, Inc. and SPH for the fiscal year ended March 29, 2015, and for the nine months ended December 27, 2015, are attached as Exhibit 99.2 hereto and incorporated herein by reference. Because the acquisition was completed within Hawkins’ quarter ended December 27, 2015, the unaudited condensed consolidated balance sheet included in its quarterly report on Form 10-Q for the quarter ended December 27, 2015, and filed with the SEC on February 5, 2016, gives effect to the acquisition of SPH and the related debt. As a result, an unaudited pro forma condensed combined balance sheet is not required to be presented.</w:t>
      </w:r>
    </w:p>
    <w:p>
      <w:pPr>
        <w:spacing w:after="0" w:line="20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52"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Stock Purchase Agreement, dated November 23, 2015, by and among Hawkins, Inc., SPH Holdings, Inc., the stockholders of SPH Holdings, Inc.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listed therein, and ICV Manager, LLC (incorporated by reference to Exhibit 2.1 to Current Report on Form 8-K filed November 23, 2015).</w:t>
      </w:r>
    </w:p>
    <w:p>
      <w:pPr>
        <w:spacing w:after="0" w:line="114" w:lineRule="exact"/>
        <w:rPr>
          <w:sz w:val="20"/>
          <w:szCs w:val="20"/>
          <w:color w:val="auto"/>
        </w:rPr>
      </w:pPr>
    </w:p>
    <w:p>
      <w:pPr>
        <w:ind w:left="700" w:right="260" w:hanging="688"/>
        <w:spacing w:after="0" w:line="277"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Credit Agreement dated as of December 23, 2015, among Hawkins, Inc., the lenders party thereto, and U.S. Bank National Association, as an LC Issuer, Swing Line Lender and Administrative Agent.*</w:t>
      </w:r>
    </w:p>
    <w:p>
      <w:pPr>
        <w:spacing w:after="0" w:line="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BDO USA, LLP, Independent Auditors.</w:t>
      </w:r>
    </w:p>
    <w:p>
      <w:pPr>
        <w:spacing w:after="0" w:line="117" w:lineRule="exact"/>
        <w:rPr>
          <w:sz w:val="20"/>
          <w:szCs w:val="20"/>
          <w:color w:val="auto"/>
        </w:rPr>
      </w:pPr>
    </w:p>
    <w:p>
      <w:pPr>
        <w:ind w:left="700" w:right="60" w:hanging="688"/>
        <w:spacing w:after="0" w:line="342" w:lineRule="auto"/>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Audited consolidated financial statements of SPH Holdings, Inc. and subsidiaries as of and for the three years ended December 31, 2014. Unaudited consolidated financial statements of SPH Holdings, Inc. and subsidiaries as of and for the nine months ended September 30, 2015 and 2014.</w:t>
      </w:r>
    </w:p>
    <w:p>
      <w:pPr>
        <w:spacing w:after="0" w:line="1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Unaudited pro forma condensed combined statements of operations of Hawkins, Inc. and SPH Holdings, Inc. for the fiscal year ended March 29,</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2015, and for the nine months ended December 27,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Filed with Original Report.</w:t>
      </w:r>
    </w:p>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2200"/>
              <w:spacing w:after="0"/>
              <w:rPr>
                <w:sz w:val="20"/>
                <w:szCs w:val="20"/>
                <w:color w:val="auto"/>
              </w:rPr>
            </w:pPr>
            <w:r>
              <w:rPr>
                <w:rFonts w:ascii="Arial" w:cs="Arial" w:eastAsia="Arial" w:hAnsi="Arial"/>
                <w:sz w:val="18"/>
                <w:szCs w:val="18"/>
                <w:color w:val="auto"/>
              </w:rPr>
              <w:t>HAWKINS,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March 3, 2016</w:t>
            </w:r>
          </w:p>
        </w:tc>
        <w:tc>
          <w:tcPr>
            <w:tcW w:w="7720" w:type="dxa"/>
            <w:vAlign w:val="bottom"/>
            <w:gridSpan w:val="2"/>
          </w:tcPr>
          <w:p>
            <w:pPr>
              <w:ind w:left="2200"/>
              <w:spacing w:after="0"/>
              <w:rPr>
                <w:sz w:val="20"/>
                <w:szCs w:val="20"/>
                <w:color w:val="auto"/>
              </w:rPr>
            </w:pPr>
            <w:r>
              <w:rPr>
                <w:rFonts w:ascii="Arial" w:cs="Arial" w:eastAsia="Arial" w:hAnsi="Arial"/>
                <w:sz w:val="18"/>
                <w:szCs w:val="18"/>
                <w:color w:val="auto"/>
              </w:rPr>
              <w:t>By:  /s/ Kathleen P. Pepski</w:t>
            </w:r>
          </w:p>
        </w:tc>
      </w:tr>
      <w:tr>
        <w:trPr>
          <w:trHeight w:val="20"/>
        </w:trPr>
        <w:tc>
          <w:tcPr>
            <w:tcW w:w="37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r>
      <w:tr>
        <w:trPr>
          <w:trHeight w:val="209"/>
        </w:trPr>
        <w:tc>
          <w:tcPr>
            <w:tcW w:w="3700" w:type="dxa"/>
            <w:vAlign w:val="bottom"/>
          </w:tcPr>
          <w:p>
            <w:pPr>
              <w:spacing w:after="0"/>
              <w:rPr>
                <w:sz w:val="18"/>
                <w:szCs w:val="18"/>
                <w:color w:val="auto"/>
              </w:rPr>
            </w:pPr>
          </w:p>
        </w:tc>
        <w:tc>
          <w:tcPr>
            <w:tcW w:w="7720" w:type="dxa"/>
            <w:vAlign w:val="bottom"/>
            <w:gridSpan w:val="2"/>
          </w:tcPr>
          <w:p>
            <w:pPr>
              <w:ind w:left="2200"/>
              <w:spacing w:after="0"/>
              <w:rPr>
                <w:sz w:val="20"/>
                <w:szCs w:val="20"/>
                <w:color w:val="auto"/>
              </w:rPr>
            </w:pPr>
            <w:r>
              <w:rPr>
                <w:rFonts w:ascii="Arial" w:cs="Arial" w:eastAsia="Arial" w:hAnsi="Arial"/>
                <w:sz w:val="18"/>
                <w:szCs w:val="18"/>
                <w:color w:val="auto"/>
              </w:rPr>
              <w:t>Kathleen P. Pepski</w:t>
            </w:r>
          </w:p>
        </w:tc>
      </w:tr>
      <w:tr>
        <w:trPr>
          <w:trHeight w:val="230"/>
        </w:trPr>
        <w:tc>
          <w:tcPr>
            <w:tcW w:w="3700" w:type="dxa"/>
            <w:vAlign w:val="bottom"/>
          </w:tcPr>
          <w:p>
            <w:pPr>
              <w:spacing w:after="0"/>
              <w:rPr>
                <w:sz w:val="20"/>
                <w:szCs w:val="20"/>
                <w:color w:val="auto"/>
              </w:rPr>
            </w:pPr>
          </w:p>
        </w:tc>
        <w:tc>
          <w:tcPr>
            <w:tcW w:w="7720" w:type="dxa"/>
            <w:vAlign w:val="bottom"/>
            <w:gridSpan w:val="2"/>
          </w:tcPr>
          <w:p>
            <w:pPr>
              <w:ind w:left="2200"/>
              <w:spacing w:after="0"/>
              <w:rPr>
                <w:sz w:val="20"/>
                <w:szCs w:val="20"/>
                <w:color w:val="auto"/>
              </w:rPr>
            </w:pPr>
            <w:r>
              <w:rPr>
                <w:rFonts w:ascii="Arial" w:cs="Arial" w:eastAsia="Arial" w:hAnsi="Arial"/>
                <w:sz w:val="18"/>
                <w:szCs w:val="18"/>
                <w:i w:val="1"/>
                <w:iCs w:val="1"/>
                <w:color w:val="auto"/>
              </w:rPr>
              <w:t>Vice President, Chief Financial Officer, and Treasurer</w:t>
            </w: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300" w:type="dxa"/>
            <w:vAlign w:val="bottom"/>
          </w:tcPr>
          <w:p>
            <w:pPr>
              <w:ind w:left="3780"/>
              <w:spacing w:after="0"/>
              <w:rPr>
                <w:sz w:val="20"/>
                <w:szCs w:val="20"/>
                <w:color w:val="auto"/>
              </w:rPr>
            </w:pPr>
            <w:r>
              <w:rPr>
                <w:rFonts w:ascii="Arial" w:cs="Arial" w:eastAsia="Arial" w:hAnsi="Arial"/>
                <w:sz w:val="18"/>
                <w:szCs w:val="18"/>
                <w:b w:val="1"/>
                <w:bCs w:val="1"/>
                <w:color w:val="auto"/>
              </w:rPr>
              <w:t>EXHIBIT INDEX</w:t>
            </w:r>
          </w:p>
        </w:tc>
      </w:tr>
      <w:tr>
        <w:trPr>
          <w:trHeight w:val="399"/>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Exhibit No.</w:t>
            </w:r>
          </w:p>
        </w:tc>
        <w:tc>
          <w:tcPr>
            <w:tcW w:w="560" w:type="dxa"/>
            <w:vAlign w:val="bottom"/>
          </w:tcPr>
          <w:p>
            <w:pPr>
              <w:spacing w:after="0"/>
              <w:rPr>
                <w:sz w:val="24"/>
                <w:szCs w:val="24"/>
                <w:color w:val="auto"/>
              </w:rPr>
            </w:pPr>
          </w:p>
        </w:tc>
        <w:tc>
          <w:tcPr>
            <w:tcW w:w="8300" w:type="dxa"/>
            <w:vAlign w:val="bottom"/>
            <w:tcBorders>
              <w:bottom w:val="single" w:sz="8" w:color="auto"/>
            </w:tcBorders>
          </w:tcPr>
          <w:p>
            <w:pPr>
              <w:ind w:left="3820"/>
              <w:spacing w:after="0"/>
              <w:rPr>
                <w:sz w:val="20"/>
                <w:szCs w:val="20"/>
                <w:color w:val="auto"/>
              </w:rPr>
            </w:pPr>
            <w:r>
              <w:rPr>
                <w:rFonts w:ascii="Arial" w:cs="Arial" w:eastAsia="Arial" w:hAnsi="Arial"/>
                <w:sz w:val="14"/>
                <w:szCs w:val="14"/>
                <w:color w:val="auto"/>
              </w:rPr>
              <w:t>Description</w:t>
            </w:r>
          </w:p>
        </w:tc>
      </w:tr>
      <w:tr>
        <w:trPr>
          <w:trHeight w:val="296"/>
        </w:trPr>
        <w:tc>
          <w:tcPr>
            <w:tcW w:w="680" w:type="dxa"/>
            <w:vAlign w:val="bottom"/>
          </w:tcPr>
          <w:p>
            <w:pPr>
              <w:jc w:val="right"/>
              <w:ind w:right="273"/>
              <w:spacing w:after="0"/>
              <w:rPr>
                <w:sz w:val="20"/>
                <w:szCs w:val="20"/>
                <w:color w:val="auto"/>
              </w:rPr>
            </w:pPr>
            <w:r>
              <w:rPr>
                <w:rFonts w:ascii="Arial" w:cs="Arial" w:eastAsia="Arial" w:hAnsi="Arial"/>
                <w:sz w:val="18"/>
                <w:szCs w:val="18"/>
                <w:color w:val="auto"/>
              </w:rPr>
              <w:t>2.1</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w w:val="95"/>
              </w:rPr>
              <w:t>Stock Purchase Agreement, dated November 23, 2015, by and among Hawkins, Inc., SPH Holdings, Inc., the</w:t>
            </w:r>
          </w:p>
        </w:tc>
      </w:tr>
      <w:tr>
        <w:trPr>
          <w:trHeight w:val="230"/>
        </w:trPr>
        <w:tc>
          <w:tcPr>
            <w:tcW w:w="680" w:type="dxa"/>
            <w:vAlign w:val="bottom"/>
          </w:tcPr>
          <w:p>
            <w:pPr>
              <w:spacing w:after="0"/>
              <w:rPr>
                <w:sz w:val="20"/>
                <w:szCs w:val="20"/>
                <w:color w:val="auto"/>
              </w:rPr>
            </w:pP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stockholders of SPH Holdings, Inc. listed therein, and ICV Manager, LLC.</w:t>
            </w:r>
          </w:p>
        </w:tc>
      </w:tr>
      <w:tr>
        <w:trPr>
          <w:trHeight w:val="310"/>
        </w:trPr>
        <w:tc>
          <w:tcPr>
            <w:tcW w:w="680" w:type="dxa"/>
            <w:vAlign w:val="bottom"/>
          </w:tcPr>
          <w:p>
            <w:pPr>
              <w:jc w:val="right"/>
              <w:ind w:right="273"/>
              <w:spacing w:after="0"/>
              <w:rPr>
                <w:sz w:val="20"/>
                <w:szCs w:val="20"/>
                <w:color w:val="auto"/>
              </w:rPr>
            </w:pPr>
            <w:r>
              <w:rPr>
                <w:rFonts w:ascii="Arial" w:cs="Arial" w:eastAsia="Arial" w:hAnsi="Arial"/>
                <w:sz w:val="18"/>
                <w:szCs w:val="18"/>
                <w:color w:val="auto"/>
                <w:w w:val="85"/>
              </w:rPr>
              <w:t>10.1</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w w:val="91"/>
              </w:rPr>
              <w:t>Credit Agreement dated as of December 23, 2015, among Hawkins, Inc., the lenders party thereto, and U.S. Bank</w:t>
            </w:r>
          </w:p>
        </w:tc>
      </w:tr>
      <w:tr>
        <w:trPr>
          <w:trHeight w:val="230"/>
        </w:trPr>
        <w:tc>
          <w:tcPr>
            <w:tcW w:w="680" w:type="dxa"/>
            <w:vAlign w:val="bottom"/>
          </w:tcPr>
          <w:p>
            <w:pPr>
              <w:spacing w:after="0"/>
              <w:rPr>
                <w:sz w:val="20"/>
                <w:szCs w:val="20"/>
                <w:color w:val="auto"/>
              </w:rPr>
            </w:pP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National Association, as an LC Issuer, Swing Line Lender and Administrative Agent.</w:t>
            </w:r>
          </w:p>
        </w:tc>
      </w:tr>
      <w:tr>
        <w:trPr>
          <w:trHeight w:val="324"/>
        </w:trPr>
        <w:tc>
          <w:tcPr>
            <w:tcW w:w="680" w:type="dxa"/>
            <w:vAlign w:val="bottom"/>
          </w:tcPr>
          <w:p>
            <w:pPr>
              <w:jc w:val="right"/>
              <w:ind w:right="273"/>
              <w:spacing w:after="0"/>
              <w:rPr>
                <w:sz w:val="20"/>
                <w:szCs w:val="20"/>
                <w:color w:val="auto"/>
              </w:rPr>
            </w:pPr>
            <w:r>
              <w:rPr>
                <w:rFonts w:ascii="Arial" w:cs="Arial" w:eastAsia="Arial" w:hAnsi="Arial"/>
                <w:sz w:val="18"/>
                <w:szCs w:val="18"/>
                <w:color w:val="auto"/>
                <w:w w:val="85"/>
              </w:rPr>
              <w:t>23.1</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Consent of BDO USA, LLP, Independent Auditors.</w:t>
            </w:r>
          </w:p>
        </w:tc>
      </w:tr>
      <w:tr>
        <w:trPr>
          <w:trHeight w:val="310"/>
        </w:trPr>
        <w:tc>
          <w:tcPr>
            <w:tcW w:w="680" w:type="dxa"/>
            <w:vAlign w:val="bottom"/>
          </w:tcPr>
          <w:p>
            <w:pPr>
              <w:jc w:val="right"/>
              <w:ind w:right="273"/>
              <w:spacing w:after="0"/>
              <w:rPr>
                <w:sz w:val="20"/>
                <w:szCs w:val="20"/>
                <w:color w:val="auto"/>
              </w:rPr>
            </w:pPr>
            <w:r>
              <w:rPr>
                <w:rFonts w:ascii="Arial" w:cs="Arial" w:eastAsia="Arial" w:hAnsi="Arial"/>
                <w:sz w:val="18"/>
                <w:szCs w:val="18"/>
                <w:color w:val="auto"/>
                <w:w w:val="85"/>
              </w:rPr>
              <w:t>99.1</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w w:val="94"/>
              </w:rPr>
              <w:t>Audited consolidated financial statements of SPH Holdings, Inc. and subsidiaries as of and for the three years</w:t>
            </w:r>
          </w:p>
        </w:tc>
      </w:tr>
      <w:tr>
        <w:trPr>
          <w:trHeight w:val="216"/>
        </w:trPr>
        <w:tc>
          <w:tcPr>
            <w:tcW w:w="680" w:type="dxa"/>
            <w:vAlign w:val="bottom"/>
          </w:tcPr>
          <w:p>
            <w:pPr>
              <w:spacing w:after="0"/>
              <w:rPr>
                <w:sz w:val="18"/>
                <w:szCs w:val="18"/>
                <w:color w:val="auto"/>
              </w:rPr>
            </w:pP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w w:val="90"/>
              </w:rPr>
              <w:t>ended December 31, 2014. Unaudited consolidated financial statements of SPH Holdings, Inc. and subsidiaries as</w:t>
            </w:r>
          </w:p>
        </w:tc>
      </w:tr>
      <w:tr>
        <w:trPr>
          <w:trHeight w:val="230"/>
        </w:trPr>
        <w:tc>
          <w:tcPr>
            <w:tcW w:w="680" w:type="dxa"/>
            <w:vAlign w:val="bottom"/>
          </w:tcPr>
          <w:p>
            <w:pPr>
              <w:spacing w:after="0"/>
              <w:rPr>
                <w:sz w:val="20"/>
                <w:szCs w:val="20"/>
                <w:color w:val="auto"/>
              </w:rPr>
            </w:pP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of and for the nine months ended September 30, 2015 and 2014.</w:t>
            </w:r>
          </w:p>
        </w:tc>
      </w:tr>
      <w:tr>
        <w:trPr>
          <w:trHeight w:val="310"/>
        </w:trPr>
        <w:tc>
          <w:tcPr>
            <w:tcW w:w="680" w:type="dxa"/>
            <w:vAlign w:val="bottom"/>
          </w:tcPr>
          <w:p>
            <w:pPr>
              <w:jc w:val="right"/>
              <w:ind w:right="273"/>
              <w:spacing w:after="0"/>
              <w:rPr>
                <w:sz w:val="20"/>
                <w:szCs w:val="20"/>
                <w:color w:val="auto"/>
              </w:rPr>
            </w:pPr>
            <w:r>
              <w:rPr>
                <w:rFonts w:ascii="Arial" w:cs="Arial" w:eastAsia="Arial" w:hAnsi="Arial"/>
                <w:sz w:val="18"/>
                <w:szCs w:val="18"/>
                <w:color w:val="auto"/>
                <w:w w:val="85"/>
              </w:rPr>
              <w:t>99.2</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w w:val="92"/>
              </w:rPr>
              <w:t>Unaudited pro forma condensed combined statements of operations of Hawkins, Inc. and SPH Holdings, Inc. for</w:t>
            </w:r>
          </w:p>
        </w:tc>
      </w:tr>
      <w:tr>
        <w:trPr>
          <w:trHeight w:val="230"/>
        </w:trPr>
        <w:tc>
          <w:tcPr>
            <w:tcW w:w="680" w:type="dxa"/>
            <w:vAlign w:val="bottom"/>
          </w:tcPr>
          <w:p>
            <w:pPr>
              <w:spacing w:after="0"/>
              <w:rPr>
                <w:sz w:val="20"/>
                <w:szCs w:val="20"/>
                <w:color w:val="auto"/>
              </w:rPr>
            </w:pP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the fiscal year ended March 29, 2015, and for the nine months ended December 27, 2015.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909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Incorporated by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Filed Electronically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Filed Electronically</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Filed Electronically</w:t>
      </w:r>
    </w:p>
    <w:p>
      <w:pPr>
        <w:sectPr>
          <w:pgSz w:w="11900" w:h="16838" w:orient="portrait"/>
          <w:cols w:equalWidth="0" w:num="2">
            <w:col w:w="9540" w:space="440"/>
            <w:col w:w="1440"/>
          </w:cols>
          <w:pgMar w:left="240" w:top="27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1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hereby consent to the incorporation by reference in the Registration Statements on Form S-8 (No. 333-87582, 333-172761, 333-123080 and 333-174735) of Hawkins, Inc. of our report dated April 30, 2015, except for the “Goodwill” paragraph in Note 2, which is as of March 3, 2016, relating to the consolidated financial statements of SPH Holdings, Inc. and Subsidiaries for the years ended December 31, 2014 and 2013 and our report dated April 30, 2014, except for the “Recently Adopted Accounting Pronouncements” and “Goodwill” paragraphs in Note 2, which are as of March 3, 2016, relating to the consolidated financial statements of SPH Holdings, Inc. and Subsidiaries for the years ended December 31, 2013 and 2012 which appear in this Form 8-K.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3, 2016</w:t>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9"/>
          <w:szCs w:val="29"/>
          <w:b w:val="1"/>
          <w:bCs w:val="1"/>
          <w:color w:val="auto"/>
        </w:rPr>
        <w:t>SPH Holdings, Inc. and Subsidiaries</w:t>
      </w:r>
    </w:p>
    <w:p>
      <w:pPr>
        <w:spacing w:after="0" w:line="384" w:lineRule="exact"/>
        <w:rPr>
          <w:sz w:val="20"/>
          <w:szCs w:val="20"/>
          <w:color w:val="auto"/>
        </w:rPr>
      </w:pPr>
    </w:p>
    <w:p>
      <w:pPr>
        <w:ind w:left="5080"/>
        <w:spacing w:after="0"/>
        <w:rPr>
          <w:sz w:val="20"/>
          <w:szCs w:val="20"/>
          <w:color w:val="auto"/>
        </w:rPr>
      </w:pPr>
      <w:r>
        <w:rPr>
          <w:rFonts w:ascii="Arial" w:cs="Arial" w:eastAsia="Arial" w:hAnsi="Arial"/>
          <w:sz w:val="25"/>
          <w:szCs w:val="25"/>
          <w:color w:val="auto"/>
        </w:rPr>
        <w:t>Consolidated Financial Statements</w:t>
      </w:r>
    </w:p>
    <w:p>
      <w:pPr>
        <w:spacing w:after="0" w:line="13"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As of and for Years Ended</w:t>
      </w:r>
    </w:p>
    <w:p>
      <w:pPr>
        <w:ind w:left="5080"/>
        <w:spacing w:after="0"/>
        <w:rPr>
          <w:sz w:val="20"/>
          <w:szCs w:val="20"/>
          <w:color w:val="auto"/>
        </w:rPr>
      </w:pPr>
      <w:r>
        <w:rPr>
          <w:rFonts w:ascii="Arial" w:cs="Arial" w:eastAsia="Arial" w:hAnsi="Arial"/>
          <w:sz w:val="22"/>
          <w:szCs w:val="22"/>
          <w:color w:val="auto"/>
        </w:rPr>
        <w:t>December 31, 2013 and 2012</w:t>
      </w:r>
    </w:p>
    <w:p>
      <w:pPr>
        <w:sectPr>
          <w:pgSz w:w="11900" w:h="16838" w:orient="portrait"/>
          <w:cols w:equalWidth="0" w:num="1">
            <w:col w:w="10220"/>
          </w:cols>
          <w:pgMar w:left="14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93345</wp:posOffset>
            </wp:positionV>
            <wp:extent cx="565150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1500" cy="26035"/>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and for the Years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2013 and 2012</w:t>
      </w:r>
    </w:p>
    <w:p>
      <w:pPr>
        <w:sectPr>
          <w:pgSz w:w="11900" w:h="16838" w:orient="portrait"/>
          <w:cols w:equalWidth="0" w:num="1">
            <w:col w:w="9019"/>
          </w:cols>
          <w:pgMar w:left="1440" w:top="26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9240" w:type="dxa"/>
            <w:vAlign w:val="bottom"/>
          </w:tcPr>
          <w:p>
            <w:pPr>
              <w:jc w:val="center"/>
              <w:ind w:left="2090"/>
              <w:spacing w:after="0"/>
              <w:rPr>
                <w:sz w:val="20"/>
                <w:szCs w:val="20"/>
                <w:color w:val="auto"/>
              </w:rPr>
            </w:pPr>
            <w:r>
              <w:rPr>
                <w:rFonts w:ascii="Arial" w:cs="Arial" w:eastAsia="Arial" w:hAnsi="Arial"/>
                <w:sz w:val="18"/>
                <w:szCs w:val="18"/>
                <w:b w:val="1"/>
                <w:bCs w:val="1"/>
                <w:color w:val="auto"/>
                <w:w w:val="89"/>
              </w:rPr>
              <w:t>SPH Holdings, Inc. and Subsidiaries</w:t>
            </w:r>
          </w:p>
        </w:tc>
        <w:tc>
          <w:tcPr>
            <w:tcW w:w="2080" w:type="dxa"/>
            <w:vAlign w:val="bottom"/>
          </w:tcPr>
          <w:p>
            <w:pPr>
              <w:spacing w:after="0"/>
              <w:rPr>
                <w:sz w:val="20"/>
                <w:szCs w:val="20"/>
                <w:color w:val="auto"/>
              </w:rPr>
            </w:pPr>
          </w:p>
        </w:tc>
      </w:tr>
      <w:tr>
        <w:trPr>
          <w:trHeight w:val="432"/>
        </w:trPr>
        <w:tc>
          <w:tcPr>
            <w:tcW w:w="9240" w:type="dxa"/>
            <w:vAlign w:val="bottom"/>
          </w:tcPr>
          <w:p>
            <w:pPr>
              <w:jc w:val="center"/>
              <w:ind w:left="2090"/>
              <w:spacing w:after="0"/>
              <w:rPr>
                <w:sz w:val="20"/>
                <w:szCs w:val="20"/>
                <w:color w:val="auto"/>
              </w:rPr>
            </w:pPr>
            <w:r>
              <w:rPr>
                <w:rFonts w:ascii="Arial" w:cs="Arial" w:eastAsia="Arial" w:hAnsi="Arial"/>
                <w:sz w:val="18"/>
                <w:szCs w:val="18"/>
                <w:b w:val="1"/>
                <w:bCs w:val="1"/>
                <w:color w:val="auto"/>
                <w:w w:val="89"/>
              </w:rPr>
              <w:t>Contents</w:t>
            </w:r>
          </w:p>
        </w:tc>
        <w:tc>
          <w:tcPr>
            <w:tcW w:w="2080" w:type="dxa"/>
            <w:vAlign w:val="bottom"/>
          </w:tcPr>
          <w:p>
            <w:pPr>
              <w:spacing w:after="0"/>
              <w:rPr>
                <w:sz w:val="24"/>
                <w:szCs w:val="24"/>
                <w:color w:val="auto"/>
              </w:rPr>
            </w:pPr>
          </w:p>
        </w:tc>
      </w:tr>
      <w:tr>
        <w:trPr>
          <w:trHeight w:val="459"/>
        </w:trPr>
        <w:tc>
          <w:tcPr>
            <w:tcW w:w="9240" w:type="dxa"/>
            <w:vAlign w:val="bottom"/>
          </w:tcPr>
          <w:p>
            <w:pPr>
              <w:spacing w:after="0"/>
              <w:rPr>
                <w:sz w:val="20"/>
                <w:szCs w:val="20"/>
                <w:color w:val="auto"/>
              </w:rPr>
            </w:pPr>
            <w:r>
              <w:rPr>
                <w:rFonts w:ascii="Arial" w:cs="Arial" w:eastAsia="Arial" w:hAnsi="Arial"/>
                <w:sz w:val="18"/>
                <w:szCs w:val="18"/>
                <w:b w:val="1"/>
                <w:bCs w:val="1"/>
                <w:color w:val="auto"/>
              </w:rPr>
              <w:t>Independent Auditor’s Report</w:t>
            </w:r>
          </w:p>
        </w:tc>
        <w:tc>
          <w:tcPr>
            <w:tcW w:w="2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24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080" w:type="dxa"/>
            <w:vAlign w:val="bottom"/>
          </w:tcPr>
          <w:p>
            <w:pPr>
              <w:spacing w:after="0"/>
              <w:rPr>
                <w:sz w:val="24"/>
                <w:szCs w:val="24"/>
                <w:color w:val="auto"/>
              </w:rPr>
            </w:pPr>
          </w:p>
        </w:tc>
      </w:tr>
      <w:tr>
        <w:trPr>
          <w:trHeight w:val="324"/>
        </w:trPr>
        <w:tc>
          <w:tcPr>
            <w:tcW w:w="9240" w:type="dxa"/>
            <w:vAlign w:val="bottom"/>
          </w:tcPr>
          <w:p>
            <w:pPr>
              <w:ind w:left="360"/>
              <w:spacing w:after="0"/>
              <w:rPr>
                <w:sz w:val="20"/>
                <w:szCs w:val="20"/>
                <w:color w:val="auto"/>
              </w:rPr>
            </w:pPr>
            <w:r>
              <w:rPr>
                <w:rFonts w:ascii="Arial" w:cs="Arial" w:eastAsia="Arial" w:hAnsi="Arial"/>
                <w:sz w:val="18"/>
                <w:szCs w:val="18"/>
                <w:color w:val="auto"/>
              </w:rPr>
              <w:t>Consolidated Balance Sheets as of December 31, 2013 and 2012</w:t>
            </w:r>
          </w:p>
        </w:tc>
        <w:tc>
          <w:tcPr>
            <w:tcW w:w="20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240" w:type="dxa"/>
            <w:vAlign w:val="bottom"/>
          </w:tcPr>
          <w:p>
            <w:pPr>
              <w:ind w:left="360"/>
              <w:spacing w:after="0"/>
              <w:rPr>
                <w:sz w:val="20"/>
                <w:szCs w:val="20"/>
                <w:color w:val="auto"/>
              </w:rPr>
            </w:pPr>
            <w:r>
              <w:rPr>
                <w:rFonts w:ascii="Arial" w:cs="Arial" w:eastAsia="Arial" w:hAnsi="Arial"/>
                <w:sz w:val="18"/>
                <w:szCs w:val="18"/>
                <w:color w:val="auto"/>
              </w:rPr>
              <w:t>Consolidated Statements of Operations for the Years Ended December 31, 2013 and 2012</w:t>
            </w:r>
          </w:p>
        </w:tc>
        <w:tc>
          <w:tcPr>
            <w:tcW w:w="2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9240" w:type="dxa"/>
            <w:vAlign w:val="bottom"/>
          </w:tcPr>
          <w:p>
            <w:pPr>
              <w:ind w:left="360"/>
              <w:spacing w:after="0"/>
              <w:rPr>
                <w:sz w:val="20"/>
                <w:szCs w:val="20"/>
                <w:color w:val="auto"/>
              </w:rPr>
            </w:pPr>
            <w:r>
              <w:rPr>
                <w:rFonts w:ascii="Arial" w:cs="Arial" w:eastAsia="Arial" w:hAnsi="Arial"/>
                <w:sz w:val="18"/>
                <w:szCs w:val="18"/>
                <w:color w:val="auto"/>
              </w:rPr>
              <w:t>Consolidated Statements of Stockholders’ Equity for the Years Ended December 31, 2013 and 2012</w:t>
            </w:r>
          </w:p>
        </w:tc>
        <w:tc>
          <w:tcPr>
            <w:tcW w:w="2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9240" w:type="dxa"/>
            <w:vAlign w:val="bottom"/>
          </w:tcPr>
          <w:p>
            <w:pPr>
              <w:ind w:left="360"/>
              <w:spacing w:after="0"/>
              <w:rPr>
                <w:sz w:val="20"/>
                <w:szCs w:val="20"/>
                <w:color w:val="auto"/>
              </w:rPr>
            </w:pPr>
            <w:r>
              <w:rPr>
                <w:rFonts w:ascii="Arial" w:cs="Arial" w:eastAsia="Arial" w:hAnsi="Arial"/>
                <w:sz w:val="18"/>
                <w:szCs w:val="18"/>
                <w:color w:val="auto"/>
              </w:rPr>
              <w:t>Consolidated Statements of Cash Flows for the Years Ended December 31, 2013 and 2012</w:t>
            </w:r>
          </w:p>
        </w:tc>
        <w:tc>
          <w:tcPr>
            <w:tcW w:w="2080" w:type="dxa"/>
            <w:vAlign w:val="bottom"/>
          </w:tcPr>
          <w:p>
            <w:pPr>
              <w:jc w:val="right"/>
              <w:spacing w:after="0"/>
              <w:rPr>
                <w:sz w:val="20"/>
                <w:szCs w:val="20"/>
                <w:color w:val="auto"/>
              </w:rPr>
            </w:pPr>
            <w:r>
              <w:rPr>
                <w:rFonts w:ascii="Arial" w:cs="Arial" w:eastAsia="Arial" w:hAnsi="Arial"/>
                <w:sz w:val="18"/>
                <w:szCs w:val="18"/>
                <w:color w:val="auto"/>
              </w:rPr>
              <w:t>9-10</w:t>
            </w:r>
          </w:p>
        </w:tc>
      </w:tr>
      <w:tr>
        <w:trPr>
          <w:trHeight w:val="324"/>
        </w:trPr>
        <w:tc>
          <w:tcPr>
            <w:tcW w:w="924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11-26</w:t>
            </w:r>
          </w:p>
        </w:tc>
      </w:tr>
      <w:tr>
        <w:trPr>
          <w:trHeight w:val="365"/>
        </w:trPr>
        <w:tc>
          <w:tcPr>
            <w:tcW w:w="9240" w:type="dxa"/>
            <w:vAlign w:val="bottom"/>
          </w:tcPr>
          <w:p>
            <w:pPr>
              <w:jc w:val="center"/>
              <w:ind w:left="2090"/>
              <w:spacing w:after="0"/>
              <w:rPr>
                <w:sz w:val="20"/>
                <w:szCs w:val="20"/>
                <w:color w:val="auto"/>
              </w:rPr>
            </w:pPr>
            <w:r>
              <w:rPr>
                <w:rFonts w:ascii="Arial" w:cs="Arial" w:eastAsia="Arial" w:hAnsi="Arial"/>
                <w:sz w:val="18"/>
                <w:szCs w:val="18"/>
                <w:color w:val="auto"/>
                <w:w w:val="99"/>
              </w:rPr>
              <w:t>2</w:t>
            </w:r>
          </w:p>
        </w:tc>
        <w:tc>
          <w:tcPr>
            <w:tcW w:w="2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SPH Holdings,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Fullerton, California</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audited the accompanying consolidated financial statements of SPH Holdings, Inc. and Subsidiaries, which comprise the consolidated balance sheets as of December 31, 2013 and 2012 and the related consolidated statements of operations, stockholders’ equity, and cash flows for the years then ended, and the related notes to the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Financial Statements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21"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color w:val="auto"/>
        </w:rPr>
        <w:t>BDO USA, LLP, a Delaware limited liability partnership, is the U.S. member of BDO International Limited, a UK company limited by guarantee, and forms part of the international BDO network of independent member firms.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BDO is the brand name for the BDO network and for each of the BDO Member Firms.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Opinion</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SPH Holdings, Inc. and Subsidiaries as of December 31, 2013 and 2012, and the results of their operations and their cash flows for the years then ended in accordance with accounting principles generally accepted in the United States of America.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a Matter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goodwill in the consolidated financial statements for the year ended December 31, 2013 due to unwinding the effects of the adoption of Accounting Standards Update No. 2014-02,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a consensus of the Private Company Council </w:t>
      </w:r>
      <w:r>
        <w:rPr>
          <w:rFonts w:ascii="Arial" w:cs="Arial" w:eastAsia="Arial" w:hAnsi="Arial"/>
          <w:sz w:val="18"/>
          <w:szCs w:val="18"/>
          <w:color w:val="auto"/>
        </w:rPr>
        <w:t>as the Company meets the definition of a public business entity. Our opinion is not modified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this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April 30, 2014, except for the “Recently Adopted Accounting Pronouncements” and “Goodwill” paragraphs in Note 2, which are as of March 3, 2016</w:t>
      </w:r>
    </w:p>
    <w:p>
      <w:pPr>
        <w:spacing w:after="0" w:line="218"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auto"/>
        </w:rPr>
        <w:t>BDO USA, LLP, a Delaware limited liability partnership, is the U.S. member of BDO International Limited, a UK company limited by guarantee, and forms part of the international BDO network of independent member firms.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BDO is the brand name for the BDO network and for each of the BDO Member Firms.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118745</wp:posOffset>
            </wp:positionV>
            <wp:extent cx="565150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1500" cy="26035"/>
                    </a:xfrm>
                    <a:prstGeom prst="rect">
                      <a:avLst/>
                    </a:prstGeom>
                    <a:noFill/>
                  </pic:spPr>
                </pic:pic>
              </a:graphicData>
            </a:graphic>
          </wp:anchor>
        </w:drawing>
      </w:r>
    </w:p>
    <w:p>
      <w:pPr>
        <w:sectPr>
          <w:pgSz w:w="11900" w:h="16838" w:orient="portrait"/>
          <w:cols w:equalWidth="0" w:num="1">
            <w:col w:w="9019"/>
          </w:cols>
          <w:pgMar w:left="1440" w:top="261"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40" w:type="dxa"/>
            <w:vAlign w:val="bottom"/>
            <w:gridSpan w:val="3"/>
          </w:tcPr>
          <w:p>
            <w:pPr>
              <w:spacing w:after="0"/>
              <w:rPr>
                <w:sz w:val="20"/>
                <w:szCs w:val="20"/>
                <w:color w:val="auto"/>
              </w:rPr>
            </w:pPr>
            <w:r>
              <w:rPr>
                <w:rFonts w:ascii="Arial" w:cs="Arial" w:eastAsia="Arial" w:hAnsi="Arial"/>
                <w:sz w:val="14"/>
                <w:szCs w:val="14"/>
                <w:i w:val="1"/>
                <w:iCs w:val="1"/>
                <w:color w:val="auto"/>
              </w:rPr>
              <w:t>December 31,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76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850,900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 of allowance of $596,500 and $583,600, respectively</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14,200,200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11,379,000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11,987,800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13,788,700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Prepaid expenses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539,300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1,432,000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715,600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29,010,200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27,057,600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6,153,100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5,043,400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Prepaid expenses, net of current portion</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Debt issuance costs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147,100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19,204,400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24,653,600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Goodwill</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22,561,800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22,561,800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77,076,600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79,546,600</w:t>
            </w:r>
          </w:p>
        </w:tc>
        <w:tc>
          <w:tcPr>
            <w:tcW w:w="0" w:type="dxa"/>
            <w:vAlign w:val="bottom"/>
          </w:tcPr>
          <w:p>
            <w:pPr>
              <w:spacing w:after="0"/>
              <w:rPr>
                <w:sz w:val="1"/>
                <w:szCs w:val="1"/>
                <w:color w:val="auto"/>
              </w:rPr>
            </w:pPr>
          </w:p>
        </w:tc>
      </w:tr>
      <w:tr>
        <w:trPr>
          <w:trHeight w:val="20"/>
        </w:trPr>
        <w:tc>
          <w:tcPr>
            <w:tcW w:w="8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8,285,700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5,765,800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debt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1,764,800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1,472,900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Other accrued expenses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1,714,000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1,586,000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payable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327,000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12,092,100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8,825,600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Debt, net of current portion and discount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30,534,800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36,635,400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Deferred tax liability</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7,544,500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8,953,900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38,079,300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45,589,300</w:t>
            </w:r>
          </w:p>
        </w:tc>
        <w:tc>
          <w:tcPr>
            <w:tcW w:w="0" w:type="dxa"/>
            <w:vAlign w:val="bottom"/>
          </w:tcPr>
          <w:p>
            <w:pPr>
              <w:spacing w:after="0"/>
              <w:rPr>
                <w:sz w:val="1"/>
                <w:szCs w:val="1"/>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50,171,400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54,414,900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(see Note 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Series A convertible preferred stock, 296,880 and 293,249 shares issued and outstanding, respectively</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29,762,800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29,322,000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Stockholder notes receivable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(301,800)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(2,555,800)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(4,056,600)</w:t>
            </w:r>
          </w:p>
        </w:tc>
        <w:tc>
          <w:tcPr>
            <w:tcW w:w="0" w:type="dxa"/>
            <w:vAlign w:val="bottom"/>
          </w:tcPr>
          <w:p>
            <w:pPr>
              <w:spacing w:after="0"/>
              <w:rPr>
                <w:sz w:val="1"/>
                <w:szCs w:val="1"/>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Total stockholders’ equity</w:t>
            </w:r>
          </w:p>
        </w:tc>
        <w:tc>
          <w:tcPr>
            <w:tcW w:w="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26,905,200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25,131,700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77,076,600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79,546,600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80" w:type="dxa"/>
            <w:vAlign w:val="bottom"/>
            <w:gridSpan w:val="3"/>
          </w:tcPr>
          <w:p>
            <w:pPr>
              <w:spacing w:after="0"/>
              <w:rPr>
                <w:sz w:val="20"/>
                <w:szCs w:val="20"/>
                <w:color w:val="auto"/>
              </w:rPr>
            </w:pPr>
            <w:r>
              <w:rPr>
                <w:rFonts w:ascii="Arial" w:cs="Arial" w:eastAsia="Arial" w:hAnsi="Arial"/>
                <w:sz w:val="14"/>
                <w:szCs w:val="14"/>
                <w:i w:val="1"/>
                <w:iCs w:val="1"/>
                <w:color w:val="auto"/>
              </w:rPr>
              <w:t>Years ended December 31,</w:t>
            </w:r>
          </w:p>
        </w:tc>
        <w:tc>
          <w:tcPr>
            <w:tcW w:w="100" w:type="dxa"/>
            <w:vAlign w:val="bottom"/>
          </w:tcPr>
          <w:p>
            <w:pPr>
              <w:spacing w:after="0"/>
              <w:rPr>
                <w:sz w:val="16"/>
                <w:szCs w:val="16"/>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230"/>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Revenues, net</w:t>
            </w:r>
          </w:p>
        </w:tc>
        <w:tc>
          <w:tcPr>
            <w:tcW w:w="7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101,961,200</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$83,678,100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Cost of sales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79,016,300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63,294,400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22,944,900</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20,383,700</w:t>
            </w:r>
          </w:p>
        </w:tc>
      </w:tr>
      <w:tr>
        <w:trPr>
          <w:trHeight w:val="223"/>
        </w:trPr>
        <w:tc>
          <w:tcPr>
            <w:tcW w:w="9080" w:type="dxa"/>
            <w:vAlign w:val="bottom"/>
            <w:gridSpan w:val="3"/>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11,600,300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13,014,700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Amortization of intangibles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5,449,200</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4,864,100</w:t>
            </w:r>
          </w:p>
        </w:tc>
      </w:tr>
      <w:tr>
        <w:trPr>
          <w:trHeight w:val="230"/>
        </w:trPr>
        <w:tc>
          <w:tcPr>
            <w:tcW w:w="9080" w:type="dxa"/>
            <w:vAlign w:val="bottom"/>
            <w:gridSpan w:val="3"/>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17,049,500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17,878,800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5,895,400</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2,504,900</w:t>
            </w: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Interest expense, net</w:t>
            </w:r>
          </w:p>
        </w:tc>
        <w:tc>
          <w:tcPr>
            <w:tcW w:w="1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(3,396,100)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(3,423,800)</w:t>
            </w: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(769,800)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(108,200)</w:t>
            </w:r>
          </w:p>
        </w:tc>
      </w:tr>
      <w:tr>
        <w:trPr>
          <w:trHeight w:val="223"/>
        </w:trPr>
        <w:tc>
          <w:tcPr>
            <w:tcW w:w="9080" w:type="dxa"/>
            <w:vAlign w:val="bottom"/>
            <w:gridSpan w:val="3"/>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1,729,500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(1,027,100)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(228,700)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(519,000)</w:t>
            </w:r>
          </w:p>
        </w:tc>
      </w:tr>
      <w:tr>
        <w:trPr>
          <w:trHeight w:val="223"/>
        </w:trPr>
        <w:tc>
          <w:tcPr>
            <w:tcW w:w="9080" w:type="dxa"/>
            <w:vAlign w:val="bottom"/>
            <w:gridSpan w:val="3"/>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1,500,800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(1,546,100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920" w:type="dxa"/>
            <w:vAlign w:val="bottom"/>
            <w:gridSpan w:val="5"/>
          </w:tcPr>
          <w:p>
            <w:pPr>
              <w:jc w:val="right"/>
              <w:ind w:right="580"/>
              <w:spacing w:after="0"/>
              <w:rPr>
                <w:sz w:val="20"/>
                <w:szCs w:val="20"/>
                <w:color w:val="auto"/>
              </w:rPr>
            </w:pPr>
            <w:r>
              <w:rPr>
                <w:rFonts w:ascii="Arial" w:cs="Arial" w:eastAsia="Arial" w:hAnsi="Arial"/>
                <w:sz w:val="14"/>
                <w:szCs w:val="14"/>
                <w:i w:val="1"/>
                <w:iCs w:val="1"/>
                <w:color w:val="auto"/>
              </w:rPr>
              <w:t>Preferred Stock</w:t>
            </w:r>
          </w:p>
        </w:tc>
        <w:tc>
          <w:tcPr>
            <w:tcW w:w="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Stockholder</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920" w:type="dxa"/>
            <w:vAlign w:val="bottom"/>
            <w:gridSpan w:val="5"/>
          </w:tcPr>
          <w:p>
            <w:pPr>
              <w:jc w:val="right"/>
              <w:ind w:right="780"/>
              <w:spacing w:after="0"/>
              <w:rPr>
                <w:sz w:val="20"/>
                <w:szCs w:val="20"/>
                <w:color w:val="auto"/>
              </w:rPr>
            </w:pPr>
            <w:r>
              <w:rPr>
                <w:rFonts w:ascii="Arial" w:cs="Arial" w:eastAsia="Arial" w:hAnsi="Arial"/>
                <w:sz w:val="14"/>
                <w:szCs w:val="14"/>
                <w:i w:val="1"/>
                <w:iCs w:val="1"/>
                <w:color w:val="auto"/>
              </w:rPr>
              <w:t>Series A</w:t>
            </w:r>
          </w:p>
        </w:tc>
        <w:tc>
          <w:tcPr>
            <w:tcW w:w="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Notes</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Accumulated</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88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color w:val="auto"/>
              </w:rPr>
              <w:t>Shares</w:t>
            </w:r>
          </w:p>
        </w:tc>
        <w:tc>
          <w:tcPr>
            <w:tcW w:w="90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60"/>
              <w:spacing w:after="0" w:line="142" w:lineRule="exact"/>
              <w:rPr>
                <w:sz w:val="20"/>
                <w:szCs w:val="20"/>
                <w:color w:val="auto"/>
              </w:rPr>
            </w:pPr>
            <w:r>
              <w:rPr>
                <w:rFonts w:ascii="Arial" w:cs="Arial" w:eastAsia="Arial" w:hAnsi="Arial"/>
                <w:sz w:val="14"/>
                <w:szCs w:val="14"/>
                <w:color w:val="auto"/>
                <w:w w:val="92"/>
              </w:rPr>
              <w:t>Receivable</w:t>
            </w:r>
          </w:p>
        </w:tc>
        <w:tc>
          <w:tcPr>
            <w:tcW w:w="100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2"/>
                <w:szCs w:val="12"/>
                <w:color w:val="auto"/>
              </w:rPr>
            </w:pPr>
          </w:p>
        </w:tc>
        <w:tc>
          <w:tcPr>
            <w:tcW w:w="1020" w:type="dxa"/>
            <w:vAlign w:val="bottom"/>
            <w:gridSpan w:val="2"/>
          </w:tcPr>
          <w:p>
            <w:pPr>
              <w:jc w:val="right"/>
              <w:ind w:right="42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31, 2011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220,620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$22,062,000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$(209,100)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$(2,001,100)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$19,851,800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Issuance of preferred stock</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73,629</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7,360,000</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7,360,000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Retirement of preferred stock and shareholder note</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80,000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Stockholder notes accrued interest</w:t>
            </w: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(4,600)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Dividend declared and paid</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(509,400)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(509,400)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(1,546,100)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(1,546,100)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31, 2012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293,249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29,322,000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(133,700)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(4,056,600)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25,131,700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Issuance of preferred stock</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3,631</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440,800</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440,800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stockholder note receivable</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(157,800)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Stockholder notes accrued interest</w:t>
            </w: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(10,300)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1,500,800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1,500,800</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31, 2013</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296,880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29,762,800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(301,800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(2,555,800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26,905,200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20" w:type="dxa"/>
            <w:vAlign w:val="bottom"/>
            <w:gridSpan w:val="3"/>
          </w:tcPr>
          <w:p>
            <w:pPr>
              <w:spacing w:after="0"/>
              <w:rPr>
                <w:sz w:val="20"/>
                <w:szCs w:val="20"/>
                <w:color w:val="auto"/>
              </w:rPr>
            </w:pPr>
            <w:r>
              <w:rPr>
                <w:rFonts w:ascii="Arial" w:cs="Arial" w:eastAsia="Arial" w:hAnsi="Arial"/>
                <w:sz w:val="14"/>
                <w:szCs w:val="14"/>
                <w:i w:val="1"/>
                <w:iCs w:val="1"/>
                <w:color w:val="auto"/>
              </w:rPr>
              <w:t>Years ended December 31,</w:t>
            </w:r>
          </w:p>
        </w:tc>
        <w:tc>
          <w:tcPr>
            <w:tcW w:w="88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4"/>
                <w:szCs w:val="14"/>
                <w:color w:val="auto"/>
              </w:rPr>
            </w:pPr>
          </w:p>
        </w:tc>
        <w:tc>
          <w:tcPr>
            <w:tcW w:w="980" w:type="dxa"/>
            <w:vAlign w:val="bottom"/>
          </w:tcPr>
          <w:p>
            <w:pPr>
              <w:jc w:val="right"/>
              <w:ind w:right="271"/>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bottom w:val="single" w:sz="8" w:color="CCEEFF"/>
            </w:tcBorders>
            <w:shd w:val="clear" w:color="auto" w:fill="000000"/>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0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340"/>
              <w:spacing w:after="0"/>
              <w:rPr>
                <w:sz w:val="20"/>
                <w:szCs w:val="20"/>
                <w:color w:val="auto"/>
              </w:rPr>
            </w:pPr>
            <w:r>
              <w:rPr>
                <w:rFonts w:ascii="Arial" w:cs="Arial" w:eastAsia="Arial" w:hAnsi="Arial"/>
                <w:sz w:val="18"/>
                <w:szCs w:val="18"/>
                <w:color w:val="auto"/>
              </w:rPr>
              <w:t>Net income (loss)</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$ 1,500,800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5"/>
              </w:rPr>
              <w:t>$ (1,546,100)</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700"/>
              <w:spacing w:after="0"/>
              <w:rPr>
                <w:sz w:val="20"/>
                <w:szCs w:val="20"/>
                <w:color w:val="auto"/>
              </w:rPr>
            </w:pPr>
            <w:r>
              <w:rPr>
                <w:rFonts w:ascii="Arial" w:cs="Arial" w:eastAsia="Arial" w:hAnsi="Arial"/>
                <w:sz w:val="18"/>
                <w:szCs w:val="18"/>
                <w:color w:val="auto"/>
              </w:rPr>
              <w:t>Depreciation</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473,400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301,600</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Amortization of intangible assets</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5,449,200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4,864,100</w:t>
            </w:r>
          </w:p>
        </w:tc>
      </w:tr>
      <w:tr>
        <w:trPr>
          <w:trHeight w:val="216"/>
        </w:trPr>
        <w:tc>
          <w:tcPr>
            <w:tcW w:w="20" w:type="dxa"/>
            <w:vAlign w:val="bottom"/>
          </w:tcPr>
          <w:p>
            <w:pPr>
              <w:spacing w:after="0"/>
              <w:rPr>
                <w:sz w:val="18"/>
                <w:szCs w:val="18"/>
                <w:color w:val="auto"/>
              </w:rPr>
            </w:pPr>
          </w:p>
        </w:tc>
        <w:tc>
          <w:tcPr>
            <w:tcW w:w="9000" w:type="dxa"/>
            <w:vAlign w:val="bottom"/>
            <w:gridSpan w:val="2"/>
          </w:tcPr>
          <w:p>
            <w:pPr>
              <w:ind w:left="700"/>
              <w:spacing w:after="0"/>
              <w:rPr>
                <w:sz w:val="20"/>
                <w:szCs w:val="20"/>
                <w:color w:val="auto"/>
              </w:rPr>
            </w:pPr>
            <w:r>
              <w:rPr>
                <w:rFonts w:ascii="Arial" w:cs="Arial" w:eastAsia="Arial" w:hAnsi="Arial"/>
                <w:sz w:val="18"/>
                <w:szCs w:val="18"/>
                <w:color w:val="auto"/>
              </w:rPr>
              <w:t>Amortization of debt issuance and debt discount costs</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261,900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207,100</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Shareholder accrued interest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(10,300)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(4,600)</w:t>
            </w:r>
          </w:p>
        </w:tc>
      </w:tr>
      <w:tr>
        <w:trPr>
          <w:trHeight w:val="216"/>
        </w:trPr>
        <w:tc>
          <w:tcPr>
            <w:tcW w:w="20" w:type="dxa"/>
            <w:vAlign w:val="bottom"/>
          </w:tcPr>
          <w:p>
            <w:pPr>
              <w:spacing w:after="0"/>
              <w:rPr>
                <w:sz w:val="18"/>
                <w:szCs w:val="18"/>
                <w:color w:val="auto"/>
              </w:rPr>
            </w:pPr>
          </w:p>
        </w:tc>
        <w:tc>
          <w:tcPr>
            <w:tcW w:w="9000" w:type="dxa"/>
            <w:vAlign w:val="bottom"/>
            <w:gridSpan w:val="2"/>
          </w:tcPr>
          <w:p>
            <w:pPr>
              <w:ind w:left="700"/>
              <w:spacing w:after="0"/>
              <w:rPr>
                <w:sz w:val="20"/>
                <w:szCs w:val="20"/>
                <w:color w:val="auto"/>
              </w:rPr>
            </w:pPr>
            <w:r>
              <w:rPr>
                <w:rFonts w:ascii="Arial" w:cs="Arial" w:eastAsia="Arial" w:hAnsi="Arial"/>
                <w:sz w:val="18"/>
                <w:szCs w:val="18"/>
                <w:color w:val="auto"/>
              </w:rPr>
              <w:t>Loss on sale of equipment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153,800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Bad debt expense</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35,200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121,000</w:t>
            </w:r>
          </w:p>
        </w:tc>
      </w:tr>
      <w:tr>
        <w:trPr>
          <w:trHeight w:val="216"/>
        </w:trPr>
        <w:tc>
          <w:tcPr>
            <w:tcW w:w="20" w:type="dxa"/>
            <w:vAlign w:val="bottom"/>
          </w:tcPr>
          <w:p>
            <w:pPr>
              <w:spacing w:after="0"/>
              <w:rPr>
                <w:sz w:val="18"/>
                <w:szCs w:val="18"/>
                <w:color w:val="auto"/>
              </w:rPr>
            </w:pPr>
          </w:p>
        </w:tc>
        <w:tc>
          <w:tcPr>
            <w:tcW w:w="9000" w:type="dxa"/>
            <w:vAlign w:val="bottom"/>
            <w:gridSpan w:val="2"/>
          </w:tcPr>
          <w:p>
            <w:pPr>
              <w:ind w:left="700"/>
              <w:spacing w:after="0"/>
              <w:rPr>
                <w:sz w:val="20"/>
                <w:szCs w:val="20"/>
                <w:color w:val="auto"/>
              </w:rPr>
            </w:pPr>
            <w:r>
              <w:rPr>
                <w:rFonts w:ascii="Arial" w:cs="Arial" w:eastAsia="Arial" w:hAnsi="Arial"/>
                <w:sz w:val="18"/>
                <w:szCs w:val="18"/>
                <w:color w:val="auto"/>
              </w:rPr>
              <w:t>(Recovery) provision for obsolete inventory</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(301,600)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162,000</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income taxes, net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9"/>
              </w:rPr>
              <w:t>(2,125,800)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693,000</w:t>
            </w:r>
          </w:p>
        </w:tc>
      </w:tr>
      <w:tr>
        <w:trPr>
          <w:trHeight w:val="216"/>
        </w:trPr>
        <w:tc>
          <w:tcPr>
            <w:tcW w:w="20" w:type="dxa"/>
            <w:vAlign w:val="bottom"/>
          </w:tcPr>
          <w:p>
            <w:pPr>
              <w:spacing w:after="0"/>
              <w:rPr>
                <w:sz w:val="18"/>
                <w:szCs w:val="18"/>
                <w:color w:val="auto"/>
              </w:rPr>
            </w:pPr>
          </w:p>
        </w:tc>
        <w:tc>
          <w:tcPr>
            <w:tcW w:w="9000" w:type="dxa"/>
            <w:vAlign w:val="bottom"/>
            <w:gridSpan w:val="2"/>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Accounts receivable</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9"/>
              </w:rPr>
              <w:t>(2,856,400)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5,020,400</w:t>
            </w:r>
          </w:p>
        </w:tc>
      </w:tr>
      <w:tr>
        <w:trPr>
          <w:trHeight w:val="216"/>
        </w:trPr>
        <w:tc>
          <w:tcPr>
            <w:tcW w:w="20" w:type="dxa"/>
            <w:vAlign w:val="bottom"/>
          </w:tcPr>
          <w:p>
            <w:pPr>
              <w:spacing w:after="0"/>
              <w:rPr>
                <w:sz w:val="18"/>
                <w:szCs w:val="18"/>
                <w:color w:val="auto"/>
              </w:rPr>
            </w:pPr>
          </w:p>
        </w:tc>
        <w:tc>
          <w:tcPr>
            <w:tcW w:w="9000" w:type="dxa"/>
            <w:vAlign w:val="bottom"/>
            <w:gridSpan w:val="2"/>
          </w:tcPr>
          <w:p>
            <w:pPr>
              <w:ind w:left="1060"/>
              <w:spacing w:after="0"/>
              <w:rPr>
                <w:sz w:val="20"/>
                <w:szCs w:val="20"/>
                <w:color w:val="auto"/>
              </w:rPr>
            </w:pPr>
            <w:r>
              <w:rPr>
                <w:rFonts w:ascii="Arial" w:cs="Arial" w:eastAsia="Arial" w:hAnsi="Arial"/>
                <w:sz w:val="18"/>
                <w:szCs w:val="18"/>
                <w:color w:val="auto"/>
              </w:rPr>
              <w:t>Inventories</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2,102,500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(400,700)</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Prepaid expenses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(149,100)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273,100</w:t>
            </w:r>
          </w:p>
        </w:tc>
      </w:tr>
      <w:tr>
        <w:trPr>
          <w:trHeight w:val="216"/>
        </w:trPr>
        <w:tc>
          <w:tcPr>
            <w:tcW w:w="20" w:type="dxa"/>
            <w:vAlign w:val="bottom"/>
          </w:tcPr>
          <w:p>
            <w:pPr>
              <w:spacing w:after="0"/>
              <w:rPr>
                <w:sz w:val="18"/>
                <w:szCs w:val="18"/>
                <w:color w:val="auto"/>
              </w:rPr>
            </w:pPr>
          </w:p>
        </w:tc>
        <w:tc>
          <w:tcPr>
            <w:tcW w:w="9000" w:type="dxa"/>
            <w:vAlign w:val="bottom"/>
            <w:gridSpan w:val="2"/>
          </w:tcPr>
          <w:p>
            <w:pPr>
              <w:ind w:left="1060"/>
              <w:spacing w:after="0"/>
              <w:rPr>
                <w:sz w:val="20"/>
                <w:szCs w:val="20"/>
                <w:color w:val="auto"/>
              </w:rPr>
            </w:pPr>
            <w:r>
              <w:rPr>
                <w:rFonts w:ascii="Arial" w:cs="Arial" w:eastAsia="Arial" w:hAnsi="Arial"/>
                <w:sz w:val="18"/>
                <w:szCs w:val="18"/>
                <w:color w:val="auto"/>
              </w:rPr>
              <w:t>Income taxes payable/receivable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534,000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(174,200)</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2,519,900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(3,915,300)</w:t>
            </w:r>
          </w:p>
        </w:tc>
      </w:tr>
      <w:tr>
        <w:trPr>
          <w:trHeight w:val="216"/>
        </w:trPr>
        <w:tc>
          <w:tcPr>
            <w:tcW w:w="20" w:type="dxa"/>
            <w:vAlign w:val="bottom"/>
          </w:tcPr>
          <w:p>
            <w:pPr>
              <w:spacing w:after="0"/>
              <w:rPr>
                <w:sz w:val="18"/>
                <w:szCs w:val="18"/>
                <w:color w:val="auto"/>
              </w:rPr>
            </w:pPr>
          </w:p>
        </w:tc>
        <w:tc>
          <w:tcPr>
            <w:tcW w:w="9000" w:type="dxa"/>
            <w:vAlign w:val="bottom"/>
            <w:gridSpan w:val="2"/>
          </w:tcPr>
          <w:p>
            <w:pPr>
              <w:ind w:left="1060"/>
              <w:spacing w:after="0"/>
              <w:rPr>
                <w:sz w:val="20"/>
                <w:szCs w:val="20"/>
                <w:color w:val="auto"/>
              </w:rPr>
            </w:pPr>
            <w:r>
              <w:rPr>
                <w:rFonts w:ascii="Arial" w:cs="Arial" w:eastAsia="Arial" w:hAnsi="Arial"/>
                <w:sz w:val="18"/>
                <w:szCs w:val="18"/>
                <w:color w:val="auto"/>
              </w:rPr>
              <w:t>Other accrued expenses</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128,000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1,134,300</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Interest payable</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w:t>
            </w:r>
          </w:p>
        </w:tc>
      </w:tr>
      <w:tr>
        <w:trPr>
          <w:trHeight w:val="230"/>
        </w:trPr>
        <w:tc>
          <w:tcPr>
            <w:tcW w:w="902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7,715,200</w:t>
            </w:r>
          </w:p>
        </w:tc>
        <w:tc>
          <w:tcPr>
            <w:tcW w:w="4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6,741,600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(1,736,900)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(536,300)</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Payment for purchase of the outstanding stock of Pharmline, Inc.</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(28,000,000)</w:t>
            </w:r>
          </w:p>
        </w:tc>
      </w:tr>
      <w:tr>
        <w:trPr>
          <w:trHeight w:val="223"/>
        </w:trPr>
        <w:tc>
          <w:tcPr>
            <w:tcW w:w="9020" w:type="dxa"/>
            <w:vAlign w:val="bottom"/>
            <w:gridSpan w:val="3"/>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(1,736,900</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(28,536,300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372"/>
        </w:trPr>
        <w:tc>
          <w:tcPr>
            <w:tcW w:w="9020" w:type="dxa"/>
            <w:vAlign w:val="bottom"/>
            <w:gridSpan w:val="3"/>
          </w:tcPr>
          <w:p>
            <w:pPr>
              <w:jc w:val="right"/>
              <w:ind w:right="3260"/>
              <w:spacing w:after="0"/>
              <w:rPr>
                <w:sz w:val="20"/>
                <w:szCs w:val="20"/>
                <w:color w:val="auto"/>
              </w:rPr>
            </w:pPr>
            <w:r>
              <w:rPr>
                <w:rFonts w:ascii="Arial" w:cs="Arial" w:eastAsia="Arial" w:hAnsi="Arial"/>
                <w:sz w:val="18"/>
                <w:szCs w:val="18"/>
                <w:color w:val="auto"/>
              </w:rPr>
              <w:t>9</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60" w:type="dxa"/>
            <w:vAlign w:val="bottom"/>
            <w:gridSpan w:val="3"/>
          </w:tcPr>
          <w:p>
            <w:pPr>
              <w:spacing w:after="0"/>
              <w:rPr>
                <w:sz w:val="20"/>
                <w:szCs w:val="20"/>
                <w:color w:val="auto"/>
              </w:rPr>
            </w:pPr>
            <w:r>
              <w:rPr>
                <w:rFonts w:ascii="Arial" w:cs="Arial" w:eastAsia="Arial" w:hAnsi="Arial"/>
                <w:sz w:val="14"/>
                <w:szCs w:val="14"/>
                <w:i w:val="1"/>
                <w:iCs w:val="1"/>
                <w:color w:val="auto"/>
              </w:rPr>
              <w:t>Years ended December 31,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bottom w:val="single" w:sz="8" w:color="CCEEFF"/>
            </w:tcBorders>
            <w:shd w:val="clear" w:color="auto" w:fill="000000"/>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7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ind w:left="340"/>
              <w:spacing w:after="0"/>
              <w:rPr>
                <w:sz w:val="20"/>
                <w:szCs w:val="20"/>
                <w:color w:val="auto"/>
              </w:rPr>
            </w:pPr>
            <w:r>
              <w:rPr>
                <w:rFonts w:ascii="Arial" w:cs="Arial" w:eastAsia="Arial" w:hAnsi="Arial"/>
                <w:sz w:val="18"/>
                <w:szCs w:val="18"/>
                <w:color w:val="auto"/>
              </w:rPr>
              <w:t>Proceeds from debt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23,888,300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 of debt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(5,988,700)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(8,122,400)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ind w:left="340"/>
              <w:spacing w:after="0"/>
              <w:rPr>
                <w:sz w:val="20"/>
                <w:szCs w:val="20"/>
                <w:color w:val="auto"/>
              </w:rPr>
            </w:pPr>
            <w:r>
              <w:rPr>
                <w:rFonts w:ascii="Arial" w:cs="Arial" w:eastAsia="Arial" w:hAnsi="Arial"/>
                <w:sz w:val="18"/>
                <w:szCs w:val="18"/>
                <w:color w:val="auto"/>
              </w:rPr>
              <w:t>Payment of debt issuance and debt discount costs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(471,300)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issuance of preferred stock</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283,000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7,360,000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ind w:left="340"/>
              <w:spacing w:after="0"/>
              <w:rPr>
                <w:sz w:val="20"/>
                <w:szCs w:val="20"/>
                <w:color w:val="auto"/>
              </w:rPr>
            </w:pPr>
            <w:r>
              <w:rPr>
                <w:rFonts w:ascii="Arial" w:cs="Arial" w:eastAsia="Arial" w:hAnsi="Arial"/>
                <w:sz w:val="18"/>
                <w:szCs w:val="18"/>
                <w:color w:val="auto"/>
              </w:rPr>
              <w:t>Repurchase of preferred stock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paid to stockholders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(509,400)</w:t>
            </w:r>
          </w:p>
        </w:tc>
        <w:tc>
          <w:tcPr>
            <w:tcW w:w="0" w:type="dxa"/>
            <w:vAlign w:val="bottom"/>
          </w:tcPr>
          <w:p>
            <w:pPr>
              <w:spacing w:after="0"/>
              <w:rPr>
                <w:sz w:val="1"/>
                <w:szCs w:val="1"/>
                <w:color w:val="auto"/>
              </w:rPr>
            </w:pPr>
          </w:p>
        </w:tc>
      </w:tr>
      <w:tr>
        <w:trPr>
          <w:trHeight w:val="230"/>
        </w:trPr>
        <w:tc>
          <w:tcPr>
            <w:tcW w:w="8760" w:type="dxa"/>
            <w:vAlign w:val="bottom"/>
            <w:gridSpan w:val="3"/>
          </w:tcPr>
          <w:p>
            <w:pPr>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(5,705,700</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22,125,200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272,600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period</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578,300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period</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850,900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578,300</w:t>
            </w:r>
          </w:p>
        </w:tc>
        <w:tc>
          <w:tcPr>
            <w:tcW w:w="0" w:type="dxa"/>
            <w:vAlign w:val="bottom"/>
          </w:tcPr>
          <w:p>
            <w:pPr>
              <w:spacing w:after="0"/>
              <w:rPr>
                <w:sz w:val="1"/>
                <w:szCs w:val="1"/>
                <w:color w:val="auto"/>
              </w:rPr>
            </w:pPr>
          </w:p>
        </w:tc>
      </w:tr>
      <w:tr>
        <w:trPr>
          <w:trHeight w:val="20"/>
        </w:trPr>
        <w:tc>
          <w:tcPr>
            <w:tcW w:w="8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during the year for: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ind w:left="700"/>
              <w:spacing w:after="0"/>
              <w:rPr>
                <w:sz w:val="20"/>
                <w:szCs w:val="20"/>
                <w:color w:val="auto"/>
              </w:rPr>
            </w:pPr>
            <w:r>
              <w:rPr>
                <w:rFonts w:ascii="Arial" w:cs="Arial" w:eastAsia="Arial" w:hAnsi="Arial"/>
                <w:sz w:val="18"/>
                <w:szCs w:val="18"/>
                <w:color w:val="auto"/>
              </w:rPr>
              <w:t>Interest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4"/>
              </w:rPr>
              <w:t>3,145,100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3,221,300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Income taxes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1,823,400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Issuance of shareholder note</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157,800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4"/>
              </w:rPr>
              <w:t>Conversion of accounts receivable, accounts payable and working capital adjustment in settlement of Pharmline</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gridSpan w:val="2"/>
          </w:tcPr>
          <w:p>
            <w:pPr>
              <w:ind w:left="520"/>
              <w:spacing w:after="0"/>
              <w:rPr>
                <w:sz w:val="20"/>
                <w:szCs w:val="20"/>
                <w:color w:val="auto"/>
              </w:rPr>
            </w:pPr>
            <w:r>
              <w:rPr>
                <w:rFonts w:ascii="Arial" w:cs="Arial" w:eastAsia="Arial" w:hAnsi="Arial"/>
                <w:sz w:val="18"/>
                <w:szCs w:val="18"/>
                <w:color w:val="auto"/>
              </w:rPr>
              <w:t>Inc.’s closing cash</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1,348,800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Description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SPH Holdings, Inc. (“SPHHI”), which was incorporated on November 1, 2010 under the General Corporation Law of the State of Delaware, is the sole stockholder of Stauber Holdings, Inc. (“Holdings”), which is the sole stockholder of Stauber Performance Ingredients, Inc. dba Stauber California (“SCA”), which is the sole member of Stauber Performance Ingredients, LLC (“SPILLC”) (together, the “Company”). SCA is the only active operating company; SPHHI and Holdings are passive holding companies that may generate interest income or transaction costs. SPHHI is a holding company which monitors the operating company and may engage in strategic acquisitions for the Company. SCA distributes food ingredients, nutrients, and fine chemicals in bulk to processors and manufacturers in the food, nutritional supplement, and pharmaceutical industries.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May 21, 2012, SPHHI acquired all of the outstanding equity securities of Gadot USA, Inc. (“Gadot”), the parent and sole stockholder of Pharmline, Inc. dba Stauber New York (“SNY”), a value-added manufacturer and distributor of nutraceutical products located in Florida, New York. SNY was acquired to expand the Company’s geographic presence and manufacturing capabilities. Gadot was purchased for approximately $29,500,000, including transaction expenses of approximately $1,500,000, which was funded through $7,300,000 from the issuance of additional Series A convertible preferred stock to existing stockholders and additional borrowings from existing lenders under amended term and revolving credit facilities totaling $10,500,000 and $11,700,000, respectively.</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acquisition of SNY was accounted for using the acquisition method. Assets acquired and liabilities assumed were recorded at their estimated fair values as of the acquisition date. The fair values of identifiable intangible assets were based on valuations using the income approach and estimates provided by management. The excess of the purchase price over the tangible assets, identifiable intangible assets and assumed liabilities was recorded as goodwill. The allocation of the purchase price was based upon the fair value of certain assets acquired and liabilities assumed as of the date of acquisition. The purchase price was allocated as follows: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remainder of this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0" w:right="2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320" w:type="dxa"/>
            <w:vAlign w:val="bottom"/>
          </w:tcPr>
          <w:p>
            <w:pPr>
              <w:jc w:val="center"/>
              <w:ind w:left="970"/>
              <w:spacing w:after="0"/>
              <w:rPr>
                <w:sz w:val="20"/>
                <w:szCs w:val="20"/>
                <w:color w:val="auto"/>
              </w:rPr>
            </w:pPr>
            <w:r>
              <w:rPr>
                <w:rFonts w:ascii="Arial" w:cs="Arial" w:eastAsia="Arial" w:hAnsi="Arial"/>
                <w:sz w:val="18"/>
                <w:szCs w:val="18"/>
                <w:b w:val="1"/>
                <w:bCs w:val="1"/>
                <w:color w:val="auto"/>
                <w:w w:val="89"/>
              </w:rPr>
              <w:t>SPH Holdings, Inc. and Subsidiaries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320" w:type="dxa"/>
            <w:vAlign w:val="bottom"/>
          </w:tcPr>
          <w:p>
            <w:pPr>
              <w:jc w:val="center"/>
              <w:ind w:left="97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0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2,153,200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7,245,300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5,380,200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4,659,800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39,176,900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(5,560,500)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(4,777,800)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(10,372,500)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Total allocation of purchase price</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28,804,400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Less: net cash acquired</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(804,400)</w:t>
            </w:r>
          </w:p>
        </w:tc>
        <w:tc>
          <w:tcPr>
            <w:tcW w:w="0" w:type="dxa"/>
            <w:vAlign w:val="bottom"/>
          </w:tcPr>
          <w:p>
            <w:pPr>
              <w:spacing w:after="0"/>
              <w:rPr>
                <w:sz w:val="1"/>
                <w:szCs w:val="1"/>
                <w:color w:val="auto"/>
              </w:rPr>
            </w:pPr>
          </w:p>
        </w:tc>
      </w:tr>
      <w:tr>
        <w:trPr>
          <w:trHeight w:val="223"/>
        </w:trPr>
        <w:tc>
          <w:tcPr>
            <w:tcW w:w="10340" w:type="dxa"/>
            <w:vAlign w:val="bottom"/>
            <w:gridSpan w:val="2"/>
          </w:tcPr>
          <w:p>
            <w:pPr>
              <w:spacing w:after="0"/>
              <w:rPr>
                <w:sz w:val="20"/>
                <w:szCs w:val="20"/>
                <w:color w:val="auto"/>
              </w:rPr>
            </w:pPr>
            <w:r>
              <w:rPr>
                <w:rFonts w:ascii="Arial" w:cs="Arial" w:eastAsia="Arial" w:hAnsi="Arial"/>
                <w:sz w:val="18"/>
                <w:szCs w:val="18"/>
                <w:color w:val="auto"/>
              </w:rPr>
              <w:t>Total purchase price, net of cash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28,000,000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
        <w:spacing w:after="0" w:line="257" w:lineRule="auto"/>
        <w:rPr>
          <w:sz w:val="20"/>
          <w:szCs w:val="20"/>
          <w:color w:val="auto"/>
        </w:rPr>
      </w:pPr>
      <w:r>
        <w:rPr>
          <w:rFonts w:ascii="Arial" w:cs="Arial" w:eastAsia="Arial" w:hAnsi="Arial"/>
          <w:sz w:val="18"/>
          <w:szCs w:val="18"/>
          <w:color w:val="auto"/>
        </w:rPr>
        <w:t>For financial reporting purposes, the assets acquired were recorded at their fair values. This resulted in recording certain intangible assets including goodwill. Goodwill arose from the expected synergies of acquiring SNY and the workforce in place at SNY. Any goodwill or intangible assets resulting from the transaction were not deductible for tax purposes. For federal and state income tax purposes, assets were not adjusted to their fair values, but were instead carried forward at their original tax basis. However, any existing intangibles that were tax deductible prior to the transaction continue to be tax deductible (see Notes 2, 5, and 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SPHHI, Holdings, SCA, SNY and SPILLC from January 1, 2013 through December 31, 2013. Prior year consolidated financial statements include the accounts of SPHHI, Holdings, SCA and SPILLC from January 1, 2012 through December 31, 2012 and SNY from May 21, 2012, the date of the acquisition, through December 31, 2012. All intercompany accounts and transactions have been eliminated in consolidation.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January 2014, the Financial Accounting Standards Board issued Accounting Standards Update (“ASU”) 2014-02 related to the accounting for goodwill by private companies. Under this guidance, private companies may elect to amortize goodwill over 10 years, or less than 10 years if the entity can demonstrate that another useful life is more appropriate, and to test goodwill for impairment only upon occurrence of a triggering event that indicates that the book value of the entity may exceed the fair value of the entity, as opposed to testing goodwill for impairment annually under prior accounting guidance. The accounting guidance is effective for the fiscal year beginning after December 15, 2014 and early adoption is permitted.</w:t>
      </w:r>
    </w:p>
    <w:p>
      <w:pPr>
        <w:spacing w:after="0" w:line="173"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On January 1, 2013, the Company had adopted ASU 2014-02 related to the accounting for goodwill by private companies. However, these financial statements are being revised as the Company now meets the definition of a public business entity and is precluded from adopting ASU 2014-02.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Certain 2012 amounts have been reclassified to conform to the 2013 presentation. These classifications had no impact on net loss or stockholders’ equity.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recognizes revenue when products are shipped to customers and title has passed, the price is fixed and determinable, and collectability is reasonably assured.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Amounts billed to customers for shipping and handling are recorded as revenue. Freight costs associated with shipping goods to customers are not included in cost of sales. Shipping and handling costs of $885,600 and $709,200 are included in selling, general, and administrative expenses for the years ended December 31, 2013 and 2012,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primarily of accounts receivable. The Company performs ongoing credit evaluations of its customers’ financial condition and limits the amount of credit extended when deemed necessary but generally requires no collateral. The Company maintains allowances for estimated credit losses, and historically such losses have been within management’s estimates.</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the Company is subject to counterparty risk on certain cash and investments balances held at a financial institution. The Company places its cash with high credit quality financial institutions. The Company maintains bank accounts at financial institutions, which at times may exceed amounts insured by the Federal Deposit Insurance Corporation (“FDIC”). The Company has never experienced any losses related to these balances. Non-interest bearing cash balances are insured up to $250,000 per depositor at each financial institution. At December 31, 2013, the Company’s cash balance exceeded the insured amount.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Company’s cash and cash equivalents consist principally of demand deposit accounts and sweep accounts linked to an off-shore investment account held in U.S. dollars with a U.S. financial institution. The off-shore investment account invests in time deposits with maturities of 1-3 days.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Bad Debts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Accounts receivable are customer obligations due under normal trade terms. The Company performs continuing credit evaluations of the customers’ financial condition and generally does not require collateral. The allowance for bad debts is maintained at a level that, in management’s opinion, is adequate to absorb potential losses related to trade receivables. The allowance for bad debts is based upon management’s continuous evaluation of the collectability of outstanding receivables.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Management’s evaluation takes into consideration such factors as past bad debt experience, economic conditions, and information about specific receivables. The allowance for bad debts is based on estimates and ultimate losses may vary from current estimates. As adjustments to these estimates become necessary, they are reported in earnings in the periods that they become known. The allowance is increased by bad debt provisions charged to operating expense and reduced by direct write-offs, net of recoveries.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Inventories consist substantially of raw materials, work-in-process and finished goods and are stated at the lower of cost or market. Cost is determined using the first-in, first-out method (see Note 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Property and equipment are stated at cost less accumulated depreciation. Expenditures for major additions and improvements are capitalized, while minor replacements, maintenance and repairs are charged to expense as incurred. Depreciation is provided over the estimated useful lives of the assets involved using the straight-line method. The range of estimated useful lives is as follows:</w:t>
      </w:r>
    </w:p>
    <w:p>
      <w:pPr>
        <w:spacing w:after="0" w:line="204"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710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color w:val="auto"/>
              </w:rPr>
              <w:t>Years</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 to 5</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 to 12</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 to 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depreciated over the lesser of the useful life or the remaining term of the lease (see Note 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0" w:right="29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 reviews long-lived assets, including intangible assets, for impairment whenever events or circumstances indicate that the carrying amount of any such asset may not be fully recoverable. The determination of recoverability is based on an estimate of the undiscounted cash flows expected to result from the use of an asset and its eventual disposition. If the sum of the undiscounted cash flows, excluding interest, is less than the carrying value, the Company recognizes an impairment loss, measured as the amount by which the carrying value exceeds the fair value of the asset. No impairment charges were recorded during the years ended December 31, 2013 and 2012.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range of estimated useful lives for intangible assets is as follows:</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7020" w:type="dxa"/>
            <w:vAlign w:val="bottom"/>
          </w:tcPr>
          <w:p>
            <w:pPr>
              <w:spacing w:after="0"/>
              <w:rPr>
                <w:sz w:val="14"/>
                <w:szCs w:val="14"/>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color w:val="auto"/>
              </w:rPr>
              <w:t>Years</w:t>
            </w: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to 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 to 15</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 to 10</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tests goodwill for impairment on an annual basis or upon the occurrence of a triggering event that indicates that the fair value of the Company may be below its carrying amount. Upon occurrence of a triggering event the Company may first assess qualitative factors to determine whether further quantitative analysis is necessary. If the qualitative assessment indicates that it is more likely than not that goodwill is impaired, the Company will perform a quantitative test to compare the Company’s estimated fair value to its book value. If the estimated fair value exceeds book value, goodwill is considered not to be impaired and no additional steps are necessary. If the book value of the Company exceeds estimated fair value, the difference is recorded as goodwill impairment.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 impairment charges were recorded during the years ended December 31, 2013 and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significant estimates include allowances for doubtful accounts, reserve for inventory obsolescence, realizability of deferred tax assets and liabilities, useful lives for depreciation and amortization and assessing the need for impairment charges (intangible assets and goodwill). Actual results could differ materially from those estimates.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files tax returns for federal and state purposes at the SPHHI level. Deferred income tax assets and liabilities are computed annually for differences between the financial statement and income tax bases of assets and liabilities. Such deferred income tax asset and liability computations are based on enacted tax laws and rates applicable to periods in which the differences are expected to reverse. A valuation allowance is established, when necessary, to reduce deferred income tax assets to the amount expected to be realized. Income tax expense is the tax payable or refundable for the period, plus or minus the change during the period in deferred income tax assets and liabilities.</w:t>
      </w:r>
    </w:p>
    <w:p>
      <w:pPr>
        <w:spacing w:after="0" w:line="1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follows the recognition and disclosure provisions under guidance contained in Accounting Standards Codification (“ASC”) 740. Under this guidance, tax positions are evaluated for recognition using a more-likely-than-not threshold, and those tax positions requiring recognition are measured as the largest amount of tax benefit that is greater than fifty percent likely of being realized upon ultimate settlement with a taxing authority that has full knowledge of all relevant information. The Company does not have any material accrued interest or penalties associated with any unrecognized tax benefits. As of December 31, 2013 and 2012, the Company recorded $145,000 and $0, respectively, related to uncertain tax positions in connection with ASC 740.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rollforward of the Company’s total unrecognized tax liabilities for the year ended December 31, 2013:</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740" w:type="dxa"/>
            <w:vAlign w:val="bottom"/>
            <w:gridSpan w:val="4"/>
          </w:tcPr>
          <w:p>
            <w:pPr>
              <w:ind w:left="1220"/>
              <w:spacing w:after="0"/>
              <w:rPr>
                <w:sz w:val="20"/>
                <w:szCs w:val="20"/>
                <w:color w:val="auto"/>
              </w:rPr>
            </w:pPr>
            <w:r>
              <w:rPr>
                <w:rFonts w:ascii="Arial" w:cs="Arial" w:eastAsia="Arial" w:hAnsi="Arial"/>
                <w:sz w:val="14"/>
                <w:szCs w:val="14"/>
                <w:i w:val="1"/>
                <w:iCs w:val="1"/>
                <w:color w:val="auto"/>
                <w:w w:val="96"/>
              </w:rPr>
              <w:t>Gross Unrecognized Tax</w:t>
            </w:r>
          </w:p>
        </w:tc>
      </w:tr>
      <w:tr>
        <w:trPr>
          <w:trHeight w:val="167"/>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i w:val="1"/>
                <w:iCs w:val="1"/>
                <w:color w:val="auto"/>
              </w:rPr>
              <w:t>Liabilities</w:t>
            </w: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Additions for tax positions related to the current year</w:t>
            </w:r>
          </w:p>
        </w:tc>
        <w:tc>
          <w:tcPr>
            <w:tcW w:w="1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4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Debt Discount</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Financing costs were incurred in connection with the issuance and amendment of the Company’s financing arrangements (see Note 6). These costs have been capitalized and are reflected as debt issuance costs on the balance sheet or as a discount to the related debt, depending upon whether the financing costs have been paid to lenders or third parties. Debt issuance costs and the debt discount are being amortized using the effective interest rate method over the term of the loans and are included as a component of interest expense on the accompanying consolidated statements of operations. Amortization expense related to debt issuance and debt discount costs were $81,900 and $180,000, respectively, for the year ended December 31, 2013. Amortization expense related to debt issuance and debt discount costs were $51,500 and $155,600, respectively, for the year ended December 31, 2012.</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0" w:right="299"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financial instruments are primarily composed of cash and cash equivalents, trade accounts receivable, accounts payable, accrued expenses and debt. The fair value of cash and cash equivalents, trade accounts receivable, accounts payable and accrued expenses closely approximate their carrying value due to their short maturities. The fair value of debt closely approximates its carrying value because the terms of the debt approximate terms available in the market for debt of a similar credit risk profile for a similar duration. The fair value of related party transactions is not determinable due to the nature of these transactions.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as of December 31, 2013 and 2012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2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right"/>
              <w:ind w:right="210"/>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$11,133,800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$10,528,800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Work in process</w:t>
            </w:r>
          </w:p>
        </w:tc>
        <w:tc>
          <w:tcPr>
            <w:tcW w:w="1620" w:type="dxa"/>
            <w:vAlign w:val="bottom"/>
            <w:gridSpan w:val="4"/>
          </w:tcPr>
          <w:p>
            <w:pPr>
              <w:jc w:val="right"/>
              <w:spacing w:after="0"/>
              <w:rPr>
                <w:sz w:val="20"/>
                <w:szCs w:val="20"/>
                <w:color w:val="auto"/>
              </w:rPr>
            </w:pPr>
            <w:r>
              <w:rPr>
                <w:rFonts w:ascii="Arial" w:cs="Arial" w:eastAsia="Arial" w:hAnsi="Arial"/>
                <w:sz w:val="18"/>
                <w:szCs w:val="18"/>
                <w:b w:val="1"/>
                <w:bCs w:val="1"/>
                <w:color w:val="auto"/>
              </w:rPr>
              <w:t>219,800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68,200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1,892,500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4,751,600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13,246,100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15,348,600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Reserve for obsolescence</w:t>
            </w:r>
          </w:p>
        </w:tc>
        <w:tc>
          <w:tcPr>
            <w:tcW w:w="1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(1,258,300)</w:t>
            </w: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(1,559,900)</w:t>
            </w:r>
          </w:p>
        </w:tc>
        <w:tc>
          <w:tcPr>
            <w:tcW w:w="0" w:type="dxa"/>
            <w:vAlign w:val="bottom"/>
          </w:tcPr>
          <w:p>
            <w:pPr>
              <w:spacing w:after="0"/>
              <w:rPr>
                <w:sz w:val="1"/>
                <w:szCs w:val="1"/>
                <w:color w:val="auto"/>
              </w:rPr>
            </w:pPr>
          </w:p>
        </w:tc>
      </w:tr>
      <w:tr>
        <w:trPr>
          <w:trHeight w:val="223"/>
        </w:trPr>
        <w:tc>
          <w:tcPr>
            <w:tcW w:w="6980" w:type="dxa"/>
            <w:vAlign w:val="bottom"/>
            <w:gridSpan w:val="2"/>
          </w:tcPr>
          <w:p>
            <w:pPr>
              <w:ind w:left="138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11,987,800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13,788,700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w:t>
            </w: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98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80" w:type="dxa"/>
            <w:vAlign w:val="bottom"/>
            <w:gridSpan w:val="2"/>
          </w:tcPr>
          <w:p>
            <w:pPr>
              <w:spacing w:after="0"/>
              <w:rPr>
                <w:sz w:val="20"/>
                <w:szCs w:val="20"/>
                <w:color w:val="auto"/>
              </w:rPr>
            </w:pPr>
            <w:r>
              <w:rPr>
                <w:rFonts w:ascii="Arial" w:cs="Arial" w:eastAsia="Arial" w:hAnsi="Arial"/>
                <w:sz w:val="18"/>
                <w:szCs w:val="18"/>
                <w:color w:val="auto"/>
              </w:rPr>
              <w:t>Property and equipment as of December 31, 2013 and 2012 consisted of the following:</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62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3"/>
          </w:tcPr>
          <w:p>
            <w:pPr>
              <w:jc w:val="right"/>
              <w:ind w:right="170"/>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880" w:type="dxa"/>
            <w:vAlign w:val="bottom"/>
            <w:tcBorders>
              <w:top w:val="single" w:sz="8" w:color="CCEEFF"/>
            </w:tcBorders>
            <w:gridSpan w:val="3"/>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550,000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550,000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700" w:type="dxa"/>
            <w:vAlign w:val="bottom"/>
            <w:gridSpan w:val="5"/>
          </w:tcPr>
          <w:p>
            <w:pPr>
              <w:jc w:val="right"/>
              <w:spacing w:after="0"/>
              <w:rPr>
                <w:sz w:val="20"/>
                <w:szCs w:val="20"/>
                <w:color w:val="auto"/>
              </w:rPr>
            </w:pPr>
            <w:r>
              <w:rPr>
                <w:rFonts w:ascii="Arial" w:cs="Arial" w:eastAsia="Arial" w:hAnsi="Arial"/>
                <w:sz w:val="18"/>
                <w:szCs w:val="18"/>
                <w:b w:val="1"/>
                <w:bCs w:val="1"/>
                <w:color w:val="auto"/>
              </w:rPr>
              <w:t>2,089,200</w:t>
            </w:r>
          </w:p>
        </w:tc>
        <w:tc>
          <w:tcPr>
            <w:tcW w:w="2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1,918,700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7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2,524,800</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2,327,200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Computers and equipment</w:t>
            </w:r>
          </w:p>
        </w:tc>
        <w:tc>
          <w:tcPr>
            <w:tcW w:w="1700" w:type="dxa"/>
            <w:vAlign w:val="bottom"/>
            <w:gridSpan w:val="5"/>
          </w:tcPr>
          <w:p>
            <w:pPr>
              <w:jc w:val="right"/>
              <w:spacing w:after="0"/>
              <w:rPr>
                <w:sz w:val="20"/>
                <w:szCs w:val="20"/>
                <w:color w:val="auto"/>
              </w:rPr>
            </w:pPr>
            <w:r>
              <w:rPr>
                <w:rFonts w:ascii="Arial" w:cs="Arial" w:eastAsia="Arial" w:hAnsi="Arial"/>
                <w:sz w:val="18"/>
                <w:szCs w:val="18"/>
                <w:b w:val="1"/>
                <w:bCs w:val="1"/>
                <w:color w:val="auto"/>
              </w:rPr>
              <w:t>1,008,700</w:t>
            </w:r>
          </w:p>
        </w:tc>
        <w:tc>
          <w:tcPr>
            <w:tcW w:w="2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533,500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7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132,400</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1700" w:type="dxa"/>
            <w:vAlign w:val="bottom"/>
            <w:gridSpan w:val="5"/>
          </w:tcPr>
          <w:p>
            <w:pPr>
              <w:jc w:val="right"/>
              <w:spacing w:after="0"/>
              <w:rPr>
                <w:sz w:val="20"/>
                <w:szCs w:val="20"/>
                <w:color w:val="auto"/>
              </w:rPr>
            </w:pPr>
            <w:r>
              <w:rPr>
                <w:rFonts w:ascii="Arial" w:cs="Arial" w:eastAsia="Arial" w:hAnsi="Arial"/>
                <w:sz w:val="18"/>
                <w:szCs w:val="18"/>
                <w:b w:val="1"/>
                <w:bCs w:val="1"/>
                <w:color w:val="auto"/>
              </w:rPr>
              <w:t>75,700</w:t>
            </w:r>
          </w:p>
        </w:tc>
        <w:tc>
          <w:tcPr>
            <w:tcW w:w="2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30,800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7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735,600</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7,116,400</w:t>
            </w:r>
          </w:p>
        </w:tc>
        <w:tc>
          <w:tcPr>
            <w:tcW w:w="20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5,557,100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9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(963,300)</w:t>
            </w:r>
          </w:p>
        </w:tc>
        <w:tc>
          <w:tcPr>
            <w:tcW w:w="11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(513,700)</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6,153,100</w:t>
            </w:r>
          </w:p>
        </w:tc>
        <w:tc>
          <w:tcPr>
            <w:tcW w:w="20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5,043,400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the years ended December 31, 2013 and 2012, the Company recorded $473,400 and $301,600, respectively, in depreciation expense, which is included in cost of goods sold and selling, general, and administrative expenses in the accompanying consolidated statements of operations.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0" w:right="29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2013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tcPr>
          <w:p>
            <w:pPr>
              <w:ind w:left="180"/>
              <w:spacing w:after="0"/>
              <w:rPr>
                <w:sz w:val="20"/>
                <w:szCs w:val="20"/>
                <w:color w:val="auto"/>
              </w:rPr>
            </w:pPr>
            <w:r>
              <w:rPr>
                <w:rFonts w:ascii="Arial" w:cs="Arial" w:eastAsia="Arial" w:hAnsi="Arial"/>
                <w:sz w:val="14"/>
                <w:szCs w:val="14"/>
                <w:color w:val="auto"/>
              </w:rPr>
              <w:t>Gross</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Net</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jc w:val="right"/>
              <w:ind w:right="660"/>
              <w:spacing w:after="0" w:line="149"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8"/>
              </w:rPr>
              <w:t>Carrying</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tcPr>
          <w:p>
            <w:pPr>
              <w:ind w:left="180"/>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color w:val="auto"/>
                <w:w w:val="95"/>
              </w:rPr>
              <w:t>Amortization</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$12,120,000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(8,259,100)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3,860,900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Backlog</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310,000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(310,000)</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12,610,000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(2,624,100)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9,985,900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Trademarks/trade names</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7,300,000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(1,955,600)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5,344,400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700,000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(686,800)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13,200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33,040,000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(13,835,600</w:t>
            </w:r>
          </w:p>
        </w:tc>
        <w:tc>
          <w:tcPr>
            <w:tcW w:w="480" w:type="dxa"/>
            <w:vAlign w:val="bottom"/>
          </w:tcPr>
          <w:p>
            <w:pPr>
              <w:jc w:val="right"/>
              <w:ind w:right="34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19,204,400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Intangible assets as of December 31, 2012 consisted of the following:</w:t>
            </w: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9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4"/>
          </w:tcPr>
          <w:p>
            <w:pPr>
              <w:jc w:val="right"/>
              <w:ind w:right="660"/>
              <w:spacing w:after="0"/>
              <w:rPr>
                <w:sz w:val="20"/>
                <w:szCs w:val="20"/>
                <w:color w:val="auto"/>
              </w:rPr>
            </w:pPr>
            <w:r>
              <w:rPr>
                <w:rFonts w:ascii="Arial" w:cs="Arial" w:eastAsia="Arial" w:hAnsi="Arial"/>
                <w:sz w:val="14"/>
                <w:szCs w:val="14"/>
                <w:color w:val="auto"/>
              </w:rPr>
              <w:t>Gross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Net</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ind w:left="180"/>
              <w:spacing w:after="0" w:line="149"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2"/>
                <w:szCs w:val="12"/>
                <w:color w:val="auto"/>
              </w:rPr>
            </w:pP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8"/>
              </w:rPr>
              <w:t>Accumulated</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8"/>
              </w:rPr>
              <w:t>Carrying</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tcPr>
          <w:p>
            <w:pPr>
              <w:jc w:val="right"/>
              <w:ind w:right="660"/>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$12,120,000</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$(4,953,200)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7,166,800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Backlog</w:t>
            </w:r>
          </w:p>
        </w:tc>
        <w:tc>
          <w:tcPr>
            <w:tcW w:w="1020" w:type="dxa"/>
            <w:vAlign w:val="bottom"/>
            <w:gridSpan w:val="5"/>
          </w:tcPr>
          <w:p>
            <w:pPr>
              <w:jc w:val="right"/>
              <w:ind w:right="20"/>
              <w:spacing w:after="0"/>
              <w:rPr>
                <w:sz w:val="20"/>
                <w:szCs w:val="20"/>
                <w:color w:val="auto"/>
              </w:rPr>
            </w:pPr>
            <w:r>
              <w:rPr>
                <w:rFonts w:ascii="Arial" w:cs="Arial" w:eastAsia="Arial" w:hAnsi="Arial"/>
                <w:sz w:val="18"/>
                <w:szCs w:val="18"/>
                <w:color w:val="auto"/>
              </w:rPr>
              <w:t>310,000</w:t>
            </w:r>
          </w:p>
        </w:tc>
        <w:tc>
          <w:tcPr>
            <w:tcW w:w="340" w:type="dxa"/>
            <w:vAlign w:val="bottom"/>
          </w:tcPr>
          <w:p>
            <w:pPr>
              <w:spacing w:after="0"/>
              <w:rPr>
                <w:sz w:val="18"/>
                <w:szCs w:val="18"/>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(310,000)</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12,610,000</w:t>
            </w:r>
          </w:p>
        </w:tc>
        <w:tc>
          <w:tcPr>
            <w:tcW w:w="3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(1,572,700)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11,037,300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Trademarks/trade names</w:t>
            </w:r>
          </w:p>
        </w:tc>
        <w:tc>
          <w:tcPr>
            <w:tcW w:w="1020" w:type="dxa"/>
            <w:vAlign w:val="bottom"/>
            <w:gridSpan w:val="5"/>
          </w:tcPr>
          <w:p>
            <w:pPr>
              <w:jc w:val="right"/>
              <w:ind w:right="20"/>
              <w:spacing w:after="0"/>
              <w:rPr>
                <w:sz w:val="20"/>
                <w:szCs w:val="20"/>
                <w:color w:val="auto"/>
              </w:rPr>
            </w:pPr>
            <w:r>
              <w:rPr>
                <w:rFonts w:ascii="Arial" w:cs="Arial" w:eastAsia="Arial" w:hAnsi="Arial"/>
                <w:sz w:val="18"/>
                <w:szCs w:val="18"/>
                <w:color w:val="auto"/>
              </w:rPr>
              <w:t>7,300,000</w:t>
            </w:r>
          </w:p>
        </w:tc>
        <w:tc>
          <w:tcPr>
            <w:tcW w:w="340" w:type="dxa"/>
            <w:vAlign w:val="bottom"/>
          </w:tcPr>
          <w:p>
            <w:pPr>
              <w:spacing w:after="0"/>
              <w:rPr>
                <w:sz w:val="18"/>
                <w:szCs w:val="18"/>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(1,097,100)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6,202,900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w:t>
            </w: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700,000</w:t>
            </w:r>
          </w:p>
        </w:tc>
        <w:tc>
          <w:tcPr>
            <w:tcW w:w="3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(453,400)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246,600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33,040,000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(8,386,400</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24,653,600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Intangible assets are amortized over estimated useful lives ranging from less than one year to fifteen years, with no residual values. Consolidated amortization expense during the years ended December 31, 2013 and 2012 pertaining to long-lived intangible assets was $5,449,200 and $4,864,100, respectively.</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140" w:type="dxa"/>
            <w:vAlign w:val="bottom"/>
          </w:tcPr>
          <w:p>
            <w:pPr>
              <w:jc w:val="center"/>
              <w:ind w:right="510"/>
              <w:spacing w:after="0"/>
              <w:rPr>
                <w:sz w:val="20"/>
                <w:szCs w:val="20"/>
                <w:color w:val="auto"/>
              </w:rPr>
            </w:pPr>
            <w:r>
              <w:rPr>
                <w:rFonts w:ascii="Arial" w:cs="Arial" w:eastAsia="Arial" w:hAnsi="Arial"/>
                <w:sz w:val="18"/>
                <w:szCs w:val="18"/>
                <w:b w:val="1"/>
                <w:bCs w:val="1"/>
                <w:color w:val="auto"/>
                <w:w w:val="89"/>
              </w:rPr>
              <w:t>SPH Holdings, Inc. and Subsidiaries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140" w:type="dxa"/>
            <w:vAlign w:val="bottom"/>
          </w:tcPr>
          <w:p>
            <w:pPr>
              <w:jc w:val="center"/>
              <w:ind w:right="51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580" w:type="dxa"/>
            <w:vAlign w:val="bottom"/>
            <w:gridSpan w:val="3"/>
          </w:tcPr>
          <w:p>
            <w:pPr>
              <w:spacing w:after="0"/>
              <w:rPr>
                <w:sz w:val="20"/>
                <w:szCs w:val="20"/>
                <w:color w:val="auto"/>
              </w:rPr>
            </w:pPr>
            <w:r>
              <w:rPr>
                <w:rFonts w:ascii="Arial" w:cs="Arial" w:eastAsia="Arial" w:hAnsi="Arial"/>
                <w:sz w:val="18"/>
                <w:szCs w:val="18"/>
                <w:color w:val="auto"/>
                <w:w w:val="98"/>
              </w:rPr>
              <w:t>As of December 31, 2013, the estimated aggregate amortization expense for the next five years is as follows: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580" w:type="dxa"/>
            <w:vAlign w:val="bottom"/>
            <w:gridSpan w:val="3"/>
          </w:tcPr>
          <w:p>
            <w:pPr>
              <w:ind w:left="1840"/>
              <w:spacing w:after="0"/>
              <w:rPr>
                <w:sz w:val="20"/>
                <w:szCs w:val="20"/>
                <w:color w:val="auto"/>
              </w:rPr>
            </w:pPr>
            <w:r>
              <w:rPr>
                <w:rFonts w:ascii="Arial" w:cs="Arial" w:eastAsia="Arial" w:hAnsi="Arial"/>
                <w:sz w:val="14"/>
                <w:szCs w:val="14"/>
                <w:i w:val="1"/>
                <w:iCs w:val="1"/>
                <w:color w:val="auto"/>
              </w:rPr>
              <w:t>Years ending December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2014</w:t>
            </w:r>
          </w:p>
        </w:tc>
        <w:tc>
          <w:tcPr>
            <w:tcW w:w="5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5,229,100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2015</w:t>
            </w:r>
          </w:p>
        </w:tc>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2,465,200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1,910,000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2017</w:t>
            </w:r>
          </w:p>
        </w:tc>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1,910,000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1,910,000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5,780,100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19,204,400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gridSpan w:val="3"/>
            <w:vMerge w:val="restart"/>
          </w:tcPr>
          <w:p>
            <w:pPr>
              <w:spacing w:after="0"/>
              <w:rPr>
                <w:sz w:val="20"/>
                <w:szCs w:val="20"/>
                <w:color w:val="auto"/>
              </w:rPr>
            </w:pPr>
            <w:r>
              <w:rPr>
                <w:rFonts w:ascii="Arial" w:cs="Arial" w:eastAsia="Arial" w:hAnsi="Arial"/>
                <w:sz w:val="18"/>
                <w:szCs w:val="18"/>
                <w:color w:val="auto"/>
              </w:rPr>
              <w:t>Changes in the carrying values of intangible assets are outlined in the table below:</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6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31, 2011</w:t>
            </w: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$19,527,700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9,990,000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(4,864,100)</w:t>
            </w:r>
          </w:p>
        </w:tc>
        <w:tc>
          <w:tcPr>
            <w:tcW w:w="0" w:type="dxa"/>
            <w:vAlign w:val="bottom"/>
          </w:tcPr>
          <w:p>
            <w:pPr>
              <w:spacing w:after="0"/>
              <w:rPr>
                <w:sz w:val="1"/>
                <w:szCs w:val="1"/>
                <w:color w:val="auto"/>
              </w:rPr>
            </w:pPr>
          </w:p>
        </w:tc>
      </w:tr>
      <w:tr>
        <w:trPr>
          <w:trHeight w:val="223"/>
        </w:trPr>
        <w:tc>
          <w:tcPr>
            <w:tcW w:w="8580" w:type="dxa"/>
            <w:vAlign w:val="bottom"/>
            <w:gridSpan w:val="3"/>
          </w:tcPr>
          <w:p>
            <w:pPr>
              <w:ind w:left="1840"/>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31, 2012</w:t>
            </w:r>
          </w:p>
        </w:tc>
        <w:tc>
          <w:tcPr>
            <w:tcW w:w="20" w:type="dxa"/>
            <w:vAlign w:val="bottom"/>
          </w:tcPr>
          <w:p>
            <w:pPr>
              <w:spacing w:after="0"/>
              <w:rPr>
                <w:sz w:val="19"/>
                <w:szCs w:val="19"/>
                <w:color w:val="auto"/>
              </w:rPr>
            </w:pPr>
          </w:p>
        </w:tc>
        <w:tc>
          <w:tcPr>
            <w:tcW w:w="8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24,653,600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(5,449,200)</w:t>
            </w:r>
          </w:p>
        </w:tc>
        <w:tc>
          <w:tcPr>
            <w:tcW w:w="0" w:type="dxa"/>
            <w:vAlign w:val="bottom"/>
          </w:tcPr>
          <w:p>
            <w:pPr>
              <w:spacing w:after="0"/>
              <w:rPr>
                <w:sz w:val="1"/>
                <w:szCs w:val="1"/>
                <w:color w:val="auto"/>
              </w:rPr>
            </w:pPr>
          </w:p>
        </w:tc>
      </w:tr>
      <w:tr>
        <w:trPr>
          <w:trHeight w:val="223"/>
        </w:trPr>
        <w:tc>
          <w:tcPr>
            <w:tcW w:w="8580" w:type="dxa"/>
            <w:vAlign w:val="bottom"/>
            <w:gridSpan w:val="3"/>
          </w:tcPr>
          <w:p>
            <w:pPr>
              <w:ind w:left="1840"/>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31, 2013</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19,204,400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Term Loan</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has a senior secured term loan agreement (the “Loan Agreement”) with a senior lender, collateralized by substantially all of the Company’s assets. The Loan Agreement provides for a senior secured long term loan in the aggregate principal amount of $25,700,000. The Loan Agreement requires the Company to make scheduled payments of interest and principal and allows prepayment of principal under specific conditions. Interest accrues at the greater of LIBOR plus 7.5% or 10.5%. During the years ended December 31, 2013 and 2012, the Company made advance payments of $5,000,000 and $2,000,000, respectively, in addition to its obligatory principal and interest payments. The Loan Agreement expires in January 2016.</w:t>
      </w:r>
    </w:p>
    <w:p>
      <w:pPr>
        <w:spacing w:after="0" w:line="15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2012, the Loan Agreement was amended (the “Amendment”) and the Company borrowed an additional principal amount of $10,500,000. The Amendment requires the Company to make scheduled payments of interest and principal and allows prepayment of principal under specific conditions. Interest accrues at the greater of LIBOR plus 7.5% or 10.5%. The Amendment expires in May 2017.</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0" w:right="259" w:bottom="1440" w:gutter="0" w:footer="0" w:header="0"/>
        </w:sectPr>
      </w:pPr>
    </w:p>
    <w:bookmarkStart w:id="25" w:name="page26"/>
    <w:bookmarkEnd w:id="2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2013 and 2012, the principal balance on the senior term loan was $23,557,500 and $29,944,400, respectively, and carried an interest rate of 10.5% per annum.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revolving credit facility (the “Credit Agreement”) was amended and restated on May 21, 2012 to provide for revolving borrowings up to $20,000,000 with a priority interest on the Company’s accounts receivable and inventory. The credit facility expires on May 31, 2015, carries a variable interest rate based on LIBOR plus a defined margin and a commitment fee of 0.25% on any unused balance. As of December 31, 2013 and 2012, $7,403,900 and $6,919,700, respectively, was outstanding on the revolving credit facility with interest rates ranging from 2.66% to 3.25% per annum.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July 20, 2012, the Company entered into a real estate loan agreement (the “Real Estate Loan Agreement”) with a senior lender. The real estate loan provides for a term loan in the aggregate principal amount of $1,720,000, with principal payments of $7,167 due each calendar month end commencing on July 31, 2012 with a maturity date of July 20, 2017. The interest rate is computed over 360 days at the one-month LIBOR plus a 2.5% margin. At December 31, 2013 and 2012, $1,591,000 and $1,677,000, respectively, was outstanding on the real estate loan and the interest rate was 2.67% and 2.77%, respectively.</w:t>
      </w:r>
    </w:p>
    <w:p>
      <w:pPr>
        <w:spacing w:after="0" w:line="18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terms of the Loan and Credit Agreements require the Company to maintain a certain fixed-charge coverage ratio and minimum earnings before interest, taxes, depreciation, and amortization (“EBITDA”). The Loan Agreement also contains certain restrictive covenants, including limitations on additional debt; acquisition by the Company of the stock of, or merger with other corporations; dividend payments; and asset sales. The Company was in compliance with all such covenants and ratios as of December 31, 2013 and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Debt as of December 31, 2013 and 2012 consists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39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1100" w:type="dxa"/>
            <w:vAlign w:val="bottom"/>
            <w:gridSpan w:val="2"/>
          </w:tcPr>
          <w:p>
            <w:pPr>
              <w:jc w:val="right"/>
              <w:ind w:right="210"/>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term loan</w:t>
            </w:r>
          </w:p>
        </w:tc>
        <w:tc>
          <w:tcPr>
            <w:tcW w:w="30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$23,557,500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$29,944,400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3920" w:type="dxa"/>
            <w:vAlign w:val="bottom"/>
            <w:gridSpan w:val="2"/>
          </w:tcPr>
          <w:p>
            <w:pPr>
              <w:jc w:val="right"/>
              <w:spacing w:after="0"/>
              <w:rPr>
                <w:sz w:val="20"/>
                <w:szCs w:val="20"/>
                <w:color w:val="auto"/>
              </w:rPr>
            </w:pPr>
            <w:r>
              <w:rPr>
                <w:rFonts w:ascii="Arial" w:cs="Arial" w:eastAsia="Arial" w:hAnsi="Arial"/>
                <w:sz w:val="18"/>
                <w:szCs w:val="18"/>
                <w:b w:val="1"/>
                <w:bCs w:val="1"/>
                <w:color w:val="auto"/>
              </w:rPr>
              <w:t>7,403,900</w:t>
            </w: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6,919,700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1,591,000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Total debt</w:t>
            </w:r>
          </w:p>
        </w:tc>
        <w:tc>
          <w:tcPr>
            <w:tcW w:w="30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32,552,400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38,541,100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discount</w:t>
            </w:r>
          </w:p>
        </w:tc>
        <w:tc>
          <w:tcPr>
            <w:tcW w:w="4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(252,800)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(432,800)</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32,299,600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38,108,300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debt</w:t>
            </w:r>
          </w:p>
        </w:tc>
        <w:tc>
          <w:tcPr>
            <w:tcW w:w="4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(1,764,800)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(1,472,900)</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30,534,800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36,635,400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020" w:type="dxa"/>
            <w:vAlign w:val="bottom"/>
            <w:vMerge w:val="restart"/>
          </w:tcPr>
          <w:p>
            <w:pPr>
              <w:jc w:val="right"/>
              <w:ind w:right="1813"/>
              <w:spacing w:after="0"/>
              <w:rPr>
                <w:sz w:val="20"/>
                <w:szCs w:val="20"/>
                <w:color w:val="auto"/>
              </w:rPr>
            </w:pPr>
            <w:r>
              <w:rPr>
                <w:rFonts w:ascii="Arial" w:cs="Arial" w:eastAsia="Arial" w:hAnsi="Arial"/>
                <w:sz w:val="18"/>
                <w:szCs w:val="18"/>
                <w:color w:val="auto"/>
              </w:rPr>
              <w:t>20</w:t>
            </w: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70" w:right="319" w:bottom="1440" w:gutter="0" w:footer="0" w:header="0"/>
        </w:sectPr>
      </w:pPr>
    </w:p>
    <w:bookmarkStart w:id="26" w:name="page27"/>
    <w:bookmarkEnd w:id="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SPH Holdings, Inc. and Subsidiaries</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8120" w:type="dxa"/>
            <w:vAlign w:val="bottom"/>
            <w:gridSpan w:val="3"/>
          </w:tcPr>
          <w:p>
            <w:pPr>
              <w:spacing w:after="0"/>
              <w:rPr>
                <w:sz w:val="20"/>
                <w:szCs w:val="20"/>
                <w:color w:val="auto"/>
              </w:rPr>
            </w:pPr>
            <w:r>
              <w:rPr>
                <w:rFonts w:ascii="Arial" w:cs="Arial" w:eastAsia="Arial" w:hAnsi="Arial"/>
                <w:sz w:val="18"/>
                <w:szCs w:val="18"/>
                <w:color w:val="auto"/>
                <w:w w:val="96"/>
              </w:rPr>
              <w:t>Scheduled annual maturities of debt, including the current portion, as of December 31, 2013 is as follows: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8120" w:type="dxa"/>
            <w:vAlign w:val="bottom"/>
            <w:gridSpan w:val="3"/>
          </w:tcPr>
          <w:p>
            <w:pPr>
              <w:ind w:left="1840"/>
              <w:spacing w:after="0"/>
              <w:rPr>
                <w:sz w:val="20"/>
                <w:szCs w:val="20"/>
                <w:color w:val="auto"/>
              </w:rPr>
            </w:pPr>
            <w:r>
              <w:rPr>
                <w:rFonts w:ascii="Arial" w:cs="Arial" w:eastAsia="Arial" w:hAnsi="Arial"/>
                <w:sz w:val="14"/>
                <w:szCs w:val="14"/>
                <w:i w:val="1"/>
                <w:iCs w:val="1"/>
                <w:color w:val="auto"/>
              </w:rPr>
              <w:t>Years ending December 31,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Amount</w:t>
            </w:r>
          </w:p>
        </w:tc>
      </w:tr>
      <w:tr>
        <w:trPr>
          <w:trHeight w:val="203"/>
        </w:trPr>
        <w:tc>
          <w:tcPr>
            <w:tcW w:w="184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2014</w:t>
            </w:r>
          </w:p>
        </w:tc>
        <w:tc>
          <w:tcPr>
            <w:tcW w:w="46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1,764,800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84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2015</w:t>
            </w:r>
          </w:p>
        </w:tc>
        <w:tc>
          <w:tcPr>
            <w:tcW w:w="4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9,781,800</w:t>
            </w:r>
          </w:p>
        </w:tc>
        <w:tc>
          <w:tcPr>
            <w:tcW w:w="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11,141,600</w:t>
            </w:r>
          </w:p>
        </w:tc>
        <w:tc>
          <w:tcPr>
            <w:tcW w:w="100" w:type="dxa"/>
            <w:vAlign w:val="bottom"/>
            <w:shd w:val="clear" w:color="auto" w:fill="CCEEFF"/>
          </w:tcPr>
          <w:p>
            <w:pPr>
              <w:spacing w:after="0"/>
              <w:rPr>
                <w:sz w:val="18"/>
                <w:szCs w:val="18"/>
                <w:color w:val="auto"/>
              </w:rPr>
            </w:pPr>
          </w:p>
        </w:tc>
      </w:tr>
      <w:tr>
        <w:trPr>
          <w:trHeight w:val="223"/>
        </w:trPr>
        <w:tc>
          <w:tcPr>
            <w:tcW w:w="184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2017</w:t>
            </w:r>
          </w:p>
        </w:tc>
        <w:tc>
          <w:tcPr>
            <w:tcW w:w="4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9,864,200</w:t>
            </w:r>
          </w:p>
        </w:tc>
        <w:tc>
          <w:tcPr>
            <w:tcW w:w="100" w:type="dxa"/>
            <w:vAlign w:val="bottom"/>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32,552,400</w:t>
            </w:r>
          </w:p>
        </w:tc>
        <w:tc>
          <w:tcPr>
            <w:tcW w:w="100" w:type="dxa"/>
            <w:vAlign w:val="bottom"/>
            <w:shd w:val="clear" w:color="auto" w:fill="CCEEFF"/>
          </w:tcPr>
          <w:p>
            <w:pPr>
              <w:spacing w:after="0"/>
              <w:rPr>
                <w:sz w:val="18"/>
                <w:szCs w:val="18"/>
                <w:color w:val="auto"/>
              </w:rPr>
            </w:pPr>
          </w:p>
        </w:tc>
      </w:tr>
      <w:tr>
        <w:trPr>
          <w:trHeight w:val="20"/>
        </w:trPr>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Interest expense, including amortization of debt issuance costs and debt discounts was $3,406,800 and $3,429,400 for the years ended December 31, 2013 and 2012, respectively. Unamortized debt discount for the years ended December 31, 2013 and 2012 was $252,800 and $432,800,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87"/>
        </w:trPr>
        <w:tc>
          <w:tcPr>
            <w:tcW w:w="1540" w:type="dxa"/>
            <w:vAlign w:val="bottom"/>
            <w:gridSpan w:val="2"/>
          </w:tcPr>
          <w:p>
            <w:pPr>
              <w:spacing w:after="0"/>
              <w:rPr>
                <w:sz w:val="20"/>
                <w:szCs w:val="20"/>
                <w:color w:val="auto"/>
              </w:rPr>
            </w:pPr>
            <w:r>
              <w:rPr>
                <w:rFonts w:ascii="Arial" w:cs="Arial" w:eastAsia="Arial" w:hAnsi="Arial"/>
                <w:sz w:val="14"/>
                <w:szCs w:val="14"/>
                <w:i w:val="1"/>
                <w:iCs w:val="1"/>
                <w:color w:val="auto"/>
                <w:w w:val="88"/>
              </w:rPr>
              <w:t>Years ended December 31,</w:t>
            </w:r>
          </w:p>
        </w:tc>
        <w:tc>
          <w:tcPr>
            <w:tcW w:w="4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Current:</w:t>
            </w:r>
          </w:p>
        </w:tc>
        <w:tc>
          <w:tcPr>
            <w:tcW w:w="49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340"/>
              <w:spacing w:after="0"/>
              <w:rPr>
                <w:sz w:val="20"/>
                <w:szCs w:val="20"/>
                <w:color w:val="auto"/>
              </w:rPr>
            </w:pPr>
            <w:r>
              <w:rPr>
                <w:rFonts w:ascii="Arial" w:cs="Arial" w:eastAsia="Arial" w:hAnsi="Arial"/>
                <w:sz w:val="18"/>
                <w:szCs w:val="18"/>
                <w:color w:val="auto"/>
              </w:rPr>
              <w:t>Federal</w:t>
            </w:r>
          </w:p>
        </w:tc>
        <w:tc>
          <w:tcPr>
            <w:tcW w:w="4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4"/>
              </w:rPr>
              <w:t>1,571,200</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4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783,300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(69,400)</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49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2,354,500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(57,000)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4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340"/>
              <w:spacing w:after="0"/>
              <w:rPr>
                <w:sz w:val="20"/>
                <w:szCs w:val="20"/>
                <w:color w:val="auto"/>
              </w:rPr>
            </w:pPr>
            <w:r>
              <w:rPr>
                <w:rFonts w:ascii="Arial" w:cs="Arial" w:eastAsia="Arial" w:hAnsi="Arial"/>
                <w:sz w:val="18"/>
                <w:szCs w:val="18"/>
                <w:color w:val="auto"/>
              </w:rPr>
              <w:t>Federal</w:t>
            </w:r>
          </w:p>
        </w:tc>
        <w:tc>
          <w:tcPr>
            <w:tcW w:w="4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(584,000)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(377,400)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4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(1,541,800)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953,400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49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(2,125,800</w:t>
            </w:r>
          </w:p>
        </w:tc>
        <w:tc>
          <w:tcPr>
            <w:tcW w:w="280" w:type="dxa"/>
            <w:vAlign w:val="bottom"/>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576,000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228,700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519,000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900" w:type="dxa"/>
            <w:vAlign w:val="bottom"/>
            <w:vMerge w:val="restart"/>
          </w:tcPr>
          <w:p>
            <w:pPr>
              <w:jc w:val="right"/>
              <w:ind w:right="1930"/>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7" w:name="page28"/>
    <w:bookmarkEnd w:id="2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major elements contributing to the difference between the federal statutory rate and the effective tax rate are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88"/>
              </w:rPr>
              <w:t>Years ended December 31,</w:t>
            </w:r>
          </w:p>
        </w:tc>
        <w:tc>
          <w:tcPr>
            <w:tcW w:w="5200" w:type="dxa"/>
            <w:vAlign w:val="bottom"/>
          </w:tcPr>
          <w:p>
            <w:pPr>
              <w:spacing w:after="0"/>
              <w:rPr>
                <w:sz w:val="14"/>
                <w:szCs w:val="14"/>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2012</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2"/>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b w:val="1"/>
                <w:bCs w:val="1"/>
                <w:color w:val="auto"/>
              </w:rPr>
              <w:t>34.00%</w:t>
            </w:r>
          </w:p>
        </w:tc>
        <w:tc>
          <w:tcPr>
            <w:tcW w:w="7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State and local income taxes - net of federal benefit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8"/>
              </w:rPr>
              <w:t>(30.61)</w:t>
            </w:r>
          </w:p>
        </w:tc>
        <w:tc>
          <w:tcPr>
            <w:tcW w:w="520" w:type="dxa"/>
            <w:vAlign w:val="bottom"/>
          </w:tcPr>
          <w:p>
            <w:pPr>
              <w:jc w:val="right"/>
              <w:spacing w:after="0"/>
              <w:rPr>
                <w:sz w:val="20"/>
                <w:szCs w:val="20"/>
                <w:color w:val="auto"/>
              </w:rPr>
            </w:pPr>
            <w:r>
              <w:rPr>
                <w:rFonts w:ascii="Arial" w:cs="Arial" w:eastAsia="Arial" w:hAnsi="Arial"/>
                <w:sz w:val="18"/>
                <w:szCs w:val="18"/>
                <w:color w:val="auto"/>
              </w:rPr>
              <w:t>29.47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Nondeductible</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(3.22)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Transaction fees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0.94</w:t>
            </w:r>
          </w:p>
        </w:tc>
        <w:tc>
          <w:tcPr>
            <w:tcW w:w="6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(39.88)</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state tax rate</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98"/>
              </w:rPr>
              <w:t>(20.20)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(93.97)</w:t>
            </w: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32.29</w:t>
            </w:r>
          </w:p>
        </w:tc>
        <w:tc>
          <w:tcPr>
            <w:tcW w:w="6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13.20%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(54.32)%</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and 2012, the tax effects of temporary differences that give rise to deferred income taxes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2012</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State income taxes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(90,700)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(123,400)</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Bad debt reserve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Inventory reserve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546,200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281,400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inventory costs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245,200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Vacation accrual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114,100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58,700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Bonus accrual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321,800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Other accruals and reserves</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1,432,000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715,600</w:t>
            </w:r>
          </w:p>
        </w:tc>
        <w:tc>
          <w:tcPr>
            <w:tcW w:w="120" w:type="dxa"/>
            <w:vAlign w:val="bottom"/>
            <w:shd w:val="clear" w:color="auto" w:fill="CCEEFF"/>
          </w:tcPr>
          <w:p>
            <w:pPr>
              <w:spacing w:after="0"/>
              <w:rPr>
                <w:sz w:val="18"/>
                <w:szCs w:val="18"/>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Long-term:</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income taxes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517,500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1,113,600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Intangible asset amortization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(8,316,600)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(11,683,300)</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depreciation</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(117,600)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(177,700)</w:t>
            </w: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Net operating loss carry forwards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261,800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1,591,300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Other-net</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110,400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202,200</w:t>
            </w:r>
          </w:p>
        </w:tc>
        <w:tc>
          <w:tcPr>
            <w:tcW w:w="120" w:type="dxa"/>
            <w:vAlign w:val="bottom"/>
            <w:shd w:val="clear" w:color="auto" w:fill="CCEEFF"/>
          </w:tcPr>
          <w:p>
            <w:pPr>
              <w:spacing w:after="0"/>
              <w:rPr>
                <w:sz w:val="18"/>
                <w:szCs w:val="18"/>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Total long-term</w:t>
            </w:r>
          </w:p>
        </w:tc>
        <w:tc>
          <w:tcPr>
            <w:tcW w:w="1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(7,544,500</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(8,953,900)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9"/>
              </w:rPr>
              <w:t>(6,112,500)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(8,238,300)</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2013, the Company does not have any available net operating loss carry forwards for federal and for state purposes. For the year ended December 31, 2012, the Company had available net operating loss carry forwards for federal purposes of approximately $3,415,700 and for state purposes of approximately $445,000.</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70" w:right="3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not subject to examination by U.S. federal tax authorities tax years before 2010 and by state tax authorities for tax years before 2009. The Company’s policy is to recognize interest and penalties on unrecognized tax benefits in income tax expense in the consolidated statements of operations. To the extent accrued interest and penalties do not ultimately become payable, amounts accrued will be reduced and reflected as a reduction of the overall income tax provision in the period that such determination is made.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At December 31, 2013 the Company held two promissory notes from minority stockholders that accrue interest at 5% per annum. The interest is added to the principal if unpaid. At December 31, 2013 and 2012, the notes had outstanding unpaid principal in the amount of $301,800 and $133,700, respectively, which is included as a reduction to stockholders’ equity in the accompanying consolidated balance sheets and statements of stockholders’ equity. Such amounts represent a portion of the purchase consideration for preferred stock of the Company. During 2012, the Company repurchased and retired 1,000 shares from a former minority stockholder, thereby extinguishing an outstanding promissory note of $80,000 and accrued interest of $3,000.</w:t>
      </w:r>
    </w:p>
    <w:p>
      <w:pPr>
        <w:spacing w:after="0" w:line="15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leases its corporate office building from a stockholder. For each year ended December 31, 2013 and 2012, rental expense was $55,600 that was attributed to the stockholder and included in selling, general, and administrative expenses in the accompanying consolidated statements of operations.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a management agreement, during the years ended December 31, 2013 and 2012 the Company incurred and paid $704,600 and $591,600, respectively, in monitoring fees and reimbursable expenses to ICV Partners, LLC, and the investment manager of the majority stockholder of the Company. Under this agreement, the Company shall incur and pay ICV Partners, LLC an annual monitoring fee equal to the greater of 5% of consolidated adjusted EBITDA as defined in the Purchase Agreement or $400,000, paid quarterly.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leases its corporate office building under a non-cancelable and long-term operating lease from individuals, one of whom is a stockholder 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The lease expires on January 21, 2016 with an option to renew the term of the lease for a subsequent five year period. The monthly base rent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$39,300 per month, of which 11.8% is attributable to a stockholder of the Company. SNY leases a warehouse building under a non-cancelable and long-term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from a third party. The lease expires December 31, 2014 with an option to renew the term of the lease for an additional two year period.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monthly base rent is $15,750. The Company has various operating leases on certain operating equipment, which are in place through July 2017.</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0" w:right="27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future minimum rental payments under these non-cancelable operating leases for the next five years are as follows:</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1600" w:type="dxa"/>
            <w:vAlign w:val="bottom"/>
            <w:gridSpan w:val="2"/>
          </w:tcPr>
          <w:p>
            <w:pPr>
              <w:spacing w:after="0"/>
              <w:rPr>
                <w:sz w:val="20"/>
                <w:szCs w:val="20"/>
                <w:color w:val="auto"/>
              </w:rPr>
            </w:pPr>
            <w:r>
              <w:rPr>
                <w:rFonts w:ascii="Arial" w:cs="Arial" w:eastAsia="Arial" w:hAnsi="Arial"/>
                <w:sz w:val="14"/>
                <w:szCs w:val="14"/>
                <w:i w:val="1"/>
                <w:iCs w:val="1"/>
                <w:color w:val="auto"/>
                <w:w w:val="90"/>
              </w:rPr>
              <w:t>Years ending December 31,</w:t>
            </w: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color w:val="auto"/>
              </w:rPr>
              <w:t>Amount</w:t>
            </w:r>
          </w:p>
        </w:tc>
      </w:tr>
      <w:tr>
        <w:trPr>
          <w:trHeight w:val="203"/>
        </w:trPr>
        <w:tc>
          <w:tcPr>
            <w:tcW w:w="20" w:type="dxa"/>
            <w:vAlign w:val="bottom"/>
          </w:tcPr>
          <w:p>
            <w:pPr>
              <w:spacing w:after="0"/>
              <w:rPr>
                <w:sz w:val="17"/>
                <w:szCs w:val="17"/>
                <w:color w:val="auto"/>
              </w:rPr>
            </w:pPr>
          </w:p>
        </w:tc>
        <w:tc>
          <w:tcPr>
            <w:tcW w:w="1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2014</w:t>
            </w:r>
          </w:p>
        </w:tc>
        <w:tc>
          <w:tcPr>
            <w:tcW w:w="5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732,400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2015</w:t>
            </w:r>
          </w:p>
        </w:tc>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505,900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2017</w:t>
            </w:r>
          </w:p>
        </w:tc>
        <w:tc>
          <w:tcPr>
            <w:tcW w:w="5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1,280,400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Rent expense incurred and charged to operations was approximately $645,600 and $525,500 for each year ended December 31, 2013 and 2012 and is included in selling, general, and administrative expenses in the accompanying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is involved from time to time in certain legal actions and claims arising in the ordinary course of business. Management believes that the outcome of such litigation and claims, should they arise in the future, is not likely to have a material effect on the Company’s consolidated financial position or results of operations.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February 2012, the Company and SNY were named in several lawsuits pending in the State of California and Orange County Superior Court concerning personal injuries allegedly suffered by users of Hydroxycut brand products (“Hydroxycut Lawsuit”). In January 2013, a master settlement agreement (the “MSA”) was reached in its entirety between the defendants and all claimants in the Hydroxycut Lawsuit. The Company’s and SNY’s damages were $30,000 and $45,000, respectively which were paid by the Company’s insurance carrier less deductibles. The MSA is contingent upon the completion of a master release and the execution of the individual releases is still under review.</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December 2013, the Company received separate pre-litigation claims from two of its customers for damages allegedly sustained from a contaminated enzyme supplied by the Company. The Company purchased the enzyme from a third party manufacturer who purchased the product from the enzyme supplier. The customers’ claims request reimbursement for alleged damages sustained. Management is evaluating the basis for the claims and as of the date of these financial statements has not received requested evidence to establish the basis for the alleged damages. Accordingly, management cannot reasonably estimate any loss related to these claims. The Company’s insurers are participating in the claim investigation process and should there be any loss to the Company, management will pursue recovery from its insurers and indemnification separately from the enzyme third party manufacturer and supplier. No accrual for loss has been recorded in connection with these claims as of December 31, 2013.</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0" w:right="27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Indemnities and Guarantees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During the normal course of business, the Company has made certain indemnities and guarantees under which they may be required to make payments in relation to certain transactions. These indemnities include (i) certain real estate leases, under which the Company may be required to indemnify property owners for environmental and other liabilities, and (ii) certain agreements with the Company’s officers under which the Company may be required to indemnify officers for liabilities arising out of their employment relationship. The duration of these indemnities and guarantees varies and in certain cases is indefinite. The majority of these indemnities and guarantees do not provide for any limitation of the maximum potential future payments the Company could be obligated to make. Historically, the Company has not been obligated to make significant payments for these obligations, and no liabilities have been recorded for these indemnities and guarantees in the accompanying consolidated balance sheets.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sponsors a profit-sharing plan (the “401(k) Plan”) under the provisions of Section 401(k) of the Internal Revenue Code. The 401(k) Plan covers all employees who were employed on the effective date of the 401(k) Plan and subsequent eligible employees. The Company can make discretionary contributions to the 401(k) Plan. Under the 401(k) Plan, participating employees may defer a percentage of their pretax salary, but not more than the statutory limits. The Company matches 50% of participating employee’s elective deferral, up to a maximum contribution of 2.5% of their compensation. Maximum compensation for plan purposes for 2013 and 2012 was $255,000 and $250,000, respectively. The Company’s matching contributions to the 401(k) Plan were approximately $69,500 and $70,100 for the years ended December 31, 2013 and 2012, respectively, which is included in selling, general, and administrative expenses in the accompanying consolidated statements of operations.</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SNY sponsors a safe harbor profit-sharing plan (the “safe harbor 401(k) Plan”) under the provisions of Section 401(k) of the Internal Revenue Code. The safe harbor 401(k) Plan covers all employees who were employed on the effective date of the safe harbor 401(k) Plan and employees hired subsequent to the effective date. SNY makes contributions equal to the sum of 100% of the amount of the participating employee’s elective deferrals that do not exceed 3% of their compensation, plus 50% of the amount of their elective deferrals that exceed 3% up to a maximum of 5% of their compensation. This contribution is 100% vested. SNY’s matching contribution to the safe harbor Plan for the year ended December 31, 2013 and for the period from May 21, 2012 through December 31, 2012 was approximately $67,000 and $42,500, respectively, which is included in cost of goods sold, selling, general and administrative expenses in the accompanying consolidated statements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year ended December 31, 2013, the Company’s Board of Directors authorized and approved the issuance of 3,631 shares of the Company’s Series A preferred stock for approximately $121 per share resulting in gross proceeds of $440,800.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0"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May 17, 2012, the Company’s Board of Directors authorized and approved a reverse stock split of the Company’s Series A preferred stock and common stock. The Company’s Series A preferred stock was reclassified by increasing the purchase price from $1 per share to $100 per share and the number of authorized shares was decreased from 25,000,000 to 320,920 shares, in order to affect the reverse stock split with no change in the par value of those shares. The number of authorized shares of common stock was also decreased from 30,000,000 shares to 49,977 shares with no change in the par value of those shares.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authorized 49,977 shares of common stock, at $0.001 par value per share, and 320,920 shares of Series A convertible preferred stock, at</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$0.001 par value per share. As of December 31, 2013 and 2012, the Company had 296,880 and 293,249 shares, respectively, of Series A convertible preferred stock issued and outstanding, and no shares of common stock.</w:t>
      </w:r>
    </w:p>
    <w:p>
      <w:pPr>
        <w:spacing w:after="0" w:line="18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Series A convertible preferred stock has a cumulative dividend at an annual rate of 12% of the issuance price that compounds annually from the date of issuance. In a discretionary distribution or liquidity event, the Series A convertible preferred stockholders would have first priority to proceeds up to the issuance price plus accrued but unpaid dividends prior to any amounts paid to holders of common stock or any other class of capital stock, should they be issued at a future date. Shares of Series A convertible preferred stock are convertible into shares of common stock at a price equal to the purchase price plus accrued but unpaid dividends by the purchase price. The conversion price is subject to certain anti-dilution adjustments.</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 dividends were declared for the year ended December 31, 2013. During the year ended December 31, 2012, a dividend of $509,400 was declared and paid to the Series A shareholders. Cumulative accrued but undeclared dividends on Series A convertible preferred stock was $9,641,400 and $5,439,700 as of December 31, 2013 and 2012,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In March 2014, the Board of Directors approved the SPH Holdings, Inc. 2014 Stock Incentive Plan (the “Plan”). The Board authorized the issuance of an option to purchase 29,688 shares of common stock under the Plan. The options vest over different periods ranging from one to four years from grant date.</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The Company evaluated subsequent events in accordance with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The Company evaluated subsequent events through April 30, 2014, the date which these financial statements were available to be issued.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25"/>
          <w:szCs w:val="25"/>
          <w:b w:val="1"/>
          <w:bCs w:val="1"/>
          <w:color w:val="auto"/>
        </w:rPr>
        <w:t>SPH Holdings, Inc. and Subsidiaries</w:t>
      </w:r>
    </w:p>
    <w:p>
      <w:pPr>
        <w:spacing w:after="0" w:line="200" w:lineRule="exact"/>
        <w:rPr>
          <w:sz w:val="20"/>
          <w:szCs w:val="20"/>
          <w:color w:val="auto"/>
        </w:rPr>
      </w:pPr>
    </w:p>
    <w:p>
      <w:pPr>
        <w:spacing w:after="0" w:line="243" w:lineRule="exact"/>
        <w:rPr>
          <w:sz w:val="20"/>
          <w:szCs w:val="20"/>
          <w:color w:val="auto"/>
        </w:rPr>
      </w:pPr>
    </w:p>
    <w:p>
      <w:pPr>
        <w:ind w:left="5140"/>
        <w:spacing w:after="0"/>
        <w:rPr>
          <w:sz w:val="20"/>
          <w:szCs w:val="20"/>
          <w:color w:val="auto"/>
        </w:rPr>
      </w:pPr>
      <w:r>
        <w:rPr>
          <w:rFonts w:ascii="Arial" w:cs="Arial" w:eastAsia="Arial" w:hAnsi="Arial"/>
          <w:sz w:val="25"/>
          <w:szCs w:val="25"/>
          <w:color w:val="auto"/>
        </w:rPr>
        <w:t>Consolidated Financial Statements</w:t>
      </w:r>
    </w:p>
    <w:p>
      <w:pPr>
        <w:spacing w:after="0" w:line="13"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As of and for Years Ended</w:t>
      </w:r>
    </w:p>
    <w:p>
      <w:pPr>
        <w:ind w:left="5140"/>
        <w:spacing w:after="0"/>
        <w:rPr>
          <w:sz w:val="20"/>
          <w:szCs w:val="20"/>
          <w:color w:val="auto"/>
        </w:rPr>
      </w:pPr>
      <w:r>
        <w:rPr>
          <w:rFonts w:ascii="Arial" w:cs="Arial" w:eastAsia="Arial" w:hAnsi="Arial"/>
          <w:sz w:val="22"/>
          <w:szCs w:val="22"/>
          <w:color w:val="auto"/>
        </w:rPr>
        <w:t>December 31, 2014 and 2013</w:t>
      </w:r>
    </w:p>
    <w:p>
      <w:pPr>
        <w:sectPr>
          <w:pgSz w:w="11900" w:h="16838" w:orient="portrait"/>
          <w:cols w:equalWidth="0" w:num="1">
            <w:col w:w="10040"/>
          </w:cols>
          <w:pgMar w:left="1440" w:top="1440" w:right="419" w:bottom="1440" w:gutter="0" w:footer="0" w:header="0"/>
        </w:sectPr>
      </w:pPr>
    </w:p>
    <w:bookmarkStart w:id="33" w:name="page34"/>
    <w:bookmarkEnd w:id="33"/>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93345</wp:posOffset>
            </wp:positionV>
            <wp:extent cx="565150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1500" cy="26035"/>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and for the Years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 and 2013</w:t>
      </w:r>
    </w:p>
    <w:p>
      <w:pPr>
        <w:sectPr>
          <w:pgSz w:w="11900" w:h="16838" w:orient="portrait"/>
          <w:cols w:equalWidth="0" w:num="1">
            <w:col w:w="9019"/>
          </w:cols>
          <w:pgMar w:left="1440" w:top="261"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9240" w:type="dxa"/>
            <w:vAlign w:val="bottom"/>
          </w:tcPr>
          <w:p>
            <w:pPr>
              <w:jc w:val="center"/>
              <w:ind w:left="2090"/>
              <w:spacing w:after="0"/>
              <w:rPr>
                <w:sz w:val="20"/>
                <w:szCs w:val="20"/>
                <w:color w:val="auto"/>
              </w:rPr>
            </w:pPr>
            <w:r>
              <w:rPr>
                <w:rFonts w:ascii="Arial" w:cs="Arial" w:eastAsia="Arial" w:hAnsi="Arial"/>
                <w:sz w:val="18"/>
                <w:szCs w:val="18"/>
                <w:b w:val="1"/>
                <w:bCs w:val="1"/>
                <w:color w:val="auto"/>
                <w:w w:val="89"/>
              </w:rPr>
              <w:t>SPH Holdings, Inc. and Subsidiaries</w:t>
            </w:r>
          </w:p>
        </w:tc>
        <w:tc>
          <w:tcPr>
            <w:tcW w:w="2080" w:type="dxa"/>
            <w:vAlign w:val="bottom"/>
          </w:tcPr>
          <w:p>
            <w:pPr>
              <w:spacing w:after="0"/>
              <w:rPr>
                <w:sz w:val="20"/>
                <w:szCs w:val="20"/>
                <w:color w:val="auto"/>
              </w:rPr>
            </w:pPr>
          </w:p>
        </w:tc>
      </w:tr>
      <w:tr>
        <w:trPr>
          <w:trHeight w:val="432"/>
        </w:trPr>
        <w:tc>
          <w:tcPr>
            <w:tcW w:w="9240" w:type="dxa"/>
            <w:vAlign w:val="bottom"/>
          </w:tcPr>
          <w:p>
            <w:pPr>
              <w:jc w:val="center"/>
              <w:ind w:left="2090"/>
              <w:spacing w:after="0"/>
              <w:rPr>
                <w:sz w:val="20"/>
                <w:szCs w:val="20"/>
                <w:color w:val="auto"/>
              </w:rPr>
            </w:pPr>
            <w:r>
              <w:rPr>
                <w:rFonts w:ascii="Arial" w:cs="Arial" w:eastAsia="Arial" w:hAnsi="Arial"/>
                <w:sz w:val="18"/>
                <w:szCs w:val="18"/>
                <w:b w:val="1"/>
                <w:bCs w:val="1"/>
                <w:color w:val="auto"/>
                <w:w w:val="89"/>
              </w:rPr>
              <w:t>Contents</w:t>
            </w:r>
          </w:p>
        </w:tc>
        <w:tc>
          <w:tcPr>
            <w:tcW w:w="2080" w:type="dxa"/>
            <w:vAlign w:val="bottom"/>
          </w:tcPr>
          <w:p>
            <w:pPr>
              <w:spacing w:after="0"/>
              <w:rPr>
                <w:sz w:val="24"/>
                <w:szCs w:val="24"/>
                <w:color w:val="auto"/>
              </w:rPr>
            </w:pPr>
          </w:p>
        </w:tc>
      </w:tr>
      <w:tr>
        <w:trPr>
          <w:trHeight w:val="459"/>
        </w:trPr>
        <w:tc>
          <w:tcPr>
            <w:tcW w:w="9240" w:type="dxa"/>
            <w:vAlign w:val="bottom"/>
          </w:tcPr>
          <w:p>
            <w:pPr>
              <w:spacing w:after="0"/>
              <w:rPr>
                <w:sz w:val="20"/>
                <w:szCs w:val="20"/>
                <w:color w:val="auto"/>
              </w:rPr>
            </w:pPr>
            <w:r>
              <w:rPr>
                <w:rFonts w:ascii="Arial" w:cs="Arial" w:eastAsia="Arial" w:hAnsi="Arial"/>
                <w:sz w:val="18"/>
                <w:szCs w:val="18"/>
                <w:b w:val="1"/>
                <w:bCs w:val="1"/>
                <w:color w:val="auto"/>
              </w:rPr>
              <w:t>Independent Auditor’s Report</w:t>
            </w:r>
          </w:p>
        </w:tc>
        <w:tc>
          <w:tcPr>
            <w:tcW w:w="2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24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080" w:type="dxa"/>
            <w:vAlign w:val="bottom"/>
          </w:tcPr>
          <w:p>
            <w:pPr>
              <w:spacing w:after="0"/>
              <w:rPr>
                <w:sz w:val="24"/>
                <w:szCs w:val="24"/>
                <w:color w:val="auto"/>
              </w:rPr>
            </w:pPr>
          </w:p>
        </w:tc>
      </w:tr>
      <w:tr>
        <w:trPr>
          <w:trHeight w:val="324"/>
        </w:trPr>
        <w:tc>
          <w:tcPr>
            <w:tcW w:w="9240" w:type="dxa"/>
            <w:vAlign w:val="bottom"/>
          </w:tcPr>
          <w:p>
            <w:pPr>
              <w:ind w:left="360"/>
              <w:spacing w:after="0"/>
              <w:rPr>
                <w:sz w:val="20"/>
                <w:szCs w:val="20"/>
                <w:color w:val="auto"/>
              </w:rPr>
            </w:pPr>
            <w:r>
              <w:rPr>
                <w:rFonts w:ascii="Arial" w:cs="Arial" w:eastAsia="Arial" w:hAnsi="Arial"/>
                <w:sz w:val="18"/>
                <w:szCs w:val="18"/>
                <w:color w:val="auto"/>
              </w:rPr>
              <w:t>Consolidated Balance Sheets as of December 31, 2014 and 2013</w:t>
            </w:r>
          </w:p>
        </w:tc>
        <w:tc>
          <w:tcPr>
            <w:tcW w:w="20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240" w:type="dxa"/>
            <w:vAlign w:val="bottom"/>
          </w:tcPr>
          <w:p>
            <w:pPr>
              <w:ind w:left="360"/>
              <w:spacing w:after="0"/>
              <w:rPr>
                <w:sz w:val="20"/>
                <w:szCs w:val="20"/>
                <w:color w:val="auto"/>
              </w:rPr>
            </w:pPr>
            <w:r>
              <w:rPr>
                <w:rFonts w:ascii="Arial" w:cs="Arial" w:eastAsia="Arial" w:hAnsi="Arial"/>
                <w:sz w:val="18"/>
                <w:szCs w:val="18"/>
                <w:color w:val="auto"/>
              </w:rPr>
              <w:t>Consolidated Statements of Operations or the Years Ended December 31, 2014 and 2013</w:t>
            </w:r>
          </w:p>
        </w:tc>
        <w:tc>
          <w:tcPr>
            <w:tcW w:w="2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9240" w:type="dxa"/>
            <w:vAlign w:val="bottom"/>
          </w:tcPr>
          <w:p>
            <w:pPr>
              <w:ind w:left="360"/>
              <w:spacing w:after="0"/>
              <w:rPr>
                <w:sz w:val="20"/>
                <w:szCs w:val="20"/>
                <w:color w:val="auto"/>
              </w:rPr>
            </w:pPr>
            <w:r>
              <w:rPr>
                <w:rFonts w:ascii="Arial" w:cs="Arial" w:eastAsia="Arial" w:hAnsi="Arial"/>
                <w:sz w:val="18"/>
                <w:szCs w:val="18"/>
                <w:color w:val="auto"/>
              </w:rPr>
              <w:t>Consolidated Statements of Stockholders’ Equity for the Years Ended December 31, 2014 and 2013</w:t>
            </w:r>
          </w:p>
        </w:tc>
        <w:tc>
          <w:tcPr>
            <w:tcW w:w="2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9240" w:type="dxa"/>
            <w:vAlign w:val="bottom"/>
          </w:tcPr>
          <w:p>
            <w:pPr>
              <w:ind w:left="360"/>
              <w:spacing w:after="0"/>
              <w:rPr>
                <w:sz w:val="20"/>
                <w:szCs w:val="20"/>
                <w:color w:val="auto"/>
              </w:rPr>
            </w:pPr>
            <w:r>
              <w:rPr>
                <w:rFonts w:ascii="Arial" w:cs="Arial" w:eastAsia="Arial" w:hAnsi="Arial"/>
                <w:sz w:val="18"/>
                <w:szCs w:val="18"/>
                <w:color w:val="auto"/>
              </w:rPr>
              <w:t>Consolidated Statements of Cash Flows for the Years Ended December 31, 2014 and 2013</w:t>
            </w:r>
          </w:p>
        </w:tc>
        <w:tc>
          <w:tcPr>
            <w:tcW w:w="2080" w:type="dxa"/>
            <w:vAlign w:val="bottom"/>
          </w:tcPr>
          <w:p>
            <w:pPr>
              <w:jc w:val="right"/>
              <w:spacing w:after="0"/>
              <w:rPr>
                <w:sz w:val="20"/>
                <w:szCs w:val="20"/>
                <w:color w:val="auto"/>
              </w:rPr>
            </w:pPr>
            <w:r>
              <w:rPr>
                <w:rFonts w:ascii="Arial" w:cs="Arial" w:eastAsia="Arial" w:hAnsi="Arial"/>
                <w:sz w:val="18"/>
                <w:szCs w:val="18"/>
                <w:color w:val="auto"/>
              </w:rPr>
              <w:t>9-10</w:t>
            </w:r>
          </w:p>
        </w:tc>
      </w:tr>
      <w:tr>
        <w:trPr>
          <w:trHeight w:val="324"/>
        </w:trPr>
        <w:tc>
          <w:tcPr>
            <w:tcW w:w="9240" w:type="dxa"/>
            <w:vAlign w:val="bottom"/>
          </w:tcPr>
          <w:p>
            <w:pPr>
              <w:ind w:left="360"/>
              <w:spacing w:after="0"/>
              <w:rPr>
                <w:sz w:val="20"/>
                <w:szCs w:val="20"/>
                <w:color w:val="auto"/>
              </w:rPr>
            </w:pPr>
            <w:r>
              <w:rPr>
                <w:rFonts w:ascii="Arial" w:cs="Arial" w:eastAsia="Arial" w:hAnsi="Arial"/>
                <w:sz w:val="18"/>
                <w:szCs w:val="18"/>
                <w:color w:val="auto"/>
              </w:rPr>
              <w:t>Notes to Consolidated Financial Statements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11-26</w:t>
            </w:r>
          </w:p>
        </w:tc>
      </w:tr>
      <w:tr>
        <w:trPr>
          <w:trHeight w:val="365"/>
        </w:trPr>
        <w:tc>
          <w:tcPr>
            <w:tcW w:w="9240" w:type="dxa"/>
            <w:vAlign w:val="bottom"/>
          </w:tcPr>
          <w:p>
            <w:pPr>
              <w:jc w:val="center"/>
              <w:ind w:left="2090"/>
              <w:spacing w:after="0"/>
              <w:rPr>
                <w:sz w:val="20"/>
                <w:szCs w:val="20"/>
                <w:color w:val="auto"/>
              </w:rPr>
            </w:pPr>
            <w:r>
              <w:rPr>
                <w:rFonts w:ascii="Arial" w:cs="Arial" w:eastAsia="Arial" w:hAnsi="Arial"/>
                <w:sz w:val="18"/>
                <w:szCs w:val="18"/>
                <w:color w:val="auto"/>
                <w:w w:val="99"/>
              </w:rPr>
              <w:t>2</w:t>
            </w:r>
          </w:p>
        </w:tc>
        <w:tc>
          <w:tcPr>
            <w:tcW w:w="2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SPH Holdings,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Fullerton, California</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audited the accompanying consolidated financial statements of SPH Holdings, Inc. and Subsidiaries, which comprise the consolidated balance sheets as of December 31, 2014 and 2013 and the related consolidated statements of operations, stockholders’ equity, and cash flows for the years then ended, and the related notes to the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Financial Statements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21"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color w:val="auto"/>
        </w:rPr>
        <w:t>BDO USA, LLP, a Delaware limited liability partnership, is the U.S. member of BDO International Limited, a UK company limited by guarantee, and forms part of the international BDO network of independent member firms.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BDO is the brand name for the BDO network and for each of the BDO Member Firms.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Opinion</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SPH Holdings, Inc. and Subsidiaries as of December 31, 2014 and 2013, and the results of their operations and their cash flows for the years then ended in accordance with accounting principles generally accepted in the United States of America.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a Matter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goodwill in the consolidated financial statements for the years ended December 31, 2014 and 2013 due to unwinding the effects of the adoption of Accounting Standards Update No. 2014-02, </w:t>
      </w:r>
      <w:r>
        <w:rPr>
          <w:rFonts w:ascii="Arial" w:cs="Arial" w:eastAsia="Arial" w:hAnsi="Arial"/>
          <w:sz w:val="18"/>
          <w:szCs w:val="18"/>
          <w:i w:val="1"/>
          <w:iCs w:val="1"/>
          <w:color w:val="auto"/>
        </w:rPr>
        <w:t xml:space="preserve">Accounting for Goodwill, a consensus of the Private Company Council </w:t>
      </w:r>
      <w:r>
        <w:rPr>
          <w:rFonts w:ascii="Arial" w:cs="Arial" w:eastAsia="Arial" w:hAnsi="Arial"/>
          <w:sz w:val="18"/>
          <w:szCs w:val="18"/>
          <w:color w:val="auto"/>
        </w:rPr>
        <w:t>as the Company meets the definition of a public business entity. Our opinion is not</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with respect to this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30, 2015, except for the “Goodwill” paragraph in Note 2, which is as of March 3, 2016</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auto"/>
        </w:rPr>
        <w:t>BDO USA, LLP, a Delaware limited liability partnership, is the U.S. member of BDO International Limited, a UK company limited by guarantee, and forms part of the international BDO network of independent member firms.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BDO is the brand name for the BDO network and for each of the BDO Member Firms.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118745</wp:posOffset>
            </wp:positionV>
            <wp:extent cx="565150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1500" cy="26035"/>
                    </a:xfrm>
                    <a:prstGeom prst="rect">
                      <a:avLst/>
                    </a:prstGeom>
                    <a:noFill/>
                  </pic:spPr>
                </pic:pic>
              </a:graphicData>
            </a:graphic>
          </wp:anchor>
        </w:drawing>
      </w:r>
    </w:p>
    <w:p>
      <w:pPr>
        <w:sectPr>
          <w:pgSz w:w="11900" w:h="16838" w:orient="portrait"/>
          <w:cols w:equalWidth="0" w:num="1">
            <w:col w:w="9019"/>
          </w:cols>
          <w:pgMar w:left="1440" w:top="261"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40" w:type="dxa"/>
            <w:vAlign w:val="bottom"/>
            <w:gridSpan w:val="3"/>
          </w:tcPr>
          <w:p>
            <w:pPr>
              <w:spacing w:after="0"/>
              <w:rPr>
                <w:sz w:val="20"/>
                <w:szCs w:val="20"/>
                <w:color w:val="auto"/>
              </w:rPr>
            </w:pPr>
            <w:r>
              <w:rPr>
                <w:rFonts w:ascii="Arial" w:cs="Arial" w:eastAsia="Arial" w:hAnsi="Arial"/>
                <w:sz w:val="14"/>
                <w:szCs w:val="14"/>
                <w:i w:val="1"/>
                <w:iCs w:val="1"/>
                <w:color w:val="auto"/>
              </w:rPr>
              <w:t>December 31,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76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1,161,400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 of allowance of $658,900 and $596,500, respectively</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13,742,800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14,200,200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12,608,500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11,987,800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Prepaid expenses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1,215,400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1,564,100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1,432,000</w:t>
            </w:r>
          </w:p>
        </w:tc>
        <w:tc>
          <w:tcPr>
            <w:tcW w:w="0" w:type="dxa"/>
            <w:vAlign w:val="bottom"/>
          </w:tcPr>
          <w:p>
            <w:pPr>
              <w:spacing w:after="0"/>
              <w:rPr>
                <w:sz w:val="1"/>
                <w:szCs w:val="1"/>
                <w:color w:val="auto"/>
              </w:rPr>
            </w:pP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30,292,200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29,010,200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9,763,500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6,153,100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Debt issuance costs, net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93,400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13,975,300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19,204,400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Goodwill</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22,561,800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22,561,800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76,686,200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77,076,600</w:t>
            </w:r>
          </w:p>
        </w:tc>
        <w:tc>
          <w:tcPr>
            <w:tcW w:w="0" w:type="dxa"/>
            <w:vAlign w:val="bottom"/>
          </w:tcPr>
          <w:p>
            <w:pPr>
              <w:spacing w:after="0"/>
              <w:rPr>
                <w:sz w:val="1"/>
                <w:szCs w:val="1"/>
                <w:color w:val="auto"/>
              </w:rPr>
            </w:pPr>
          </w:p>
        </w:tc>
      </w:tr>
      <w:tr>
        <w:trPr>
          <w:trHeight w:val="20"/>
        </w:trPr>
        <w:tc>
          <w:tcPr>
            <w:tcW w:w="8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8,716,800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8,285,700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debt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1,764,800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Current portion of capital lease obligation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9,900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accrued expenses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1,549,400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Interest payable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433,200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327,000</w:t>
            </w:r>
          </w:p>
        </w:tc>
        <w:tc>
          <w:tcPr>
            <w:tcW w:w="0" w:type="dxa"/>
            <w:vAlign w:val="bottom"/>
          </w:tcPr>
          <w:p>
            <w:pPr>
              <w:spacing w:after="0"/>
              <w:rPr>
                <w:sz w:val="1"/>
                <w:szCs w:val="1"/>
                <w:color w:val="auto"/>
              </w:rPr>
            </w:pP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11,019,700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12,092,100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Debt, net of current portion and discount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32,414,000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30,534,800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lease obligation, net of current portion</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Deferred tax liability</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5,676,100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7,544,500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38,173,600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38,079,300</w:t>
            </w:r>
          </w:p>
        </w:tc>
        <w:tc>
          <w:tcPr>
            <w:tcW w:w="0" w:type="dxa"/>
            <w:vAlign w:val="bottom"/>
          </w:tcPr>
          <w:p>
            <w:pPr>
              <w:spacing w:after="0"/>
              <w:rPr>
                <w:sz w:val="1"/>
                <w:szCs w:val="1"/>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49,193,300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50,171,400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(see Note 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Series A convertible preferred stock, 296,880 and 296,880 shares issued and outstanding, respectively</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29,762,800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29,762,800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Stockholder notes receivable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(315,900)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(1,954,000)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(2,555,800)</w:t>
            </w:r>
          </w:p>
        </w:tc>
        <w:tc>
          <w:tcPr>
            <w:tcW w:w="0" w:type="dxa"/>
            <w:vAlign w:val="bottom"/>
          </w:tcPr>
          <w:p>
            <w:pPr>
              <w:spacing w:after="0"/>
              <w:rPr>
                <w:sz w:val="1"/>
                <w:szCs w:val="1"/>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Total stockholders’ equity</w:t>
            </w:r>
          </w:p>
        </w:tc>
        <w:tc>
          <w:tcPr>
            <w:tcW w:w="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27,492,900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26,905,200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76,686,200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77,076,600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980" w:type="dxa"/>
            <w:vAlign w:val="bottom"/>
            <w:gridSpan w:val="3"/>
          </w:tcPr>
          <w:p>
            <w:pPr>
              <w:spacing w:after="0"/>
              <w:rPr>
                <w:sz w:val="20"/>
                <w:szCs w:val="20"/>
                <w:color w:val="auto"/>
              </w:rPr>
            </w:pPr>
            <w:r>
              <w:rPr>
                <w:rFonts w:ascii="Arial" w:cs="Arial" w:eastAsia="Arial" w:hAnsi="Arial"/>
                <w:sz w:val="14"/>
                <w:szCs w:val="14"/>
                <w:i w:val="1"/>
                <w:iCs w:val="1"/>
                <w:color w:val="auto"/>
              </w:rPr>
              <w:t>Years ended 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271"/>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Revenues, net</w:t>
            </w:r>
          </w:p>
        </w:tc>
        <w:tc>
          <w:tcPr>
            <w:tcW w:w="7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101,458,700</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101,961,200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Cost of 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79,440,600</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79,016,300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22,018,100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22,944,900</w:t>
            </w:r>
          </w:p>
        </w:tc>
        <w:tc>
          <w:tcPr>
            <w:tcW w:w="0" w:type="dxa"/>
            <w:vAlign w:val="bottom"/>
          </w:tcPr>
          <w:p>
            <w:pPr>
              <w:spacing w:after="0"/>
              <w:rPr>
                <w:sz w:val="1"/>
                <w:szCs w:val="1"/>
                <w:color w:val="auto"/>
              </w:rPr>
            </w:pPr>
          </w:p>
        </w:tc>
      </w:tr>
      <w:tr>
        <w:trPr>
          <w:trHeight w:val="223"/>
        </w:trPr>
        <w:tc>
          <w:tcPr>
            <w:tcW w:w="8980" w:type="dxa"/>
            <w:vAlign w:val="bottom"/>
            <w:gridSpan w:val="3"/>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12,041,000</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11,600,300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Amortization of intangibles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5,229,100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5,449,200</w:t>
            </w:r>
          </w:p>
        </w:tc>
        <w:tc>
          <w:tcPr>
            <w:tcW w:w="0" w:type="dxa"/>
            <w:vAlign w:val="bottom"/>
          </w:tcPr>
          <w:p>
            <w:pPr>
              <w:spacing w:after="0"/>
              <w:rPr>
                <w:sz w:val="1"/>
                <w:szCs w:val="1"/>
                <w:color w:val="auto"/>
              </w:rPr>
            </w:pPr>
          </w:p>
        </w:tc>
      </w:tr>
      <w:tr>
        <w:trPr>
          <w:trHeight w:val="230"/>
        </w:trPr>
        <w:tc>
          <w:tcPr>
            <w:tcW w:w="8980" w:type="dxa"/>
            <w:vAlign w:val="bottom"/>
            <w:gridSpan w:val="3"/>
          </w:tcPr>
          <w:p>
            <w:pPr>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17,270,100</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17,049,500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4,748,000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(3,125,300)</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(3,396,100)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(797,800)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(769,800)</w:t>
            </w:r>
          </w:p>
        </w:tc>
        <w:tc>
          <w:tcPr>
            <w:tcW w:w="0" w:type="dxa"/>
            <w:vAlign w:val="bottom"/>
          </w:tcPr>
          <w:p>
            <w:pPr>
              <w:spacing w:after="0"/>
              <w:rPr>
                <w:sz w:val="1"/>
                <w:szCs w:val="1"/>
                <w:color w:val="auto"/>
              </w:rPr>
            </w:pPr>
          </w:p>
        </w:tc>
      </w:tr>
      <w:tr>
        <w:trPr>
          <w:trHeight w:val="223"/>
        </w:trPr>
        <w:tc>
          <w:tcPr>
            <w:tcW w:w="8980" w:type="dxa"/>
            <w:vAlign w:val="bottom"/>
            <w:gridSpan w:val="3"/>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824,900</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(223,100)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(228,700)</w:t>
            </w:r>
          </w:p>
        </w:tc>
        <w:tc>
          <w:tcPr>
            <w:tcW w:w="0" w:type="dxa"/>
            <w:vAlign w:val="bottom"/>
          </w:tcPr>
          <w:p>
            <w:pPr>
              <w:spacing w:after="0"/>
              <w:rPr>
                <w:sz w:val="1"/>
                <w:szCs w:val="1"/>
                <w:color w:val="auto"/>
              </w:rPr>
            </w:pPr>
          </w:p>
        </w:tc>
      </w:tr>
      <w:tr>
        <w:trPr>
          <w:trHeight w:val="223"/>
        </w:trPr>
        <w:tc>
          <w:tcPr>
            <w:tcW w:w="898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601,800</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60" w:type="dxa"/>
            <w:vAlign w:val="bottom"/>
            <w:gridSpan w:val="5"/>
          </w:tcPr>
          <w:p>
            <w:pPr>
              <w:jc w:val="center"/>
              <w:ind w:right="120"/>
              <w:spacing w:after="0"/>
              <w:rPr>
                <w:sz w:val="20"/>
                <w:szCs w:val="20"/>
                <w:color w:val="auto"/>
              </w:rPr>
            </w:pPr>
            <w:r>
              <w:rPr>
                <w:rFonts w:ascii="Arial" w:cs="Arial" w:eastAsia="Arial" w:hAnsi="Arial"/>
                <w:sz w:val="14"/>
                <w:szCs w:val="14"/>
                <w:i w:val="1"/>
                <w:iCs w:val="1"/>
                <w:color w:val="auto"/>
                <w:w w:val="92"/>
              </w:rPr>
              <w:t>Preferred Stock</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Stockholder</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60" w:type="dxa"/>
            <w:vAlign w:val="bottom"/>
            <w:gridSpan w:val="5"/>
          </w:tcPr>
          <w:p>
            <w:pPr>
              <w:jc w:val="center"/>
              <w:ind w:right="100"/>
              <w:spacing w:after="0"/>
              <w:rPr>
                <w:sz w:val="20"/>
                <w:szCs w:val="20"/>
                <w:color w:val="auto"/>
              </w:rPr>
            </w:pPr>
            <w:r>
              <w:rPr>
                <w:rFonts w:ascii="Arial" w:cs="Arial" w:eastAsia="Arial" w:hAnsi="Arial"/>
                <w:sz w:val="14"/>
                <w:szCs w:val="14"/>
                <w:i w:val="1"/>
                <w:iCs w:val="1"/>
                <w:color w:val="auto"/>
                <w:w w:val="90"/>
              </w:rPr>
              <w:t>Series A</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Notes</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w w:val="98"/>
              </w:rPr>
              <w:t>Accumulated</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color w:val="auto"/>
              </w:rPr>
              <w:t>Shares</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2" w:lineRule="exact"/>
              <w:rPr>
                <w:sz w:val="20"/>
                <w:szCs w:val="20"/>
                <w:color w:val="auto"/>
              </w:rPr>
            </w:pPr>
            <w:r>
              <w:rPr>
                <w:rFonts w:ascii="Arial" w:cs="Arial" w:eastAsia="Arial" w:hAnsi="Arial"/>
                <w:sz w:val="14"/>
                <w:szCs w:val="14"/>
                <w:color w:val="auto"/>
                <w:w w:val="92"/>
              </w:rPr>
              <w:t>Receivable</w:t>
            </w:r>
          </w:p>
        </w:tc>
        <w:tc>
          <w:tcPr>
            <w:tcW w:w="100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2"/>
                <w:szCs w:val="12"/>
                <w:color w:val="auto"/>
              </w:rPr>
            </w:pPr>
          </w:p>
        </w:tc>
        <w:tc>
          <w:tcPr>
            <w:tcW w:w="1020" w:type="dxa"/>
            <w:vAlign w:val="bottom"/>
            <w:gridSpan w:val="2"/>
          </w:tcPr>
          <w:p>
            <w:pPr>
              <w:jc w:val="right"/>
              <w:ind w:right="420"/>
              <w:spacing w:after="0" w:line="142" w:lineRule="exact"/>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31, 2012</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293,249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$29,322,000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$(133,700)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$(4,056,600)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$25,131,700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Issuance of preferred stock</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3,631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440,800</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440,800</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stockholder note receivable</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(157,800)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(157,800)</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Stockholder notes accrued interest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(10,300)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(10,300)</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1,500,800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1,500,800</w:t>
            </w: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31, 2013</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296,880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29,762,800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(301,800)</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(2,555,800)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26,905,200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Stockholder notes accrued interest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(14,100)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(14,100)</w:t>
            </w: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31, 2014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296,880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29,762,800</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(315,900)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(1,954,000)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27,492,900</w:t>
            </w: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40" w:type="dxa"/>
            <w:vAlign w:val="bottom"/>
            <w:gridSpan w:val="3"/>
          </w:tcPr>
          <w:p>
            <w:pPr>
              <w:spacing w:after="0"/>
              <w:rPr>
                <w:sz w:val="20"/>
                <w:szCs w:val="20"/>
                <w:color w:val="auto"/>
              </w:rPr>
            </w:pPr>
            <w:r>
              <w:rPr>
                <w:rFonts w:ascii="Arial" w:cs="Arial" w:eastAsia="Arial" w:hAnsi="Arial"/>
                <w:sz w:val="14"/>
                <w:szCs w:val="14"/>
                <w:i w:val="1"/>
                <w:iCs w:val="1"/>
                <w:color w:val="auto"/>
              </w:rPr>
              <w:t>Years ended December 31,</w:t>
            </w:r>
          </w:p>
        </w:tc>
        <w:tc>
          <w:tcPr>
            <w:tcW w:w="24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15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27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  601,800</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$ 1,500,800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700"/>
              <w:spacing w:after="0"/>
              <w:rPr>
                <w:sz w:val="20"/>
                <w:szCs w:val="20"/>
                <w:color w:val="auto"/>
              </w:rPr>
            </w:pPr>
            <w:r>
              <w:rPr>
                <w:rFonts w:ascii="Arial" w:cs="Arial" w:eastAsia="Arial" w:hAnsi="Arial"/>
                <w:sz w:val="18"/>
                <w:szCs w:val="18"/>
                <w:color w:val="auto"/>
              </w:rPr>
              <w:t>Depreciation</w:t>
            </w:r>
          </w:p>
        </w:tc>
        <w:tc>
          <w:tcPr>
            <w:tcW w:w="27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632,500</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473,400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Amortization of intangible assets</w:t>
            </w:r>
          </w:p>
        </w:tc>
        <w:tc>
          <w:tcPr>
            <w:tcW w:w="2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5,229,100</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5,449,200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700"/>
              <w:spacing w:after="0"/>
              <w:rPr>
                <w:sz w:val="20"/>
                <w:szCs w:val="20"/>
                <w:color w:val="auto"/>
              </w:rPr>
            </w:pPr>
            <w:r>
              <w:rPr>
                <w:rFonts w:ascii="Arial" w:cs="Arial" w:eastAsia="Arial" w:hAnsi="Arial"/>
                <w:sz w:val="18"/>
                <w:szCs w:val="18"/>
                <w:color w:val="auto"/>
              </w:rPr>
              <w:t>Amortization of debt issuance and debt discount costs</w:t>
            </w:r>
          </w:p>
        </w:tc>
        <w:tc>
          <w:tcPr>
            <w:tcW w:w="27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153,100</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261,900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Shareholder accrued interest</w:t>
            </w:r>
          </w:p>
        </w:tc>
        <w:tc>
          <w:tcPr>
            <w:tcW w:w="2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(14,100)</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700"/>
              <w:spacing w:after="0"/>
              <w:rPr>
                <w:sz w:val="20"/>
                <w:szCs w:val="20"/>
                <w:color w:val="auto"/>
              </w:rPr>
            </w:pPr>
            <w:r>
              <w:rPr>
                <w:rFonts w:ascii="Arial" w:cs="Arial" w:eastAsia="Arial" w:hAnsi="Arial"/>
                <w:sz w:val="18"/>
                <w:szCs w:val="18"/>
                <w:color w:val="auto"/>
              </w:rPr>
              <w:t>Loss on sale of equipment</w:t>
            </w:r>
          </w:p>
        </w:tc>
        <w:tc>
          <w:tcPr>
            <w:tcW w:w="15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153,800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Bad debt expense</w:t>
            </w:r>
          </w:p>
        </w:tc>
        <w:tc>
          <w:tcPr>
            <w:tcW w:w="2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93,800</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700"/>
              <w:spacing w:after="0"/>
              <w:rPr>
                <w:sz w:val="20"/>
                <w:szCs w:val="20"/>
                <w:color w:val="auto"/>
              </w:rPr>
            </w:pPr>
            <w:r>
              <w:rPr>
                <w:rFonts w:ascii="Arial" w:cs="Arial" w:eastAsia="Arial" w:hAnsi="Arial"/>
                <w:sz w:val="18"/>
                <w:szCs w:val="18"/>
                <w:color w:val="auto"/>
              </w:rPr>
              <w:t>Deferred income taxes, net</w:t>
            </w:r>
          </w:p>
        </w:tc>
        <w:tc>
          <w:tcPr>
            <w:tcW w:w="27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(2,000,500)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(2,125,800)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060"/>
              <w:spacing w:after="0"/>
              <w:rPr>
                <w:sz w:val="20"/>
                <w:szCs w:val="20"/>
                <w:color w:val="auto"/>
              </w:rPr>
            </w:pPr>
            <w:r>
              <w:rPr>
                <w:rFonts w:ascii="Arial" w:cs="Arial" w:eastAsia="Arial" w:hAnsi="Arial"/>
                <w:sz w:val="18"/>
                <w:szCs w:val="18"/>
                <w:color w:val="auto"/>
              </w:rPr>
              <w:t>Accounts receivable</w:t>
            </w:r>
          </w:p>
        </w:tc>
        <w:tc>
          <w:tcPr>
            <w:tcW w:w="27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363,600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(2,856,400)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Inventories</w:t>
            </w:r>
          </w:p>
        </w:tc>
        <w:tc>
          <w:tcPr>
            <w:tcW w:w="2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(620,700)</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1,800,900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060"/>
              <w:spacing w:after="0"/>
              <w:rPr>
                <w:sz w:val="20"/>
                <w:szCs w:val="20"/>
                <w:color w:val="auto"/>
              </w:rPr>
            </w:pPr>
            <w:r>
              <w:rPr>
                <w:rFonts w:ascii="Arial" w:cs="Arial" w:eastAsia="Arial" w:hAnsi="Arial"/>
                <w:sz w:val="18"/>
                <w:szCs w:val="18"/>
                <w:color w:val="auto"/>
              </w:rPr>
              <w:t>Prepaid expenses</w:t>
            </w:r>
          </w:p>
        </w:tc>
        <w:tc>
          <w:tcPr>
            <w:tcW w:w="27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(676,100)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(149,100)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Income taxes payable/receivable</w:t>
            </w:r>
          </w:p>
        </w:tc>
        <w:tc>
          <w:tcPr>
            <w:tcW w:w="2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106,200</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060"/>
              <w:spacing w:after="0"/>
              <w:rPr>
                <w:sz w:val="20"/>
                <w:szCs w:val="20"/>
                <w:color w:val="auto"/>
              </w:rPr>
            </w:pPr>
            <w:r>
              <w:rPr>
                <w:rFonts w:ascii="Arial" w:cs="Arial" w:eastAsia="Arial" w:hAnsi="Arial"/>
                <w:sz w:val="18"/>
                <w:szCs w:val="18"/>
                <w:color w:val="auto"/>
              </w:rPr>
              <w:t>Accounts payable</w:t>
            </w:r>
          </w:p>
        </w:tc>
        <w:tc>
          <w:tcPr>
            <w:tcW w:w="27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431,100</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2,519,900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Other accrued expenses</w:t>
            </w:r>
          </w:p>
        </w:tc>
        <w:tc>
          <w:tcPr>
            <w:tcW w:w="2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(62,600)</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060"/>
              <w:spacing w:after="0"/>
              <w:rPr>
                <w:sz w:val="20"/>
                <w:szCs w:val="20"/>
                <w:color w:val="auto"/>
              </w:rPr>
            </w:pPr>
            <w:r>
              <w:rPr>
                <w:rFonts w:ascii="Arial" w:cs="Arial" w:eastAsia="Arial" w:hAnsi="Arial"/>
                <w:sz w:val="18"/>
                <w:szCs w:val="18"/>
                <w:color w:val="auto"/>
              </w:rPr>
              <w:t>Interest payable</w:t>
            </w:r>
          </w:p>
        </w:tc>
        <w:tc>
          <w:tcPr>
            <w:tcW w:w="15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4,237,000</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7,715,200</w:t>
            </w:r>
          </w:p>
        </w:tc>
        <w:tc>
          <w:tcPr>
            <w:tcW w:w="0" w:type="dxa"/>
            <w:vAlign w:val="bottom"/>
          </w:tcPr>
          <w:p>
            <w:pPr>
              <w:spacing w:after="0"/>
              <w:rPr>
                <w:sz w:val="1"/>
                <w:szCs w:val="1"/>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2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(4,242,900)</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(1,736,900)</w:t>
            </w:r>
          </w:p>
        </w:tc>
        <w:tc>
          <w:tcPr>
            <w:tcW w:w="0" w:type="dxa"/>
            <w:vAlign w:val="bottom"/>
          </w:tcPr>
          <w:p>
            <w:pPr>
              <w:spacing w:after="0"/>
              <w:rPr>
                <w:sz w:val="1"/>
                <w:szCs w:val="1"/>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(4,242,900</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(1,736,900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372"/>
        </w:trPr>
        <w:tc>
          <w:tcPr>
            <w:tcW w:w="7540" w:type="dxa"/>
            <w:vAlign w:val="bottom"/>
            <w:gridSpan w:val="3"/>
          </w:tcPr>
          <w:p>
            <w:pPr>
              <w:jc w:val="right"/>
              <w:ind w:right="1780"/>
              <w:spacing w:after="0"/>
              <w:rPr>
                <w:sz w:val="20"/>
                <w:szCs w:val="20"/>
                <w:color w:val="auto"/>
              </w:rPr>
            </w:pPr>
            <w:r>
              <w:rPr>
                <w:rFonts w:ascii="Arial" w:cs="Arial" w:eastAsia="Arial" w:hAnsi="Arial"/>
                <w:sz w:val="18"/>
                <w:szCs w:val="18"/>
                <w:color w:val="auto"/>
              </w:rPr>
              <w:t>9</w:t>
            </w:r>
          </w:p>
        </w:tc>
        <w:tc>
          <w:tcPr>
            <w:tcW w:w="1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80" w:type="dxa"/>
            <w:vAlign w:val="bottom"/>
            <w:gridSpan w:val="3"/>
          </w:tcPr>
          <w:p>
            <w:pPr>
              <w:spacing w:after="0"/>
              <w:rPr>
                <w:sz w:val="20"/>
                <w:szCs w:val="20"/>
                <w:color w:val="auto"/>
              </w:rPr>
            </w:pPr>
            <w:r>
              <w:rPr>
                <w:rFonts w:ascii="Arial" w:cs="Arial" w:eastAsia="Arial" w:hAnsi="Arial"/>
                <w:sz w:val="14"/>
                <w:szCs w:val="14"/>
                <w:i w:val="1"/>
                <w:iCs w:val="1"/>
                <w:color w:val="auto"/>
              </w:rPr>
              <w:t>Years ended December 31,</w:t>
            </w:r>
          </w:p>
        </w:tc>
        <w:tc>
          <w:tcPr>
            <w:tcW w:w="100" w:type="dxa"/>
            <w:vAlign w:val="bottom"/>
          </w:tcPr>
          <w:p>
            <w:pPr>
              <w:spacing w:after="0"/>
              <w:rPr>
                <w:sz w:val="14"/>
                <w:szCs w:val="14"/>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bottom w:val="single" w:sz="8" w:color="CCEEFF"/>
            </w:tcBorders>
            <w:shd w:val="clear" w:color="auto" w:fill="000000"/>
          </w:tcPr>
          <w:p>
            <w:pPr>
              <w:spacing w:after="0" w:line="20" w:lineRule="exact"/>
              <w:rPr>
                <w:sz w:val="1"/>
                <w:szCs w:val="1"/>
                <w:color w:val="auto"/>
              </w:rPr>
            </w:pPr>
          </w:p>
        </w:tc>
        <w:tc>
          <w:tcPr>
            <w:tcW w:w="7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Proceeds from debt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400,800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 of debt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(5,988,700)</w:t>
            </w: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Principal payments on capital lease obligation</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Payment of debt issuance and debt discount costs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(75,800)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Proceeds from issuance of preferred stock</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316,400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(5,705,700)</w:t>
            </w:r>
          </w:p>
        </w:tc>
      </w:tr>
      <w:tr>
        <w:trPr>
          <w:trHeight w:val="223"/>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310,500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272,600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year</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850,900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578,300</w:t>
            </w:r>
          </w:p>
        </w:tc>
      </w:tr>
      <w:tr>
        <w:trPr>
          <w:trHeight w:val="223"/>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1,161,400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850,900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Cash paid during the year for:</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2,972,200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3,145,100</w:t>
            </w:r>
          </w:p>
        </w:tc>
      </w:tr>
      <w:tr>
        <w:trPr>
          <w:trHeight w:val="216"/>
        </w:trPr>
        <w:tc>
          <w:tcPr>
            <w:tcW w:w="20" w:type="dxa"/>
            <w:vAlign w:val="bottom"/>
          </w:tcPr>
          <w:p>
            <w:pPr>
              <w:spacing w:after="0"/>
              <w:rPr>
                <w:sz w:val="18"/>
                <w:szCs w:val="18"/>
                <w:color w:val="auto"/>
              </w:rPr>
            </w:pPr>
          </w:p>
        </w:tc>
        <w:tc>
          <w:tcPr>
            <w:tcW w:w="9260" w:type="dxa"/>
            <w:vAlign w:val="bottom"/>
            <w:gridSpan w:val="2"/>
          </w:tcPr>
          <w:p>
            <w:pPr>
              <w:ind w:left="70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2,128,600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1,823,400</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Issuance of shareholder note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157,800</w:t>
            </w: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Property and equipment acquired under capital leases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102,000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Description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SPH Holdings, Inc. (“SPHHI”), which was incorporated on November 1, 2010 under the General Corporation Law of the State of Delaware, is the sole stockholder of Stauber Holdings, Inc. (“Holdings”), which is the sole stockholder of Stauber Performance Ingredients, Inc. dba Stauber California (“SCA”), which is the sole member of Stauber Performance Ingredients, LLC (“SPILLC”) (together, the “Company”). SCA is the only active operating company; SPHHI and Holdings are passive holding companies that may generate interest income or transaction costs. SPHHI is a holding company which monitors the operating company and may engage in strategic acquisitions for the Company. SCA distributes food ingredients, nutrients, and fine chemicals in bulk to processors and manufacturers in the food, nutritional supplement, and pharmaceutical industries.</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May 21, 2012, SPHHI acquired all of the outstanding equity securities of Gadot USA, Inc. (“Gadot”), the parent and sole stockholder of Pharmline, Inc. dba Stauber New York (“SNY”), a value-added manufacturer and distributor of nutraceutical products located in Florida, New York. SNY was acquired to expand the Company’s geographic presence and manufacturing capabilities.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SPHHI, Holdings, SCA, SNY and SPILLC. All intercompany accounts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2013 amounts have been reclassified to conform to the 2014 presentation.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recognizes revenue when products are shipped to customers and title has passed, the price is fixed and determinable, and collectability is reasonably assured.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Amounts billed to customers for shipping and handling are recorded as revenue. Freight costs associated with shipping goods to customers are not included in cost of sales. Shipping and handling costs of $937,800 and $885,600 are included in selling, general, and administrative expenses for the years ended December 31, 2014 and 2013, respectively.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0" w:right="27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primarily of accounts receivable. The Company performs ongoing credit evaluations of its customers’ financial condition and limits the amount of credit extended when deemed necessary but generally requires no collateral. The Company maintains allowances for estimated credit losses, and historically such losses have been within management’s estimates.</w:t>
      </w:r>
    </w:p>
    <w:p>
      <w:pPr>
        <w:spacing w:after="0" w:line="147"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In addition, the Company is subject to counterparty risk on certain cash and investments balances held at a financial institution. The Company places its cash with high credit quality financial institutions. The Company maintains bank accounts at financial institutions, which at times may exceed amounts insured by the Federal Deposit Insurance Corporation (“FDIC”). The Company has never experienced any losses related to these balances. Cash balances are insured up to $250,000 per depositor at each financial institution. At December 31, 2014, the Company’s cash balance exceeded the insured amount.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to be cash equivalents. Cash equivalents are stated at cost, which approximates fair value.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Bad Debts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Accounts receivable are customer obligations due under normal trade terms. The Company performs continuing credit evaluations of the customers’ financial condition and generally does not require collateral. The allowance for bad debts is maintained at a level that, in management’s opinion, is adequate to absorb potential losses related to trade receivables. The allowance for bad debts is based upon management’s continuous evaluation of the collectability of outstanding receivables.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Management’s evaluation takes into consideration such factors as past bad debt experience, economic conditions, and information about specific receivables. The allowance for bad debts is based on estimates and ultimate losses may vary from current estimates. As adjustments to these estimates become necessary, they are reported in earnings in the periods that they become known. The allowance is increased by bad debt provisions charged to operating expense and reduced by direct write-offs, net of recoveries.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Inventories consist substantially of raw materials, work-in-process and finished goods and are stated at the lower of cost or market. Cost is determined using the first-in, first-out method (see Note 3).</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0" w:right="2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Property and equipment are stated at cost less accumulated depreciation. Expenditures for major additions, improvements and capital leases are capitalized, while minor replacements, maintenance and repairs are charged to expense as incurred. Depreciation is provided over the estimated useful lives of the assets involved using the straight-line method. The range of estimated useful lives is as follows:</w:t>
      </w:r>
    </w:p>
    <w:p>
      <w:pPr>
        <w:spacing w:after="0" w:line="204"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710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Arial" w:cs="Arial" w:eastAsia="Arial" w:hAnsi="Arial"/>
                <w:sz w:val="14"/>
                <w:szCs w:val="14"/>
                <w:color w:val="auto"/>
              </w:rPr>
              <w:t>Years</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 to 12</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Computers</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to 5</w:t>
            </w: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Leasehold improvements are depreciated over the lesser of the useful life or the remaining term of the lease. Construction in progress is not depreciated until the related asset is completed and placed in service (see Note 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The Company reviews long-lived assets, including intangible assets, for impairment whenever events or circumstances indicate that the carrying amount of any such asset may not be fully recoverable. The determination of recoverability is based on an estimate of the undiscounted cash flows expected to result from the use of an asset and its eventual disposition. If the sum of the undiscounted cash flows, excluding interest, is less than the carrying value, the Company recognizes an impairment loss, measured as the amount by which the carrying value exceeds the fair value of the asset. No impairment charges were recorded during the years ended December 31, 2014 and 2013.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range of estimated remaining useful lives for intangible assets is as follows:</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7020" w:type="dxa"/>
            <w:vAlign w:val="bottom"/>
          </w:tcPr>
          <w:p>
            <w:pPr>
              <w:spacing w:after="0"/>
              <w:rPr>
                <w:sz w:val="14"/>
                <w:szCs w:val="14"/>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color w:val="auto"/>
              </w:rPr>
              <w:t>Years</w:t>
            </w: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to 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 to 15</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 to 10</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On January 1, 2013, the Company had adopted Accounting Standards Update No. 2014-02, </w:t>
      </w:r>
      <w:r>
        <w:rPr>
          <w:rFonts w:ascii="Arial" w:cs="Arial" w:eastAsia="Arial" w:hAnsi="Arial"/>
          <w:sz w:val="18"/>
          <w:szCs w:val="18"/>
          <w:i w:val="1"/>
          <w:iCs w:val="1"/>
          <w:color w:val="auto"/>
        </w:rPr>
        <w:t>Accounting for Goodwill, a consensus of the Private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Council </w:t>
      </w:r>
      <w:r>
        <w:rPr>
          <w:rFonts w:ascii="Arial" w:cs="Arial" w:eastAsia="Arial" w:hAnsi="Arial"/>
          <w:sz w:val="18"/>
          <w:szCs w:val="18"/>
          <w:color w:val="auto"/>
        </w:rPr>
        <w:t>(“ASU 2014-02”) related to the accounting for goodwill by private companies. However, these financial statements are being revised as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now meets the definition of a public business entity and is precluded from adopting ASU 2014-02.</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tests goodwill for impairment on an annual basis or upon the occurrence of a triggering event that indicates that the fair value of the Company may be below its carrying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amount. Upon occurrence of a triggering event the Company may first assess qualitative factors to determine whether further quantitative analysis is necessary. If the qualitative assessment indicates that it is more likely than not that goodwill is impaired, the Company will perform a quantitative test to compare the Company’s estimated fair value to its book value. If the estimated fair value exceeds book value, goodwill is considered not to be impaired and no additional steps are necessary. If the book value of the Company exceeds estimated fair value, the difference is recorded as goodwill impairment.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 impairment charges were recorded during the years ended December 31, 2014 and 2013.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significant estimates include allowances for doubtful accounts, reserve for inventory obsolescence, realizability of deferred tax assets and liabilities, useful lives for depreciation and amortization and assessing the need for impairment charges (intangible assets and goodwill). Actual results could differ materially from those estimates.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files tax returns for federal and state purposes at the SPHHI level. Deferred income tax assets and liabilities are computed annually for differences between the financial statement and income tax bases of assets and liabilities. Such deferred income tax asset and liability computations are based on enacted tax laws and rates applicable to periods in which the differences are expected to reverse. A valuation allowance is established, when necessary, to reduce deferred income tax assets to the amount expected to be realized. Income tax expense is the tax payable or refundable for the period, plus or minus the change during the period in deferred income tax assets and liabilities.</w:t>
      </w:r>
    </w:p>
    <w:p>
      <w:pPr>
        <w:spacing w:after="0" w:line="1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follows the recognition and disclosure provisions under guidance contained in Accounting Standards Codification (“ASC”) 740. Under this guidance, tax positions are evaluated for recognition using a more-likely-than-not threshold, and those tax positions requiring recognition are measured as the largest amount of tax benefit that is greater than fifty percent likely of being realized upon ultimate settlement with a taxing authority that has full knowledge of all relevant information. The Company does not have any material accrued interest or penalties associated with any unrecognized tax benefits. As of December 31, 2014 and 2013, the Company recorded $172,900 and $145,000, respectively, related to uncertain tax positions in connection with ASC 740.</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0" w:right="299" w:bottom="1440" w:gutter="0" w:footer="0" w:header="0"/>
        </w:sectPr>
      </w:pPr>
    </w:p>
    <w:bookmarkStart w:id="47" w:name="page48"/>
    <w:bookmarkEnd w:id="4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roll-forward of the Company’s total unrecognized tax liabilities for the year ended December 31, 2014:</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740" w:type="dxa"/>
            <w:vAlign w:val="bottom"/>
            <w:gridSpan w:val="4"/>
          </w:tcPr>
          <w:p>
            <w:pPr>
              <w:ind w:left="1220"/>
              <w:spacing w:after="0"/>
              <w:rPr>
                <w:sz w:val="20"/>
                <w:szCs w:val="20"/>
                <w:color w:val="auto"/>
              </w:rPr>
            </w:pPr>
            <w:r>
              <w:rPr>
                <w:rFonts w:ascii="Arial" w:cs="Arial" w:eastAsia="Arial" w:hAnsi="Arial"/>
                <w:sz w:val="14"/>
                <w:szCs w:val="14"/>
                <w:i w:val="1"/>
                <w:iCs w:val="1"/>
                <w:color w:val="auto"/>
                <w:w w:val="96"/>
              </w:rPr>
              <w:t>Gross Unrecognized Tax</w:t>
            </w:r>
          </w:p>
        </w:tc>
      </w:tr>
      <w:tr>
        <w:trPr>
          <w:trHeight w:val="167"/>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i w:val="1"/>
                <w:iCs w:val="1"/>
                <w:color w:val="auto"/>
              </w:rPr>
              <w:t>Liabilities</w:t>
            </w: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Additions for tax positions related to the current year</w:t>
            </w:r>
          </w:p>
        </w:tc>
        <w:tc>
          <w:tcPr>
            <w:tcW w:w="1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4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Debt Discount</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Financing costs were incurred in connection with the issuance and amendment of the Company’s financing arrangements (see Note 6). These costs have been capitalized and are reflected as debt issuance costs on the balance sheet or as a discount to the related debt, depending upon whether the financing costs have been paid to lenders or third parties. Debt issuance costs and the debt discount are being amortized using the effective interest rate method over the term of the loans and are included as a component of interest expense on the accompanying consolidated statements of operations. Amortization expense related to debt issuance and debt discount costs were $53,700 and $99,400, respectively, for the year ended December 31, 2014. Amortization expense related to debt issuance and debt discount costs were $81,900 and $180,000, respectively, for the year ended December 31, 2013.</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financial instruments are primarily composed of cash and cash equivalents, trade accounts receivable, accounts payable, accrued expenses and debt. The fair value of cash and cash equivalents, trade accounts receivable, accounts payable and accrued expenses closely approximate their carrying value due to their short maturities. The fair value of debt closely approximates its carrying value because the terms of the debt approximate terms available in the market for debt of a similar credit risk profile for a similar duration. The fair value of related party transactions is not determinable due to the nature of these transactions.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as of December 31, 2014 and 2013, consisted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41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100" w:type="dxa"/>
            <w:vAlign w:val="bottom"/>
            <w:gridSpan w:val="2"/>
          </w:tcPr>
          <w:p>
            <w:pPr>
              <w:jc w:val="right"/>
              <w:ind w:right="21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$11,939,400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$11,133,800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Work in process</w:t>
            </w:r>
          </w:p>
        </w:tc>
        <w:tc>
          <w:tcPr>
            <w:tcW w:w="4180" w:type="dxa"/>
            <w:vAlign w:val="bottom"/>
            <w:gridSpan w:val="2"/>
          </w:tcPr>
          <w:p>
            <w:pPr>
              <w:jc w:val="right"/>
              <w:spacing w:after="0"/>
              <w:rPr>
                <w:sz w:val="20"/>
                <w:szCs w:val="20"/>
                <w:color w:val="auto"/>
              </w:rPr>
            </w:pPr>
            <w:r>
              <w:rPr>
                <w:rFonts w:ascii="Arial" w:cs="Arial" w:eastAsia="Arial" w:hAnsi="Arial"/>
                <w:sz w:val="18"/>
                <w:szCs w:val="18"/>
                <w:b w:val="1"/>
                <w:bCs w:val="1"/>
                <w:color w:val="auto"/>
              </w:rPr>
              <w:t>61,300</w:t>
            </w: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219,800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1,818,700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1,892,500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13,819,400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13,246,100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Reserve for obsolescence</w:t>
            </w:r>
          </w:p>
        </w:tc>
        <w:tc>
          <w:tcPr>
            <w:tcW w:w="4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(1,210,900)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(1,258,300)</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20"/>
                <w:szCs w:val="20"/>
                <w:color w:val="auto"/>
              </w:rPr>
            </w:pPr>
            <w:r>
              <w:rPr>
                <w:rFonts w:ascii="Arial" w:cs="Arial" w:eastAsia="Arial" w:hAnsi="Arial"/>
                <w:sz w:val="18"/>
                <w:szCs w:val="18"/>
                <w:color w:val="auto"/>
              </w:rPr>
              <w:t>Total</w:t>
            </w:r>
          </w:p>
        </w:tc>
        <w:tc>
          <w:tcPr>
            <w:tcW w:w="3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12,608,500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11,987,800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3280" w:type="dxa"/>
            <w:vAlign w:val="bottom"/>
            <w:vMerge w:val="restart"/>
          </w:tcPr>
          <w:p>
            <w:pPr>
              <w:jc w:val="right"/>
              <w:ind w:right="1814"/>
              <w:spacing w:after="0"/>
              <w:rPr>
                <w:sz w:val="20"/>
                <w:szCs w:val="20"/>
                <w:color w:val="auto"/>
              </w:rPr>
            </w:pPr>
            <w:r>
              <w:rPr>
                <w:rFonts w:ascii="Arial" w:cs="Arial" w:eastAsia="Arial" w:hAnsi="Arial"/>
                <w:sz w:val="18"/>
                <w:szCs w:val="18"/>
                <w:color w:val="auto"/>
              </w:rPr>
              <w:t>15</w:t>
            </w: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48" w:name="page49"/>
    <w:bookmarkEnd w:id="4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as of December 31, 2014 and 2013, consisted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2013</w:t>
            </w:r>
          </w:p>
        </w:tc>
        <w:tc>
          <w:tcPr>
            <w:tcW w:w="120" w:type="dxa"/>
            <w:vAlign w:val="bottom"/>
            <w:tcBorders>
              <w:bottom w:val="single" w:sz="8" w:color="CCEEFF"/>
            </w:tcBorders>
          </w:tcPr>
          <w:p>
            <w:pPr>
              <w:spacing w:after="0"/>
              <w:rPr>
                <w:sz w:val="14"/>
                <w:szCs w:val="14"/>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4,199,600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2,089,200</w:t>
            </w:r>
          </w:p>
        </w:tc>
        <w:tc>
          <w:tcPr>
            <w:tcW w:w="12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4,637,100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2,524,800</w:t>
            </w:r>
          </w:p>
        </w:tc>
        <w:tc>
          <w:tcPr>
            <w:tcW w:w="12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Computers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1,353,500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1,008,700</w:t>
            </w:r>
          </w:p>
        </w:tc>
        <w:tc>
          <w:tcPr>
            <w:tcW w:w="12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133,900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132,400</w:t>
            </w:r>
          </w:p>
        </w:tc>
        <w:tc>
          <w:tcPr>
            <w:tcW w:w="12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81,400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75,700</w:t>
            </w:r>
          </w:p>
        </w:tc>
        <w:tc>
          <w:tcPr>
            <w:tcW w:w="12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403,500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735,600</w:t>
            </w:r>
          </w:p>
        </w:tc>
        <w:tc>
          <w:tcPr>
            <w:tcW w:w="120" w:type="dxa"/>
            <w:vAlign w:val="bottom"/>
            <w:shd w:val="clear" w:color="auto" w:fill="CCEEFF"/>
          </w:tcPr>
          <w:p>
            <w:pPr>
              <w:spacing w:after="0"/>
              <w:rPr>
                <w:sz w:val="18"/>
                <w:szCs w:val="18"/>
                <w:color w:val="auto"/>
              </w:rPr>
            </w:pPr>
          </w:p>
        </w:tc>
      </w:tr>
      <w:tr>
        <w:trPr>
          <w:trHeight w:val="223"/>
        </w:trPr>
        <w:tc>
          <w:tcPr>
            <w:tcW w:w="6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11,359,000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7,116,400</w:t>
            </w:r>
          </w:p>
        </w:tc>
        <w:tc>
          <w:tcPr>
            <w:tcW w:w="120" w:type="dxa"/>
            <w:vAlign w:val="bottom"/>
          </w:tcPr>
          <w:p>
            <w:pPr>
              <w:spacing w:after="0"/>
              <w:rPr>
                <w:sz w:val="19"/>
                <w:szCs w:val="19"/>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(1,595,500)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(963,300)</w:t>
            </w:r>
          </w:p>
        </w:tc>
      </w:tr>
      <w:tr>
        <w:trPr>
          <w:trHeight w:val="223"/>
        </w:trPr>
        <w:tc>
          <w:tcPr>
            <w:tcW w:w="6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9,763,500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6,153,100</w:t>
            </w:r>
          </w:p>
        </w:tc>
        <w:tc>
          <w:tcPr>
            <w:tcW w:w="12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the years ended December 31, 2014 and 2013, the Company recorded $632,500 and $473,400, respectively, in depreciation expense, which is included in cost of sales and selling, general, and administrative expenses in the accompanying consolidated statements of operations.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Included within the property and equipment balance are assets under capital leases with a cost of $102,000 with associated depreciation expense of $9,600 as of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2014, consisted of the following:</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color w:val="auto"/>
                <w:w w:val="90"/>
              </w:rPr>
              <w:t>Gross</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Net</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8"/>
              </w:rPr>
              <w:t>Carrying</w:t>
            </w: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3"/>
              </w:rPr>
              <w:t>Accumulated</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8"/>
              </w:rPr>
              <w:t>Carrying</w:t>
            </w:r>
          </w:p>
        </w:tc>
        <w:tc>
          <w:tcPr>
            <w:tcW w:w="0" w:type="dxa"/>
            <w:vAlign w:val="bottom"/>
          </w:tcPr>
          <w:p>
            <w:pPr>
              <w:spacing w:after="0"/>
              <w:rPr>
                <w:sz w:val="1"/>
                <w:szCs w:val="1"/>
                <w:color w:val="auto"/>
              </w:rPr>
            </w:pPr>
          </w:p>
        </w:tc>
      </w:tr>
      <w:tr>
        <w:trPr>
          <w:trHeight w:val="167"/>
        </w:trPr>
        <w:tc>
          <w:tcPr>
            <w:tcW w:w="3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color w:val="auto"/>
                <w:w w:val="89"/>
              </w:rPr>
              <w:t>Value</w:t>
            </w: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Amortization</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2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$12,120,000</w:t>
            </w:r>
          </w:p>
        </w:tc>
        <w:tc>
          <w:tcPr>
            <w:tcW w:w="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 (11,564,900)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555,100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Backlog</w:t>
            </w:r>
          </w:p>
        </w:tc>
        <w:tc>
          <w:tcPr>
            <w:tcW w:w="37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310,000</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(310,000)</w:t>
            </w:r>
          </w:p>
        </w:tc>
        <w:tc>
          <w:tcPr>
            <w:tcW w:w="10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12,610,000</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(3,675,600)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8,934,400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Trademarks/trade names</w:t>
            </w:r>
          </w:p>
        </w:tc>
        <w:tc>
          <w:tcPr>
            <w:tcW w:w="37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7,300,000</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(2,814,200)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4,485,800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w:t>
            </w:r>
          </w:p>
        </w:tc>
        <w:tc>
          <w:tcPr>
            <w:tcW w:w="3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700,000</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(700,000)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33,040,000</w:t>
            </w:r>
          </w:p>
        </w:tc>
        <w:tc>
          <w:tcPr>
            <w:tcW w:w="4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(19,064,700</w:t>
            </w:r>
          </w:p>
        </w:tc>
        <w:tc>
          <w:tcPr>
            <w:tcW w:w="480" w:type="dxa"/>
            <w:vAlign w:val="bottom"/>
          </w:tcPr>
          <w:p>
            <w:pPr>
              <w:jc w:val="right"/>
              <w:ind w:right="34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13,975,300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420" w:type="dxa"/>
            <w:vAlign w:val="bottom"/>
            <w:vMerge w:val="restart"/>
          </w:tcPr>
          <w:p>
            <w:pPr>
              <w:jc w:val="right"/>
              <w:ind w:right="810"/>
              <w:spacing w:after="0"/>
              <w:rPr>
                <w:sz w:val="20"/>
                <w:szCs w:val="20"/>
                <w:color w:val="auto"/>
              </w:rPr>
            </w:pPr>
            <w:r>
              <w:rPr>
                <w:rFonts w:ascii="Arial" w:cs="Arial" w:eastAsia="Arial" w:hAnsi="Arial"/>
                <w:sz w:val="18"/>
                <w:szCs w:val="18"/>
                <w:color w:val="auto"/>
              </w:rPr>
              <w:t>16</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70" w:right="31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SPH Holdings,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2013, consisted of the following:</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14"/>
                <w:szCs w:val="14"/>
                <w:color w:val="auto"/>
                <w:w w:val="90"/>
              </w:rPr>
              <w:t>Gross</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Net</w:t>
            </w:r>
          </w:p>
        </w:tc>
      </w:tr>
      <w:tr>
        <w:trPr>
          <w:trHeight w:val="149"/>
        </w:trPr>
        <w:tc>
          <w:tcPr>
            <w:tcW w:w="5780" w:type="dxa"/>
            <w:vAlign w:val="bottom"/>
          </w:tcPr>
          <w:p>
            <w:pPr>
              <w:spacing w:after="0"/>
              <w:rPr>
                <w:sz w:val="12"/>
                <w:szCs w:val="12"/>
                <w:color w:val="auto"/>
              </w:rPr>
            </w:pPr>
          </w:p>
        </w:tc>
        <w:tc>
          <w:tcPr>
            <w:tcW w:w="136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8"/>
              </w:rPr>
              <w:t>Carrying</w:t>
            </w:r>
          </w:p>
        </w:tc>
        <w:tc>
          <w:tcPr>
            <w:tcW w:w="1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8"/>
              </w:rPr>
              <w:t>Carrying</w:t>
            </w:r>
          </w:p>
        </w:tc>
      </w:tr>
      <w:tr>
        <w:trPr>
          <w:trHeight w:val="167"/>
        </w:trPr>
        <w:tc>
          <w:tcPr>
            <w:tcW w:w="5780" w:type="dxa"/>
            <w:vAlign w:val="bottom"/>
          </w:tcPr>
          <w:p>
            <w:pPr>
              <w:spacing w:after="0"/>
              <w:rPr>
                <w:sz w:val="14"/>
                <w:szCs w:val="14"/>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4"/>
                <w:szCs w:val="14"/>
                <w:color w:val="auto"/>
                <w:w w:val="89"/>
              </w:rPr>
              <w:t>Value</w:t>
            </w:r>
          </w:p>
        </w:tc>
        <w:tc>
          <w:tcPr>
            <w:tcW w:w="10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Value</w:t>
            </w: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$12,120,000</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(8,259,100)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3,860,900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Backlog</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(310,000)</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12,610,000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(2,624,100)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9,985,900</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Trademarks/trade names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7,300,000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(1,955,600)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5,344,400</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(686,800)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13,200</w:t>
            </w:r>
          </w:p>
        </w:tc>
      </w:tr>
      <w:tr>
        <w:trPr>
          <w:trHeight w:val="223"/>
        </w:trPr>
        <w:tc>
          <w:tcPr>
            <w:tcW w:w="57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33,040,000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(13,835,600</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19,204,400</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Intangible assets are amortized over estimated useful lives ranging from less than one year to fifteen years, with no residual values. Consolidated amortization expense during the years ended December 31, 2014 and 2013 pertaining to long-lived intangible assets was $5,229,100 and $5,449,200,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the estimated aggregate amortization expense for the next five years is as follows:</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Years ending December 31,</w:t>
            </w:r>
          </w:p>
        </w:tc>
        <w:tc>
          <w:tcPr>
            <w:tcW w:w="5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03"/>
        </w:trPr>
        <w:tc>
          <w:tcPr>
            <w:tcW w:w="16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2015</w:t>
            </w:r>
          </w:p>
        </w:tc>
        <w:tc>
          <w:tcPr>
            <w:tcW w:w="5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2,465,100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2016</w:t>
            </w:r>
          </w:p>
        </w:tc>
        <w:tc>
          <w:tcPr>
            <w:tcW w:w="5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2018</w:t>
            </w:r>
          </w:p>
        </w:tc>
        <w:tc>
          <w:tcPr>
            <w:tcW w:w="5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1,648,600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00" w:type="dxa"/>
            <w:vAlign w:val="bottom"/>
          </w:tcPr>
          <w:p>
            <w:pPr>
              <w:spacing w:after="0"/>
              <w:rPr>
                <w:sz w:val="20"/>
                <w:szCs w:val="20"/>
                <w:color w:val="auto"/>
              </w:rPr>
            </w:pPr>
            <w:r>
              <w:rPr>
                <w:rFonts w:ascii="Arial" w:cs="Arial" w:eastAsia="Arial" w:hAnsi="Arial"/>
                <w:sz w:val="18"/>
                <w:szCs w:val="18"/>
                <w:color w:val="auto"/>
              </w:rPr>
              <w:t>Thereafter</w:t>
            </w:r>
          </w:p>
        </w:tc>
        <w:tc>
          <w:tcPr>
            <w:tcW w:w="5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4,131,600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13,975,300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5160" w:type="dxa"/>
            <w:vAlign w:val="bottom"/>
            <w:vMerge w:val="restart"/>
          </w:tcPr>
          <w:p>
            <w:pPr>
              <w:jc w:val="right"/>
              <w:ind w:right="2710"/>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0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50" w:name="page51"/>
    <w:bookmarkEnd w:id="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6140" w:type="dxa"/>
            <w:vAlign w:val="bottom"/>
          </w:tcPr>
          <w:p>
            <w:pPr>
              <w:ind w:left="2480"/>
              <w:spacing w:after="0"/>
              <w:rPr>
                <w:sz w:val="20"/>
                <w:szCs w:val="20"/>
                <w:color w:val="auto"/>
              </w:rPr>
            </w:pPr>
            <w:r>
              <w:rPr>
                <w:rFonts w:ascii="Arial" w:cs="Arial" w:eastAsia="Arial" w:hAnsi="Arial"/>
                <w:sz w:val="18"/>
                <w:szCs w:val="18"/>
                <w:b w:val="1"/>
                <w:bCs w:val="1"/>
                <w:color w:val="auto"/>
              </w:rPr>
              <w:t>SPH Holdings, Inc. and Subsidiaries</w:t>
            </w: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40" w:type="dxa"/>
            <w:vAlign w:val="bottom"/>
          </w:tcPr>
          <w:p>
            <w:pPr>
              <w:spacing w:after="0"/>
              <w:rPr>
                <w:sz w:val="24"/>
                <w:szCs w:val="24"/>
                <w:color w:val="auto"/>
              </w:rPr>
            </w:pPr>
          </w:p>
        </w:tc>
        <w:tc>
          <w:tcPr>
            <w:tcW w:w="6140" w:type="dxa"/>
            <w:vAlign w:val="bottom"/>
          </w:tcPr>
          <w:p>
            <w:pPr>
              <w:ind w:left="2200"/>
              <w:spacing w:after="0"/>
              <w:rPr>
                <w:sz w:val="20"/>
                <w:szCs w:val="20"/>
                <w:color w:val="auto"/>
              </w:rPr>
            </w:pPr>
            <w:r>
              <w:rPr>
                <w:rFonts w:ascii="Arial" w:cs="Arial" w:eastAsia="Arial" w:hAnsi="Arial"/>
                <w:sz w:val="18"/>
                <w:szCs w:val="18"/>
                <w:b w:val="1"/>
                <w:bCs w:val="1"/>
                <w:color w:val="auto"/>
              </w:rPr>
              <w:t>Notes to Consolidated Financial Statements</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980" w:type="dxa"/>
            <w:vAlign w:val="bottom"/>
            <w:gridSpan w:val="2"/>
          </w:tcPr>
          <w:p>
            <w:pPr>
              <w:spacing w:after="0"/>
              <w:rPr>
                <w:sz w:val="20"/>
                <w:szCs w:val="20"/>
                <w:color w:val="auto"/>
              </w:rPr>
            </w:pPr>
            <w:r>
              <w:rPr>
                <w:rFonts w:ascii="Arial" w:cs="Arial" w:eastAsia="Arial" w:hAnsi="Arial"/>
                <w:sz w:val="18"/>
                <w:szCs w:val="18"/>
                <w:color w:val="auto"/>
              </w:rPr>
              <w:t>Changes in the carrying values of intangible assets are outlined in the table below:</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31, 2012</w:t>
            </w:r>
          </w:p>
        </w:tc>
        <w:tc>
          <w:tcPr>
            <w:tcW w:w="6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$24,653,600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Amortization</w:t>
            </w:r>
          </w:p>
        </w:tc>
        <w:tc>
          <w:tcPr>
            <w:tcW w:w="6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(5,449,200)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31, 2013</w:t>
            </w:r>
          </w:p>
        </w:tc>
        <w:tc>
          <w:tcPr>
            <w:tcW w:w="6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19,204,400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Amortization</w:t>
            </w:r>
          </w:p>
        </w:tc>
        <w:tc>
          <w:tcPr>
            <w:tcW w:w="6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(5,229,100)</w:t>
            </w:r>
          </w:p>
        </w:tc>
        <w:tc>
          <w:tcPr>
            <w:tcW w:w="0" w:type="dxa"/>
            <w:vAlign w:val="bottom"/>
          </w:tcPr>
          <w:p>
            <w:pPr>
              <w:spacing w:after="0"/>
              <w:rPr>
                <w:sz w:val="1"/>
                <w:szCs w:val="1"/>
                <w:color w:val="auto"/>
              </w:rPr>
            </w:pPr>
          </w:p>
        </w:tc>
      </w:tr>
      <w:tr>
        <w:trPr>
          <w:trHeight w:val="27"/>
        </w:trPr>
        <w:tc>
          <w:tcPr>
            <w:tcW w:w="184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31, 2014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13,975,300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Term Loan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Previously, the Company had a senior secured term loan agreement (the “Loan Agreement”) collateralized by substantially all of the Company’s assets. The Loan Agreement provided for a senior secured long term loan in the aggregate principal amount of $25,700,000. The Loan Agreement required the Company to make scheduled payments of interest and principal and allowed prepayment of principal under specific conditions. Interest accrued at the greater of LIBOR plus 7.5% or 10.5%. During the years ended December 31, 2014 and 2013, the Company made advance payments of $0 and $5,000,000, respectively, in addition to its obligatory principal and interest payments.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2012, the Loan Agreement was amended (the “Amendment”) and the Company borrowed an additional principal amount of $10,500,000. The Amendment required the Company to make scheduled payments of interest and principal and allowed prepayment of principal under specific conditions. Interest accrued at the greater of Libor plus 7.5% or 10.5%.</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November 2014, the Company entered into an Amended and Restated Senior Secured Loan Agreement (the “Restated Agreement”) which converted the existing outstanding balances of the Loan Agreement and Amendment into two equal loans, (“Term A Loan” and “Term B Loan”), each in the amounts of $11,165,600, secured by substantially all of the Company’s assets. The Restated Agreement requires the Company to make scheduled payments of interest and principal and allows prepayment of principal under specific conditions. Term A Loan carries an interest rate of 7.5% and Term B Loan carries an interest rate of 10.5% with a maturity date of November 24, 2019. As of December 31, 2014 and 2013, the principal balances on the Term A and Term B loans were $22,275,300 and $23,557,500, respectively.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Company’s revolving credit facility (the “Credit Agreement”) was amended and restated on May 21, 2012 to provide for revolving borrowings up to $20,000,000 with a priority interest on the Company’s accounts receivable and inventory.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0" w:right="279" w:bottom="1440" w:gutter="0" w:footer="0" w:header="0"/>
        </w:sectPr>
      </w:pPr>
    </w:p>
    <w:bookmarkStart w:id="51" w:name="page52"/>
    <w:bookmarkEnd w:id="5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November 2014, the Company entered into the fourth amendment to the Credit Agreement (the “Fourth Amendment”) which extended the maturity date to July 23, 2017. The Fourth Amendment provides for revolving borrowings up to $20,000,000 with a priority interest on the Company’s accounts receivable and inventory. The credit facility carries a variable interest rate based on LIBOR plus a defined margin and a commitment fee of 0.25% on any unused balance. As of December 31, 2014 and 2013, $9,173,000 and $7,403,900, respectively, was outstanding on the revolving credit facility with interest rates ranging from 2.66% to 3.25% per annum.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July 20, 2012, the Company entered into a real estate loan agreement (the “Real Estate Loan Agreement”) with a senior lender. The real estate loan provides for a term loan in the aggregate principal amount of $1,720,000, with principal payments of $7,167 due each calendar month end commencing on July 31, 2012 with a maturity date of July 20, 2017. The interest rate is computed over 360 days at the one-month LIBOR plus a 2.5% margin. At December 31, 2014 and 2013, $1,505,000 and $1,591,000, respectively, was outstanding on the real estate loan and the interest rate was 2.67% and 2.77%, respectively.</w:t>
      </w:r>
    </w:p>
    <w:p>
      <w:pPr>
        <w:spacing w:after="0" w:line="18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terms of the Loan and Credit Agreements require the Company to maintain a certain fixed-charge coverage ratio and minimum earnings before interest, taxes, depreciation, and amortization (“EBITDA”). The Loan Agreement also contains certain restrictive covenants, including limitations on additional debt; acquisition by the Company of the stock of, or merger with other corporations; dividend payments; and asset sales. The Company was in compliance with all such covenants and ratios as of December 31, 2014 and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Debt as of December 31, 2014 and 2013, consists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39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100" w:type="dxa"/>
            <w:vAlign w:val="bottom"/>
            <w:gridSpan w:val="2"/>
          </w:tcPr>
          <w:p>
            <w:pPr>
              <w:jc w:val="right"/>
              <w:ind w:right="21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term loan</w:t>
            </w:r>
          </w:p>
        </w:tc>
        <w:tc>
          <w:tcPr>
            <w:tcW w:w="30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$22,275,300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$23,557,500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3920" w:type="dxa"/>
            <w:vAlign w:val="bottom"/>
            <w:gridSpan w:val="2"/>
          </w:tcPr>
          <w:p>
            <w:pPr>
              <w:jc w:val="right"/>
              <w:spacing w:after="0"/>
              <w:rPr>
                <w:sz w:val="20"/>
                <w:szCs w:val="20"/>
                <w:color w:val="auto"/>
              </w:rPr>
            </w:pPr>
            <w:r>
              <w:rPr>
                <w:rFonts w:ascii="Arial" w:cs="Arial" w:eastAsia="Arial" w:hAnsi="Arial"/>
                <w:sz w:val="18"/>
                <w:szCs w:val="18"/>
                <w:b w:val="1"/>
                <w:bCs w:val="1"/>
                <w:color w:val="auto"/>
              </w:rPr>
              <w:t>9,173,000</w:t>
            </w: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7,403,900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1,505,000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Total debt</w:t>
            </w:r>
          </w:p>
        </w:tc>
        <w:tc>
          <w:tcPr>
            <w:tcW w:w="30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32,953,300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32,552,400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discount</w:t>
            </w:r>
          </w:p>
        </w:tc>
        <w:tc>
          <w:tcPr>
            <w:tcW w:w="4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(229,300)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(252,800)</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32,724,000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32,299,600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debt</w:t>
            </w:r>
          </w:p>
        </w:tc>
        <w:tc>
          <w:tcPr>
            <w:tcW w:w="4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(310,000)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(1,764,800)</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32,414,000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30,534,800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020" w:type="dxa"/>
            <w:vAlign w:val="bottom"/>
            <w:vMerge w:val="restart"/>
          </w:tcPr>
          <w:p>
            <w:pPr>
              <w:jc w:val="right"/>
              <w:ind w:right="1813"/>
              <w:spacing w:after="0"/>
              <w:rPr>
                <w:sz w:val="20"/>
                <w:szCs w:val="20"/>
                <w:color w:val="auto"/>
              </w:rPr>
            </w:pPr>
            <w:r>
              <w:rPr>
                <w:rFonts w:ascii="Arial" w:cs="Arial" w:eastAsia="Arial" w:hAnsi="Arial"/>
                <w:sz w:val="18"/>
                <w:szCs w:val="18"/>
                <w:color w:val="auto"/>
              </w:rPr>
              <w:t>19</w:t>
            </w: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52" w:name="page53"/>
    <w:bookmarkEnd w:id="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160" w:type="dxa"/>
            <w:vAlign w:val="bottom"/>
          </w:tcPr>
          <w:p>
            <w:pPr>
              <w:jc w:val="center"/>
              <w:ind w:right="530"/>
              <w:spacing w:after="0"/>
              <w:rPr>
                <w:sz w:val="20"/>
                <w:szCs w:val="20"/>
                <w:color w:val="auto"/>
              </w:rPr>
            </w:pPr>
            <w:r>
              <w:rPr>
                <w:rFonts w:ascii="Arial" w:cs="Arial" w:eastAsia="Arial" w:hAnsi="Arial"/>
                <w:sz w:val="18"/>
                <w:szCs w:val="18"/>
                <w:b w:val="1"/>
                <w:bCs w:val="1"/>
                <w:color w:val="auto"/>
                <w:w w:val="89"/>
              </w:rPr>
              <w:t>SPH Holdings, Inc. and Subsidiaries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160" w:type="dxa"/>
            <w:vAlign w:val="bottom"/>
          </w:tcPr>
          <w:p>
            <w:pPr>
              <w:jc w:val="center"/>
              <w:ind w:right="53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8600" w:type="dxa"/>
            <w:vAlign w:val="bottom"/>
            <w:gridSpan w:val="3"/>
          </w:tcPr>
          <w:p>
            <w:pPr>
              <w:spacing w:after="0"/>
              <w:rPr>
                <w:sz w:val="20"/>
                <w:szCs w:val="20"/>
                <w:color w:val="auto"/>
              </w:rPr>
            </w:pPr>
            <w:r>
              <w:rPr>
                <w:rFonts w:ascii="Arial" w:cs="Arial" w:eastAsia="Arial" w:hAnsi="Arial"/>
                <w:sz w:val="18"/>
                <w:szCs w:val="18"/>
                <w:color w:val="auto"/>
              </w:rPr>
              <w:t>Scheduled annual maturities of debt, including the current portion, as of December 31, 2014 is as follows: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8600" w:type="dxa"/>
            <w:vAlign w:val="bottom"/>
            <w:gridSpan w:val="3"/>
          </w:tcPr>
          <w:p>
            <w:pPr>
              <w:ind w:left="1840"/>
              <w:spacing w:after="0"/>
              <w:rPr>
                <w:sz w:val="20"/>
                <w:szCs w:val="20"/>
                <w:color w:val="auto"/>
              </w:rPr>
            </w:pPr>
            <w:r>
              <w:rPr>
                <w:rFonts w:ascii="Arial" w:cs="Arial" w:eastAsia="Arial" w:hAnsi="Arial"/>
                <w:sz w:val="14"/>
                <w:szCs w:val="14"/>
                <w:i w:val="1"/>
                <w:iCs w:val="1"/>
                <w:color w:val="auto"/>
              </w:rPr>
              <w:t>Years ending 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Amount</w:t>
            </w:r>
          </w:p>
        </w:tc>
      </w:tr>
      <w:tr>
        <w:trPr>
          <w:trHeight w:val="203"/>
        </w:trPr>
        <w:tc>
          <w:tcPr>
            <w:tcW w:w="184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2015</w:t>
            </w:r>
          </w:p>
        </w:tc>
        <w:tc>
          <w:tcPr>
            <w:tcW w:w="5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84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2016</w:t>
            </w:r>
          </w:p>
        </w:tc>
        <w:tc>
          <w:tcPr>
            <w:tcW w:w="5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310,000</w:t>
            </w:r>
          </w:p>
        </w:tc>
        <w:tc>
          <w:tcPr>
            <w:tcW w:w="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10,730,000</w:t>
            </w:r>
          </w:p>
        </w:tc>
        <w:tc>
          <w:tcPr>
            <w:tcW w:w="10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2018</w:t>
            </w:r>
          </w:p>
        </w:tc>
        <w:tc>
          <w:tcPr>
            <w:tcW w:w="5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224,000</w:t>
            </w:r>
          </w:p>
        </w:tc>
        <w:tc>
          <w:tcPr>
            <w:tcW w:w="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21,379,300</w:t>
            </w:r>
          </w:p>
        </w:tc>
        <w:tc>
          <w:tcPr>
            <w:tcW w:w="100" w:type="dxa"/>
            <w:vAlign w:val="bottom"/>
            <w:shd w:val="clear" w:color="auto" w:fill="CCEEFF"/>
          </w:tcPr>
          <w:p>
            <w:pPr>
              <w:spacing w:after="0"/>
              <w:rPr>
                <w:sz w:val="18"/>
                <w:szCs w:val="18"/>
                <w:color w:val="auto"/>
              </w:rPr>
            </w:pPr>
          </w:p>
        </w:tc>
      </w:tr>
      <w:tr>
        <w:trPr>
          <w:trHeight w:val="223"/>
        </w:trPr>
        <w:tc>
          <w:tcPr>
            <w:tcW w:w="8600" w:type="dxa"/>
            <w:vAlign w:val="bottom"/>
            <w:gridSpan w:val="3"/>
          </w:tcPr>
          <w:p>
            <w:pPr>
              <w:ind w:left="1840"/>
              <w:spacing w:after="0"/>
              <w:rPr>
                <w:sz w:val="20"/>
                <w:szCs w:val="20"/>
                <w:color w:val="auto"/>
              </w:rPr>
            </w:pPr>
            <w:r>
              <w:rPr>
                <w:rFonts w:ascii="Arial" w:cs="Arial" w:eastAsia="Arial" w:hAnsi="Arial"/>
                <w:sz w:val="18"/>
                <w:szCs w:val="18"/>
                <w:color w:val="auto"/>
              </w:rPr>
              <w:t>Total debt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32,953,300</w:t>
            </w:r>
          </w:p>
        </w:tc>
        <w:tc>
          <w:tcPr>
            <w:tcW w:w="100" w:type="dxa"/>
            <w:vAlign w:val="bottom"/>
          </w:tcPr>
          <w:p>
            <w:pPr>
              <w:spacing w:after="0"/>
              <w:rPr>
                <w:sz w:val="19"/>
                <w:szCs w:val="19"/>
                <w:color w:val="auto"/>
              </w:rPr>
            </w:pPr>
          </w:p>
        </w:tc>
      </w:tr>
      <w:tr>
        <w:trPr>
          <w:trHeight w:val="20"/>
        </w:trPr>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including amortization of debt issuance costs and debt discounts was $3,125,300 and $3,396,100 for the years ended December 31, 2014 and 2013,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87"/>
        </w:trPr>
        <w:tc>
          <w:tcPr>
            <w:tcW w:w="1540" w:type="dxa"/>
            <w:vAlign w:val="bottom"/>
            <w:gridSpan w:val="2"/>
          </w:tcPr>
          <w:p>
            <w:pPr>
              <w:spacing w:after="0"/>
              <w:rPr>
                <w:sz w:val="20"/>
                <w:szCs w:val="20"/>
                <w:color w:val="auto"/>
              </w:rPr>
            </w:pPr>
            <w:r>
              <w:rPr>
                <w:rFonts w:ascii="Arial" w:cs="Arial" w:eastAsia="Arial" w:hAnsi="Arial"/>
                <w:sz w:val="14"/>
                <w:szCs w:val="14"/>
                <w:i w:val="1"/>
                <w:iCs w:val="1"/>
                <w:color w:val="auto"/>
                <w:w w:val="88"/>
              </w:rPr>
              <w:t>Years ended December 31,</w:t>
            </w:r>
          </w:p>
        </w:tc>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212"/>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15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Current:</w:t>
            </w:r>
          </w:p>
        </w:tc>
        <w:tc>
          <w:tcPr>
            <w:tcW w:w="47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340"/>
              <w:spacing w:after="0"/>
              <w:rPr>
                <w:sz w:val="20"/>
                <w:szCs w:val="20"/>
                <w:color w:val="auto"/>
              </w:rPr>
            </w:pPr>
            <w:r>
              <w:rPr>
                <w:rFonts w:ascii="Arial" w:cs="Arial" w:eastAsia="Arial" w:hAnsi="Arial"/>
                <w:sz w:val="18"/>
                <w:szCs w:val="18"/>
                <w:color w:val="auto"/>
              </w:rPr>
              <w:t>Federal</w:t>
            </w:r>
          </w:p>
        </w:tc>
        <w:tc>
          <w:tcPr>
            <w:tcW w:w="4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2,051,900</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1,571,200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4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171,700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783,300</w:t>
            </w:r>
          </w:p>
        </w:tc>
        <w:tc>
          <w:tcPr>
            <w:tcW w:w="120" w:type="dxa"/>
            <w:vAlign w:val="bottom"/>
            <w:shd w:val="clear" w:color="auto" w:fill="CCEEFF"/>
          </w:tcPr>
          <w:p>
            <w:pPr>
              <w:spacing w:after="0"/>
              <w:rPr>
                <w:sz w:val="18"/>
                <w:szCs w:val="18"/>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4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2,223,600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2,354,500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340"/>
              <w:spacing w:after="0"/>
              <w:rPr>
                <w:sz w:val="20"/>
                <w:szCs w:val="20"/>
                <w:color w:val="auto"/>
              </w:rPr>
            </w:pPr>
            <w:r>
              <w:rPr>
                <w:rFonts w:ascii="Arial" w:cs="Arial" w:eastAsia="Arial" w:hAnsi="Arial"/>
                <w:sz w:val="18"/>
                <w:szCs w:val="18"/>
                <w:color w:val="auto"/>
              </w:rPr>
              <w:t>Federal</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(1,716,600)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(584,000)</w:t>
            </w: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(283,900)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(1,541,800)</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4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(2,000,500</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(2,125,800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223,100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228,700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remainder of this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53" w:name="page54"/>
    <w:bookmarkEnd w:id="53"/>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SPH Holdings,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major elements contributing to the difference between the federal statutory rate and the effective tax rate are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88"/>
              </w:rPr>
              <w:t>Years ended December 31,</w:t>
            </w:r>
          </w:p>
        </w:tc>
        <w:tc>
          <w:tcPr>
            <w:tcW w:w="534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2013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5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80" w:type="dxa"/>
            <w:vAlign w:val="bottom"/>
            <w:gridSpan w:val="2"/>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b w:val="1"/>
                <w:bCs w:val="1"/>
                <w:color w:val="auto"/>
              </w:rPr>
              <w:t>34.00%</w:t>
            </w:r>
          </w:p>
        </w:tc>
        <w:tc>
          <w:tcPr>
            <w:tcW w:w="7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State and local income taxes - net of federal benefit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(13.49)</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(30.61)</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Transaction fees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0.32</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state tax rate</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(20.20)</w:t>
            </w: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w:t>
            </w:r>
          </w:p>
        </w:tc>
        <w:tc>
          <w:tcPr>
            <w:tcW w:w="5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26.71%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and 2013, the tax effects of temporary differences that give rise to deferred income taxes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2013</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State income taxes</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142,500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(90,700)</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Bad debt reserve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Inventory reserve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525,700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546,200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inventory costs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235,600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Vacation accrual</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105,000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114,100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Bonus accrual</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177,300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Other accruals and reserves</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92,000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1,564,100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1,432,000</w:t>
            </w:r>
          </w:p>
        </w:tc>
        <w:tc>
          <w:tcPr>
            <w:tcW w:w="120" w:type="dxa"/>
            <w:vAlign w:val="bottom"/>
            <w:shd w:val="clear" w:color="auto" w:fill="CCEEFF"/>
          </w:tcPr>
          <w:p>
            <w:pPr>
              <w:spacing w:after="0"/>
              <w:rPr>
                <w:sz w:val="18"/>
                <w:szCs w:val="18"/>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Long-term:</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income taxes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404,200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Intangible asset amortization</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(6,085,900)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9"/>
              </w:rPr>
              <w:t>(8,316,600)</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depreciation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(152,200)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(117,600)</w:t>
            </w: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Net operating loss carry forwards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112,200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261,800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110,400</w:t>
            </w:r>
          </w:p>
        </w:tc>
        <w:tc>
          <w:tcPr>
            <w:tcW w:w="120" w:type="dxa"/>
            <w:vAlign w:val="bottom"/>
            <w:shd w:val="clear" w:color="auto" w:fill="CCEEFF"/>
          </w:tcPr>
          <w:p>
            <w:pPr>
              <w:spacing w:after="0"/>
              <w:rPr>
                <w:sz w:val="18"/>
                <w:szCs w:val="18"/>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Total long-term</w:t>
            </w:r>
          </w:p>
        </w:tc>
        <w:tc>
          <w:tcPr>
            <w:tcW w:w="1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(5,676,100</w:t>
            </w:r>
          </w:p>
        </w:tc>
        <w:tc>
          <w:tcPr>
            <w:tcW w:w="260" w:type="dxa"/>
            <w:vAlign w:val="bottom"/>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(7,544,500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(4,112,000)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(6,112,500)</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year ended December 31, 2014, the Company had available net operating loss carry forwards for federal purposes of approximately $0 and for state purposes of approximately $1,270,000. For the year ended December 31, 2013, the Company had available net operating loss carry forwards for federal purposes of approximately $0 and for state purposes of approximately $2,900,000.</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270" w:right="45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not subject to examination by U.S. federal tax authorities tax years before 2011 and by state tax authorities for tax years before 2010. The Company’s policy is to recognize interest and penalties on unrecognized tax benefits in income tax expense in the consolidated statements of operations. To the extent accrued interest and penalties do not ultimately become payable, amounts accrued will be reduced and reflected as a reduction of the overall income tax provision in the period that such determination is made.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December 31, 2014, the Company held two promissory notes from minority stockholders that accrue interest at 5% per annum. The interest is added to the principal if unpaid. At December 31, 2014 and 2013, the combined notes had outstanding unpaid principal in the amount of $315,900 and $301,800, respectively, and are presented as a reduction to stockholders’ equity in the accompanying consolidated balance sheets and statements of stockholders’ equity. Such amounts represent a portion of the purchase consideration for preferred stock of the Company.</w:t>
      </w:r>
    </w:p>
    <w:p>
      <w:pPr>
        <w:spacing w:after="0" w:line="17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leases its corporate office building from a stockholder. For the years ended December 31, 2014 and 2013, rental expense was $55,600 that was attributed to the stockholder and included in selling, general, and administrative expenses in the accompanying consolidated statements of operations.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a management agreement, during the years ended December 31, 2014 and 2013 the Company incurred and paid $696,800 and $704,600, respectively, in monitoring fees and reimbursable expenses to ICV Partners, LLC, and the investment manager of the majority stockholder of the Company. Under this agreement, the Company shall incur and pay ICV Partners, LLC an annual monitoring fee equal to the greater of 5% of consolidated adjusted EBITDA as defined in the related purchase agreement or $400,000, paid quarterly.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leases its corporate office building under a non-cancelable and long-term operating lease from individuals, one of whom is a stockholder 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The lease expires on January 21, 2016 with an option to renew the term of the lease for a subsequent five year period. The monthly base rent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$39,300 per month, of which 11.8% is attributable to a stockholder of the Company. SNY leases a warehouse building under a non-cancelable and long-term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from a third party. The lease expires December 31, 2016. The monthly base rent is $15,750. The Company has various operating leases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operating equipment, which are in place through July 2017.</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0" w:right="2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360" w:type="dxa"/>
            <w:vAlign w:val="bottom"/>
          </w:tcPr>
          <w:p>
            <w:pPr>
              <w:jc w:val="center"/>
              <w:ind w:right="730"/>
              <w:spacing w:after="0"/>
              <w:rPr>
                <w:sz w:val="20"/>
                <w:szCs w:val="20"/>
                <w:color w:val="auto"/>
              </w:rPr>
            </w:pPr>
            <w:r>
              <w:rPr>
                <w:rFonts w:ascii="Arial" w:cs="Arial" w:eastAsia="Arial" w:hAnsi="Arial"/>
                <w:sz w:val="18"/>
                <w:szCs w:val="18"/>
                <w:b w:val="1"/>
                <w:bCs w:val="1"/>
                <w:color w:val="auto"/>
                <w:w w:val="89"/>
              </w:rPr>
              <w:t>SPH Holdings, Inc. and Subsidiaries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360" w:type="dxa"/>
            <w:vAlign w:val="bottom"/>
          </w:tcPr>
          <w:p>
            <w:pPr>
              <w:jc w:val="center"/>
              <w:ind w:right="73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8800" w:type="dxa"/>
            <w:vAlign w:val="bottom"/>
            <w:gridSpan w:val="3"/>
          </w:tcPr>
          <w:p>
            <w:pPr>
              <w:spacing w:after="0"/>
              <w:rPr>
                <w:sz w:val="20"/>
                <w:szCs w:val="20"/>
                <w:color w:val="auto"/>
              </w:rPr>
            </w:pPr>
            <w:r>
              <w:rPr>
                <w:rFonts w:ascii="Arial" w:cs="Arial" w:eastAsia="Arial" w:hAnsi="Arial"/>
                <w:sz w:val="18"/>
                <w:szCs w:val="18"/>
                <w:color w:val="auto"/>
                <w:w w:val="96"/>
              </w:rPr>
              <w:t>As of December 31, 2014, future minimum rental payments under non-cancelable operating leases are as follows:</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8800" w:type="dxa"/>
            <w:vAlign w:val="bottom"/>
            <w:gridSpan w:val="3"/>
          </w:tcPr>
          <w:p>
            <w:pPr>
              <w:ind w:left="1840"/>
              <w:spacing w:after="0"/>
              <w:rPr>
                <w:sz w:val="20"/>
                <w:szCs w:val="20"/>
                <w:color w:val="auto"/>
              </w:rPr>
            </w:pPr>
            <w:r>
              <w:rPr>
                <w:rFonts w:ascii="Arial" w:cs="Arial" w:eastAsia="Arial" w:hAnsi="Arial"/>
                <w:sz w:val="14"/>
                <w:szCs w:val="14"/>
                <w:i w:val="1"/>
                <w:iCs w:val="1"/>
                <w:color w:val="auto"/>
              </w:rPr>
              <w:t>Years ending December 31,</w:t>
            </w:r>
          </w:p>
        </w:tc>
        <w:tc>
          <w:tcPr>
            <w:tcW w:w="20" w:type="dxa"/>
            <w:vAlign w:val="bottom"/>
          </w:tcPr>
          <w:p>
            <w:pPr>
              <w:spacing w:after="0"/>
              <w:rPr>
                <w:sz w:val="24"/>
                <w:szCs w:val="2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color w:val="auto"/>
              </w:rPr>
              <w:t>Amount</w:t>
            </w:r>
          </w:p>
        </w:tc>
      </w:tr>
      <w:tr>
        <w:trPr>
          <w:trHeight w:val="203"/>
        </w:trPr>
        <w:tc>
          <w:tcPr>
            <w:tcW w:w="184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2015</w:t>
            </w:r>
          </w:p>
        </w:tc>
        <w:tc>
          <w:tcPr>
            <w:tcW w:w="5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$723,000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84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2016</w:t>
            </w:r>
          </w:p>
        </w:tc>
        <w:tc>
          <w:tcPr>
            <w:tcW w:w="53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258,500</w:t>
            </w:r>
          </w:p>
        </w:tc>
        <w:tc>
          <w:tcPr>
            <w:tcW w:w="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00" w:type="dxa"/>
            <w:vAlign w:val="bottom"/>
            <w:shd w:val="clear" w:color="auto" w:fill="CCEEFF"/>
          </w:tcPr>
          <w:p>
            <w:pPr>
              <w:spacing w:after="0"/>
              <w:rPr>
                <w:sz w:val="18"/>
                <w:szCs w:val="18"/>
                <w:color w:val="auto"/>
              </w:rPr>
            </w:pPr>
          </w:p>
        </w:tc>
      </w:tr>
      <w:tr>
        <w:trPr>
          <w:trHeight w:val="223"/>
        </w:trPr>
        <w:tc>
          <w:tcPr>
            <w:tcW w:w="8800" w:type="dxa"/>
            <w:vAlign w:val="bottom"/>
            <w:gridSpan w:val="3"/>
          </w:tcPr>
          <w:p>
            <w:pPr>
              <w:ind w:left="18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990,300</w:t>
            </w:r>
          </w:p>
        </w:tc>
        <w:tc>
          <w:tcPr>
            <w:tcW w:w="100" w:type="dxa"/>
            <w:vAlign w:val="bottom"/>
          </w:tcPr>
          <w:p>
            <w:pPr>
              <w:spacing w:after="0"/>
              <w:rPr>
                <w:sz w:val="19"/>
                <w:szCs w:val="19"/>
                <w:color w:val="auto"/>
              </w:rPr>
            </w:pPr>
          </w:p>
        </w:tc>
      </w:tr>
      <w:tr>
        <w:trPr>
          <w:trHeight w:val="20"/>
        </w:trPr>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620"/>
        <w:spacing w:after="0" w:line="264" w:lineRule="auto"/>
        <w:rPr>
          <w:sz w:val="20"/>
          <w:szCs w:val="20"/>
          <w:color w:val="auto"/>
        </w:rPr>
      </w:pPr>
      <w:r>
        <w:rPr>
          <w:rFonts w:ascii="Arial" w:cs="Arial" w:eastAsia="Arial" w:hAnsi="Arial"/>
          <w:sz w:val="18"/>
          <w:szCs w:val="18"/>
          <w:color w:val="auto"/>
        </w:rPr>
        <w:t>Rent expense incurred and charged to operations was approximately $656,600 and $645,600 for each year ended December 31, 2014 and 2013 and is included as $185,000 and $174,000 in cost of sales and $471,600 and $471,600 in selling, general, and administrative expenses for the years ended December 31, 2014 and 2013, respectively, in the accompanying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leases certain equipment under agreements that are classified as capital leases. Aggregate maturities required on capital lease obligations are as follows:</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4740" w:type="dxa"/>
            <w:vAlign w:val="bottom"/>
            <w:gridSpan w:val="3"/>
          </w:tcPr>
          <w:p>
            <w:pPr>
              <w:spacing w:after="0"/>
              <w:rPr>
                <w:sz w:val="20"/>
                <w:szCs w:val="20"/>
                <w:color w:val="auto"/>
              </w:rPr>
            </w:pPr>
            <w:r>
              <w:rPr>
                <w:rFonts w:ascii="Arial" w:cs="Arial" w:eastAsia="Arial" w:hAnsi="Arial"/>
                <w:sz w:val="14"/>
                <w:szCs w:val="14"/>
                <w:i w:val="1"/>
                <w:iCs w:val="1"/>
                <w:color w:val="auto"/>
              </w:rPr>
              <w:t>Years ending December 31,</w:t>
            </w: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2015</w:t>
            </w:r>
          </w:p>
        </w:tc>
        <w:tc>
          <w:tcPr>
            <w:tcW w:w="314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22,700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2016</w:t>
            </w:r>
          </w:p>
        </w:tc>
        <w:tc>
          <w:tcPr>
            <w:tcW w:w="3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1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2018</w:t>
            </w:r>
          </w:p>
        </w:tc>
        <w:tc>
          <w:tcPr>
            <w:tcW w:w="3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1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Less: amounts representing interest</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2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capital lease obligation</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is involved from time to time in certain legal actions and claims arising in the ordinary course of business. Management believes that the outcome of such litigation and claims, should they arise in the future, is not likely to have a material effect on the Company’s consolidated financial position or results of operations.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0" w:right="27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February 2012, the Company and SNY were named in several lawsuits pending in the State of California and Orange County Superior Court concerning personal injuries allegedly suffered by users of Hydroxycut brand products (“Hydroxycut Lawsuit”). In January 2013, a master settlement agreement (the “MSA”) was reached in its entirety between the defendants and all claimants in the Hydroxycut Lawsuit. The Company’s and SNY’s damages were $30,000 and $45,000, respectively, which were paid by the Company’s insurance carrier less deductibles. The MSA is contingent upon the completion of a master release and the execution of the individual releases is still under review.</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December 2013, the Company received a pre-litigation claim from one of its customers for damages allegedly sustained from a contaminated enzyme supplied by the Company. The Company purchased the enzyme from a third party manufacturer who purchased the product from the enzyme supplier. The customer’s claim requests reimbursement for alleged damages sustained. Management has evaluated the claim made and determined that the range of potential loss to the Company is less than the amount of insurance coverage available to the Company, inclusive of associated legal expense to be reimbursed by the insurance carrier. As such, no accrual for loss has been recorded in connection with this claim as of December 31, 2014.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Indemnities and Guarantees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During the normal course of business, the Company has made certain indemnities and guarantees under which they may be required to make payments in relation to certain transactions. These indemnities include (i) certain real estate leases, under which the Company may be required to indemnify property owners for environmental and other liabilities, and (ii) certain agreements with the Company’s officers under which the Company may be required to indemnify officers for liabilities arising out of their employment relationship. The duration of these indemnities and guarantees varies and in certain cases is indefinite. The majority of these indemnities and guarantees do not provide for any limitation of the maximum potential future payments the Company could be obligated to make. Historically, the Company has not been obligated to make significant payments for these obligations, and no liabilities have been recorded for these indemnities and guarantees in the accompanying consolidated balance sheets.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sponsors a profit-sharing plan (the “401(k) Plan”) under the provisions of Section 401(k) of the Internal Revenue Code. The 401(k) Plan covers all employees who were employed on the effective date of the 401(k) Plan and subsequent eligible employees. The Company can make discretionary contributions to the 401(k) Plan. Under the 401(k) Plan, participating employees may defer a percentage of their pretax salary, but not more than the statutory limits. The Company matches 50% of participating employee’s elective deferral, up to a maximum contribution of 2.5% of their compensation. Maximum compensation for plan purposes for 2014 and 2013 was $260,000 and $255,000, respectively. The Company’s matching contributions to the 401(k) Plan were approximately $73,100 and $69,500 for the years ended December 31, 2014 and 2013, respectively, which is included in selling, general, and administrative expenses in the accompanying consolidated statements of operations.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0"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SNY sponsors a safe harbor profit-sharing plan (the “safe harbor 401(k) Plan”) under the provisions of Section 401(k) of the Internal Revenue Code. The safe harbor 401(k) Plan covers all employees who were employed on the effective date of the safe harbor 401(k) Plan and employees hired subsequent to the effective date. SNY makes contributions equal to the sum of 100% of the amount of the participating employee’s elective deferrals that do not exceed 3% of their compensation, plus 50% of the amount of their elective deferrals that exceed 3% up to a maximum of 5% of their compensation. This contribution is 100% vested. SNY’s matching contribution to the safe harbor Plan for the years ended December 31, 2014 and 2013 was approximately $75,500 and $67,000, respectively, which is included in cost of goods sold, selling, general and administrative expenses in the accompanying consolidated statements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year ended December 31, 2013, the Company’s Board of Directors authorized and approved the issuance of 3,631 shares of the Company’s Series A preferred stock for approximately $121 per share resulting in gross proceeds of $440,800.</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has authorized 49,977 shares of common stock, at $0.001 par value per share, and 320,920 shares of Series A convertible preferred stock, at $0.001 par value per share. As of December 31, 2014 and 2013, the Company had 296,880 shares, of Series A convertible preferred stock issued and outstanding, and no shares of common stock.</w:t>
      </w:r>
    </w:p>
    <w:p>
      <w:pPr>
        <w:spacing w:after="0" w:line="18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Series A convertible preferred stock has a cumulative dividend at an annual rate of 12% of the issuance price that compounds annually from the date of issuance. In a discretionary distribution or liquidity event, the Series A convertible preferred stockholders would have first priority to proceeds up to the issuance price plus accrued but unpaid dividends prior to any amounts paid to holders of common stock or any other class of capital stock, should they be issued at a future date. Shares of Series A convertible preferred stock are convertible into shares of common stock at a price equal to the purchase price plus accrued but unpaid dividends by the purchase price. The conversion price is subject to certain anti-dilution adjustments.</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 dividends were declared for the year ended December 31, 2014 and 2013. Cumulative accrued but undeclared dividends on Series A convertible preferred stock was $14,369,900 and $9,641,400 as of December 31, 2014 and 2013,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In March 2014, the Board of Directors approved the SPH Holdings, Inc. 2014 Stock Incentive Plan (the “Plan”) and authorized the issuance of options to purchase 29,688 shares of common stock under the Plan and granted options to purchase 23,454 shares of common stock to employees.</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estimates the fair value of the options awards as of the grant date and recognizes the related expense over the requisite service period. The option awards vest over periods ranging from one to four years from the grant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0" w:right="239" w:bottom="1440" w:gutter="0" w:footer="0" w:header="0"/>
        </w:sectPr>
      </w:pPr>
    </w:p>
    <w:bookmarkStart w:id="58" w:name="page59"/>
    <w:bookmarkEnd w:id="58"/>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used the Black-Scholes option-pricing model to determine the fair value of the option awards on the date of grant using the following assumptions for the year ended December 31, 2014:</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2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Exercise price</w:t>
            </w:r>
          </w:p>
        </w:tc>
        <w:tc>
          <w:tcPr>
            <w:tcW w:w="2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117.13</w:t>
            </w:r>
          </w:p>
        </w:tc>
        <w:tc>
          <w:tcPr>
            <w:tcW w:w="2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Fair value of these option awards on the date of grant was determined to be de minimis and as such, no compensation expense was recorded in the consolidated financial statements for the year ended December 31, 2014.</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2014, there were options to purchase 23,454 shares of common stock with a weighted average strike price of $117.13 and a weighted average life of 2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Company evaluated subsequent events in accordance with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The Company evaluated subsequent events through April 30, 2015, the date which these financial statements were available to be issued.</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60"/>
          </w:cols>
          <w:pgMar w:left="240" w:top="270" w:right="49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78" w:lineRule="exact"/>
        <w:rPr>
          <w:sz w:val="20"/>
          <w:szCs w:val="20"/>
          <w:color w:val="auto"/>
        </w:rPr>
      </w:pPr>
    </w:p>
    <w:p>
      <w:pPr>
        <w:ind w:left="6640"/>
        <w:spacing w:after="0"/>
        <w:rPr>
          <w:sz w:val="20"/>
          <w:szCs w:val="20"/>
          <w:color w:val="auto"/>
        </w:rPr>
      </w:pPr>
      <w:r>
        <w:rPr>
          <w:rFonts w:ascii="Arial" w:cs="Arial" w:eastAsia="Arial" w:hAnsi="Arial"/>
          <w:sz w:val="27"/>
          <w:szCs w:val="27"/>
          <w:b w:val="1"/>
          <w:bCs w:val="1"/>
          <w:color w:val="auto"/>
        </w:rPr>
        <w:t>SPH Holdings, Inc. and Subsidiaries</w:t>
      </w:r>
    </w:p>
    <w:p>
      <w:pPr>
        <w:spacing w:after="0" w:line="200" w:lineRule="exact"/>
        <w:rPr>
          <w:sz w:val="20"/>
          <w:szCs w:val="20"/>
          <w:color w:val="auto"/>
        </w:rPr>
      </w:pPr>
    </w:p>
    <w:p>
      <w:pPr>
        <w:spacing w:after="0" w:line="220" w:lineRule="exact"/>
        <w:rPr>
          <w:sz w:val="20"/>
          <w:szCs w:val="20"/>
          <w:color w:val="auto"/>
        </w:rPr>
      </w:pPr>
    </w:p>
    <w:p>
      <w:pPr>
        <w:ind w:left="6640"/>
        <w:spacing w:after="0"/>
        <w:rPr>
          <w:sz w:val="20"/>
          <w:szCs w:val="20"/>
          <w:color w:val="auto"/>
        </w:rPr>
      </w:pPr>
      <w:r>
        <w:rPr>
          <w:rFonts w:ascii="Arial" w:cs="Arial" w:eastAsia="Arial" w:hAnsi="Arial"/>
          <w:sz w:val="22"/>
          <w:szCs w:val="22"/>
          <w:color w:val="auto"/>
        </w:rPr>
        <w:t>Consolidated Financial Statements (Unaudited)</w:t>
      </w:r>
    </w:p>
    <w:p>
      <w:pPr>
        <w:spacing w:after="0" w:line="48" w:lineRule="exact"/>
        <w:rPr>
          <w:sz w:val="20"/>
          <w:szCs w:val="20"/>
          <w:color w:val="auto"/>
        </w:rPr>
      </w:pPr>
    </w:p>
    <w:p>
      <w:pPr>
        <w:ind w:left="6640"/>
        <w:spacing w:after="0"/>
        <w:rPr>
          <w:sz w:val="20"/>
          <w:szCs w:val="20"/>
          <w:color w:val="auto"/>
        </w:rPr>
      </w:pPr>
      <w:r>
        <w:rPr>
          <w:rFonts w:ascii="Arial" w:cs="Arial" w:eastAsia="Arial" w:hAnsi="Arial"/>
          <w:sz w:val="22"/>
          <w:szCs w:val="22"/>
          <w:color w:val="auto"/>
        </w:rPr>
        <w:t>As of September 30, 2015 and 2014 and for the</w:t>
      </w:r>
    </w:p>
    <w:p>
      <w:pPr>
        <w:ind w:left="6640"/>
        <w:spacing w:after="0" w:line="230" w:lineRule="auto"/>
        <w:rPr>
          <w:sz w:val="20"/>
          <w:szCs w:val="20"/>
          <w:color w:val="auto"/>
        </w:rPr>
      </w:pPr>
      <w:r>
        <w:rPr>
          <w:rFonts w:ascii="Arial" w:cs="Arial" w:eastAsia="Arial" w:hAnsi="Arial"/>
          <w:sz w:val="22"/>
          <w:szCs w:val="22"/>
          <w:color w:val="auto"/>
        </w:rPr>
        <w:t>Nine Month Periods Ended September 30, 2015</w:t>
      </w:r>
    </w:p>
    <w:p>
      <w:pPr>
        <w:spacing w:after="0" w:line="1" w:lineRule="exact"/>
        <w:rPr>
          <w:sz w:val="20"/>
          <w:szCs w:val="20"/>
          <w:color w:val="auto"/>
        </w:rPr>
      </w:pPr>
    </w:p>
    <w:p>
      <w:pPr>
        <w:ind w:left="6640"/>
        <w:spacing w:after="0"/>
        <w:rPr>
          <w:sz w:val="20"/>
          <w:szCs w:val="20"/>
          <w:color w:val="auto"/>
        </w:rPr>
      </w:pPr>
      <w:r>
        <w:rPr>
          <w:rFonts w:ascii="Arial" w:cs="Arial" w:eastAsia="Arial" w:hAnsi="Arial"/>
          <w:sz w:val="22"/>
          <w:szCs w:val="22"/>
          <w:color w:val="auto"/>
        </w:rPr>
        <w:t>and 2014.</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report accompanying these financial statements was issued by</w:t>
      </w:r>
    </w:p>
    <w:p>
      <w:pPr>
        <w:spacing w:after="0" w:line="221" w:lineRule="auto"/>
        <w:rPr>
          <w:sz w:val="20"/>
          <w:szCs w:val="20"/>
          <w:color w:val="auto"/>
        </w:rPr>
      </w:pPr>
      <w:r>
        <w:rPr>
          <w:rFonts w:ascii="Arial" w:cs="Arial" w:eastAsia="Arial" w:hAnsi="Arial"/>
          <w:sz w:val="14"/>
          <w:szCs w:val="14"/>
          <w:color w:val="auto"/>
        </w:rPr>
        <w:t>BDO USA, LLP, a Delaware limited liability partnership and the U.S. member of</w:t>
      </w:r>
    </w:p>
    <w:p>
      <w:pPr>
        <w:spacing w:after="0"/>
        <w:rPr>
          <w:sz w:val="20"/>
          <w:szCs w:val="20"/>
          <w:color w:val="auto"/>
        </w:rPr>
      </w:pPr>
      <w:r>
        <w:rPr>
          <w:rFonts w:ascii="Arial" w:cs="Arial" w:eastAsia="Arial" w:hAnsi="Arial"/>
          <w:sz w:val="14"/>
          <w:szCs w:val="14"/>
          <w:color w:val="auto"/>
        </w:rPr>
        <w:t>BDO International Limited, a UK company limited by guarantee.</w:t>
      </w:r>
    </w:p>
    <w:p>
      <w:pPr>
        <w:sectPr>
          <w:pgSz w:w="11900" w:h="16838" w:orient="portrait"/>
          <w:cols w:equalWidth="0" w:num="1">
            <w:col w:w="11420"/>
          </w:cols>
          <w:pgMar w:left="240" w:top="1440" w:right="23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71120</wp:posOffset>
            </wp:positionV>
            <wp:extent cx="565150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1500" cy="26035"/>
                    </a:xfrm>
                    <a:prstGeom prst="rect">
                      <a:avLst/>
                    </a:prstGeom>
                    <a:noFill/>
                  </pic:spPr>
                </pic:pic>
              </a:graphicData>
            </a:graphic>
          </wp:anchor>
        </w:drawing>
      </w:r>
    </w:p>
    <w:p>
      <w:pPr>
        <w:spacing w:after="0" w:line="22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Consolidated Financial Statements (Unaudited)</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7"/>
          <w:szCs w:val="17"/>
          <w:color w:val="auto"/>
        </w:rPr>
        <w:t>As of September 30, 2015 and 2014 and for the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Nine Month Periods Ended September 30, 2015 and 2014</w:t>
      </w:r>
    </w:p>
    <w:p>
      <w:pPr>
        <w:sectPr>
          <w:pgSz w:w="11900" w:h="16838" w:orient="portrait"/>
          <w:cols w:equalWidth="0" w:num="1">
            <w:col w:w="9019"/>
          </w:cols>
          <w:pgMar w:left="1440" w:top="261"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9940" w:type="dxa"/>
            <w:vAlign w:val="bottom"/>
          </w:tcPr>
          <w:p>
            <w:pPr>
              <w:ind w:left="4320"/>
              <w:spacing w:after="0"/>
              <w:rPr>
                <w:sz w:val="20"/>
                <w:szCs w:val="20"/>
                <w:color w:val="auto"/>
              </w:rPr>
            </w:pPr>
            <w:r>
              <w:rPr>
                <w:rFonts w:ascii="Arial" w:cs="Arial" w:eastAsia="Arial" w:hAnsi="Arial"/>
                <w:sz w:val="18"/>
                <w:szCs w:val="18"/>
                <w:b w:val="1"/>
                <w:bCs w:val="1"/>
                <w:color w:val="auto"/>
              </w:rPr>
              <w:t>SPH Holdings, Inc. and Subsidiaries</w:t>
            </w:r>
          </w:p>
        </w:tc>
        <w:tc>
          <w:tcPr>
            <w:tcW w:w="1380" w:type="dxa"/>
            <w:vAlign w:val="bottom"/>
          </w:tcPr>
          <w:p>
            <w:pPr>
              <w:spacing w:after="0"/>
              <w:rPr>
                <w:sz w:val="20"/>
                <w:szCs w:val="20"/>
                <w:color w:val="auto"/>
              </w:rPr>
            </w:pPr>
          </w:p>
        </w:tc>
      </w:tr>
      <w:tr>
        <w:trPr>
          <w:trHeight w:val="432"/>
        </w:trPr>
        <w:tc>
          <w:tcPr>
            <w:tcW w:w="9940" w:type="dxa"/>
            <w:vAlign w:val="bottom"/>
          </w:tcPr>
          <w:p>
            <w:pPr>
              <w:ind w:left="5360"/>
              <w:spacing w:after="0"/>
              <w:rPr>
                <w:sz w:val="20"/>
                <w:szCs w:val="20"/>
                <w:color w:val="auto"/>
              </w:rPr>
            </w:pPr>
            <w:r>
              <w:rPr>
                <w:rFonts w:ascii="Arial" w:cs="Arial" w:eastAsia="Arial" w:hAnsi="Arial"/>
                <w:sz w:val="18"/>
                <w:szCs w:val="18"/>
                <w:b w:val="1"/>
                <w:bCs w:val="1"/>
                <w:color w:val="auto"/>
              </w:rPr>
              <w:t>Contents</w:t>
            </w:r>
          </w:p>
        </w:tc>
        <w:tc>
          <w:tcPr>
            <w:tcW w:w="1380" w:type="dxa"/>
            <w:vAlign w:val="bottom"/>
          </w:tcPr>
          <w:p>
            <w:pPr>
              <w:spacing w:after="0"/>
              <w:rPr>
                <w:sz w:val="24"/>
                <w:szCs w:val="24"/>
                <w:color w:val="auto"/>
              </w:rPr>
            </w:pPr>
          </w:p>
        </w:tc>
      </w:tr>
      <w:tr>
        <w:trPr>
          <w:trHeight w:val="459"/>
        </w:trPr>
        <w:tc>
          <w:tcPr>
            <w:tcW w:w="994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 (Unaudited)</w:t>
            </w:r>
          </w:p>
        </w:tc>
        <w:tc>
          <w:tcPr>
            <w:tcW w:w="1380" w:type="dxa"/>
            <w:vAlign w:val="bottom"/>
          </w:tcPr>
          <w:p>
            <w:pPr>
              <w:spacing w:after="0"/>
              <w:rPr>
                <w:sz w:val="24"/>
                <w:szCs w:val="24"/>
                <w:color w:val="auto"/>
              </w:rPr>
            </w:pPr>
          </w:p>
        </w:tc>
      </w:tr>
      <w:tr>
        <w:trPr>
          <w:trHeight w:val="324"/>
        </w:trPr>
        <w:tc>
          <w:tcPr>
            <w:tcW w:w="9940" w:type="dxa"/>
            <w:vAlign w:val="bottom"/>
          </w:tcPr>
          <w:p>
            <w:pPr>
              <w:ind w:left="360"/>
              <w:spacing w:after="0"/>
              <w:rPr>
                <w:sz w:val="20"/>
                <w:szCs w:val="20"/>
                <w:color w:val="auto"/>
              </w:rPr>
            </w:pPr>
            <w:r>
              <w:rPr>
                <w:rFonts w:ascii="Arial" w:cs="Arial" w:eastAsia="Arial" w:hAnsi="Arial"/>
                <w:sz w:val="18"/>
                <w:szCs w:val="18"/>
                <w:color w:val="auto"/>
              </w:rPr>
              <w:t>Consolidated Balance Sheets as of September 30, 2015 and 2014 (Unaudited)</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940" w:type="dxa"/>
            <w:vAlign w:val="bottom"/>
          </w:tcPr>
          <w:p>
            <w:pPr>
              <w:ind w:left="360"/>
              <w:spacing w:after="0"/>
              <w:rPr>
                <w:sz w:val="20"/>
                <w:szCs w:val="20"/>
                <w:color w:val="auto"/>
              </w:rPr>
            </w:pPr>
            <w:r>
              <w:rPr>
                <w:rFonts w:ascii="Arial" w:cs="Arial" w:eastAsia="Arial" w:hAnsi="Arial"/>
                <w:sz w:val="18"/>
                <w:szCs w:val="18"/>
                <w:color w:val="auto"/>
              </w:rPr>
              <w:t>Consolidated Statements of Income for the Nine Month Periods Ended September 30, 2015 and 2014 (Unaudited)</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940" w:type="dxa"/>
            <w:vAlign w:val="bottom"/>
          </w:tcPr>
          <w:p>
            <w:pPr>
              <w:ind w:left="360"/>
              <w:spacing w:after="0"/>
              <w:rPr>
                <w:sz w:val="20"/>
                <w:szCs w:val="20"/>
                <w:color w:val="auto"/>
              </w:rPr>
            </w:pPr>
            <w:r>
              <w:rPr>
                <w:rFonts w:ascii="Arial" w:cs="Arial" w:eastAsia="Arial" w:hAnsi="Arial"/>
                <w:sz w:val="18"/>
                <w:szCs w:val="18"/>
                <w:color w:val="auto"/>
              </w:rPr>
              <w:t>Consolidated Statements of Cash Flows for the Nine Month Periods Ended September 30, 2015 and 2014 (Unaudited)</w:t>
            </w: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940" w:type="dxa"/>
            <w:vAlign w:val="bottom"/>
          </w:tcPr>
          <w:p>
            <w:pPr>
              <w:ind w:left="360"/>
              <w:spacing w:after="0"/>
              <w:rPr>
                <w:sz w:val="20"/>
                <w:szCs w:val="20"/>
                <w:color w:val="auto"/>
              </w:rPr>
            </w:pPr>
            <w:r>
              <w:rPr>
                <w:rFonts w:ascii="Arial" w:cs="Arial" w:eastAsia="Arial" w:hAnsi="Arial"/>
                <w:sz w:val="18"/>
                <w:szCs w:val="18"/>
                <w:color w:val="auto"/>
              </w:rPr>
              <w:t>Notes to Consolidated Financial Statements (Unaudited)</w:t>
            </w:r>
          </w:p>
        </w:tc>
        <w:tc>
          <w:tcPr>
            <w:tcW w:w="1380" w:type="dxa"/>
            <w:vAlign w:val="bottom"/>
          </w:tcPr>
          <w:p>
            <w:pPr>
              <w:jc w:val="right"/>
              <w:spacing w:after="0"/>
              <w:rPr>
                <w:sz w:val="20"/>
                <w:szCs w:val="20"/>
                <w:color w:val="auto"/>
              </w:rPr>
            </w:pPr>
            <w:r>
              <w:rPr>
                <w:rFonts w:ascii="Arial" w:cs="Arial" w:eastAsia="Arial" w:hAnsi="Arial"/>
                <w:sz w:val="18"/>
                <w:szCs w:val="18"/>
                <w:color w:val="auto"/>
              </w:rPr>
              <w:t>5-17</w:t>
            </w:r>
          </w:p>
        </w:tc>
      </w:tr>
    </w:tbl>
    <w:p>
      <w:pPr>
        <w:jc w:val="right"/>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2" w:name="page63"/>
    <w:bookmarkEnd w:id="62"/>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118745</wp:posOffset>
            </wp:positionV>
            <wp:extent cx="565150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1500" cy="26035"/>
                    </a:xfrm>
                    <a:prstGeom prst="rect">
                      <a:avLst/>
                    </a:prstGeom>
                    <a:noFill/>
                  </pic:spPr>
                </pic:pic>
              </a:graphicData>
            </a:graphic>
          </wp:anchor>
        </w:drawing>
      </w:r>
    </w:p>
    <w:p>
      <w:pPr>
        <w:sectPr>
          <w:pgSz w:w="11900" w:h="16838" w:orient="portrait"/>
          <w:cols w:equalWidth="0" w:num="1">
            <w:col w:w="9019"/>
          </w:cols>
          <w:pgMar w:left="1440" w:top="261" w:right="1440"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180" w:type="dxa"/>
            <w:vAlign w:val="bottom"/>
            <w:gridSpan w:val="3"/>
          </w:tcPr>
          <w:p>
            <w:pPr>
              <w:spacing w:after="0"/>
              <w:rPr>
                <w:sz w:val="20"/>
                <w:szCs w:val="20"/>
                <w:color w:val="auto"/>
              </w:rPr>
            </w:pPr>
            <w:r>
              <w:rPr>
                <w:rFonts w:ascii="Arial" w:cs="Arial" w:eastAsia="Arial" w:hAnsi="Arial"/>
                <w:sz w:val="14"/>
                <w:szCs w:val="14"/>
                <w:i w:val="1"/>
                <w:iCs w:val="1"/>
                <w:color w:val="auto"/>
              </w:rPr>
              <w:t>September 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8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8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867,100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874,500</w:t>
            </w:r>
          </w:p>
        </w:tc>
      </w:tr>
      <w:tr>
        <w:trPr>
          <w:trHeight w:val="216"/>
        </w:trPr>
        <w:tc>
          <w:tcPr>
            <w:tcW w:w="20" w:type="dxa"/>
            <w:vAlign w:val="bottom"/>
          </w:tcPr>
          <w:p>
            <w:pPr>
              <w:spacing w:after="0"/>
              <w:rPr>
                <w:sz w:val="18"/>
                <w:szCs w:val="18"/>
                <w:color w:val="auto"/>
              </w:rPr>
            </w:pPr>
          </w:p>
        </w:tc>
        <w:tc>
          <w:tcPr>
            <w:tcW w:w="916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 of allowance of $545,500 and $367,800,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6"/>
              </w:rPr>
              <w:t>15,216,800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13,760,800</w:t>
            </w: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10,981,900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11,553,200</w:t>
            </w:r>
          </w:p>
        </w:tc>
      </w:tr>
      <w:tr>
        <w:trPr>
          <w:trHeight w:val="216"/>
        </w:trPr>
        <w:tc>
          <w:tcPr>
            <w:tcW w:w="20" w:type="dxa"/>
            <w:vAlign w:val="bottom"/>
          </w:tcPr>
          <w:p>
            <w:pPr>
              <w:spacing w:after="0"/>
              <w:rPr>
                <w:sz w:val="18"/>
                <w:szCs w:val="18"/>
                <w:color w:val="auto"/>
              </w:rPr>
            </w:pPr>
          </w:p>
        </w:tc>
        <w:tc>
          <w:tcPr>
            <w:tcW w:w="9160" w:type="dxa"/>
            <w:vAlign w:val="bottom"/>
            <w:gridSpan w:val="2"/>
          </w:tcPr>
          <w:p>
            <w:pPr>
              <w:ind w:left="34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865,700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652,900</w:t>
            </w: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1,478,800</w:t>
            </w:r>
          </w:p>
        </w:tc>
      </w:tr>
      <w:tr>
        <w:trPr>
          <w:trHeight w:val="223"/>
        </w:trPr>
        <w:tc>
          <w:tcPr>
            <w:tcW w:w="20" w:type="dxa"/>
            <w:vAlign w:val="bottom"/>
          </w:tcPr>
          <w:p>
            <w:pPr>
              <w:spacing w:after="0"/>
              <w:rPr>
                <w:sz w:val="19"/>
                <w:szCs w:val="19"/>
                <w:color w:val="auto"/>
              </w:rPr>
            </w:pPr>
          </w:p>
        </w:tc>
        <w:tc>
          <w:tcPr>
            <w:tcW w:w="9160" w:type="dxa"/>
            <w:vAlign w:val="bottom"/>
            <w:gridSpan w:val="2"/>
          </w:tcPr>
          <w:p>
            <w:pPr>
              <w:ind w:left="340"/>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1,564,100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29,495,600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29,060,900</w:t>
            </w: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6"/>
              </w:rPr>
              <w:t>11,067,000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9,049,800</w:t>
            </w: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Debt issuance costs,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73,400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102,400</w:t>
            </w: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6"/>
              </w:rPr>
              <w:t>12,018,900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15,282,600</w:t>
            </w: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22,561,800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22,561,800</w:t>
            </w:r>
          </w:p>
        </w:tc>
      </w:tr>
      <w:tr>
        <w:trPr>
          <w:trHeight w:val="223"/>
        </w:trPr>
        <w:tc>
          <w:tcPr>
            <w:tcW w:w="918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75,216,700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76,057,500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7,524,000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7,105,600</w:t>
            </w:r>
          </w:p>
        </w:tc>
      </w:tr>
      <w:tr>
        <w:trPr>
          <w:trHeight w:val="216"/>
        </w:trPr>
        <w:tc>
          <w:tcPr>
            <w:tcW w:w="20" w:type="dxa"/>
            <w:vAlign w:val="bottom"/>
          </w:tcPr>
          <w:p>
            <w:pPr>
              <w:spacing w:after="0"/>
              <w:rPr>
                <w:sz w:val="18"/>
                <w:szCs w:val="18"/>
                <w:color w:val="auto"/>
              </w:rPr>
            </w:pPr>
          </w:p>
        </w:tc>
        <w:tc>
          <w:tcPr>
            <w:tcW w:w="9160" w:type="dxa"/>
            <w:vAlign w:val="bottom"/>
            <w:gridSpan w:val="2"/>
          </w:tcPr>
          <w:p>
            <w:pPr>
              <w:ind w:left="340"/>
              <w:spacing w:after="0"/>
              <w:rPr>
                <w:sz w:val="20"/>
                <w:szCs w:val="20"/>
                <w:color w:val="auto"/>
              </w:rPr>
            </w:pPr>
            <w:r>
              <w:rPr>
                <w:rFonts w:ascii="Arial" w:cs="Arial" w:eastAsia="Arial" w:hAnsi="Arial"/>
                <w:sz w:val="18"/>
                <w:szCs w:val="18"/>
                <w:color w:val="auto"/>
              </w:rPr>
              <w:t>Current portion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280,800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2,217,300</w:t>
            </w: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capital lease obligation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60" w:type="dxa"/>
            <w:vAlign w:val="bottom"/>
            <w:gridSpan w:val="2"/>
          </w:tcPr>
          <w:p>
            <w:pPr>
              <w:ind w:left="340"/>
              <w:spacing w:after="0"/>
              <w:rPr>
                <w:sz w:val="20"/>
                <w:szCs w:val="20"/>
                <w:color w:val="auto"/>
              </w:rPr>
            </w:pPr>
            <w:r>
              <w:rPr>
                <w:rFonts w:ascii="Arial" w:cs="Arial" w:eastAsia="Arial" w:hAnsi="Arial"/>
                <w:sz w:val="18"/>
                <w:szCs w:val="18"/>
                <w:color w:val="auto"/>
              </w:rPr>
              <w:t>Other 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1,946,900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1,247,600</w:t>
            </w: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23"/>
        </w:trPr>
        <w:tc>
          <w:tcPr>
            <w:tcW w:w="20" w:type="dxa"/>
            <w:vAlign w:val="bottom"/>
          </w:tcPr>
          <w:p>
            <w:pPr>
              <w:spacing w:after="0"/>
              <w:rPr>
                <w:sz w:val="19"/>
                <w:szCs w:val="19"/>
                <w:color w:val="auto"/>
              </w:rPr>
            </w:pPr>
          </w:p>
        </w:tc>
        <w:tc>
          <w:tcPr>
            <w:tcW w:w="916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267,700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10,050,000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10,571,500</w:t>
            </w: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Debt, net of current portion and discount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27,279,300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30,437,400</w:t>
            </w:r>
          </w:p>
        </w:tc>
      </w:tr>
      <w:tr>
        <w:trPr>
          <w:trHeight w:val="216"/>
        </w:trPr>
        <w:tc>
          <w:tcPr>
            <w:tcW w:w="20" w:type="dxa"/>
            <w:vAlign w:val="bottom"/>
          </w:tcPr>
          <w:p>
            <w:pPr>
              <w:spacing w:after="0"/>
              <w:rPr>
                <w:sz w:val="18"/>
                <w:szCs w:val="18"/>
                <w:color w:val="auto"/>
              </w:rPr>
            </w:pPr>
          </w:p>
        </w:tc>
        <w:tc>
          <w:tcPr>
            <w:tcW w:w="9160" w:type="dxa"/>
            <w:vAlign w:val="bottom"/>
            <w:gridSpan w:val="2"/>
          </w:tcPr>
          <w:p>
            <w:pPr>
              <w:ind w:left="340"/>
              <w:spacing w:after="0"/>
              <w:rPr>
                <w:sz w:val="20"/>
                <w:szCs w:val="20"/>
                <w:color w:val="auto"/>
              </w:rPr>
            </w:pPr>
            <w:r>
              <w:rPr>
                <w:rFonts w:ascii="Arial" w:cs="Arial" w:eastAsia="Arial" w:hAnsi="Arial"/>
                <w:sz w:val="18"/>
                <w:szCs w:val="18"/>
                <w:color w:val="auto"/>
              </w:rPr>
              <w:t>Capital lease obligation, net of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85,600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tax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5,676,100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7,544,500</w:t>
            </w:r>
          </w:p>
        </w:tc>
      </w:tr>
      <w:tr>
        <w:trPr>
          <w:trHeight w:val="230"/>
        </w:trPr>
        <w:tc>
          <w:tcPr>
            <w:tcW w:w="9180" w:type="dxa"/>
            <w:vAlign w:val="bottom"/>
            <w:gridSpan w:val="3"/>
          </w:tcPr>
          <w:p>
            <w:pPr>
              <w:spacing w:after="0"/>
              <w:rPr>
                <w:sz w:val="20"/>
                <w:szCs w:val="20"/>
                <w:color w:val="auto"/>
              </w:rPr>
            </w:pPr>
            <w:r>
              <w:rPr>
                <w:rFonts w:ascii="Arial" w:cs="Arial" w:eastAsia="Arial" w:hAnsi="Arial"/>
                <w:sz w:val="18"/>
                <w:szCs w:val="18"/>
                <w:color w:val="auto"/>
              </w:rPr>
              <w:t>Total long-term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33,041,000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37,981,900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43,091,000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48,553,400</w:t>
            </w:r>
          </w:p>
        </w:tc>
      </w:tr>
      <w:tr>
        <w:trPr>
          <w:trHeight w:val="223"/>
        </w:trPr>
        <w:tc>
          <w:tcPr>
            <w:tcW w:w="91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(see Note 9)</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340"/>
              <w:spacing w:after="0"/>
              <w:rPr>
                <w:sz w:val="20"/>
                <w:szCs w:val="20"/>
                <w:color w:val="auto"/>
              </w:rPr>
            </w:pPr>
            <w:r>
              <w:rPr>
                <w:rFonts w:ascii="Arial" w:cs="Arial" w:eastAsia="Arial" w:hAnsi="Arial"/>
                <w:sz w:val="18"/>
                <w:szCs w:val="18"/>
                <w:color w:val="auto"/>
              </w:rPr>
              <w:t>Series A convertible preferred stock 296,880 and 296,880 shares issued and outstanding,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6"/>
              </w:rPr>
              <w:t>29,762,800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29,762,800</w:t>
            </w: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Stockholder notes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(326,500)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(312,400)</w:t>
            </w:r>
          </w:p>
        </w:tc>
      </w:tr>
      <w:tr>
        <w:trPr>
          <w:trHeight w:val="223"/>
        </w:trPr>
        <w:tc>
          <w:tcPr>
            <w:tcW w:w="20" w:type="dxa"/>
            <w:vAlign w:val="bottom"/>
          </w:tcPr>
          <w:p>
            <w:pPr>
              <w:spacing w:after="0"/>
              <w:rPr>
                <w:sz w:val="19"/>
                <w:szCs w:val="19"/>
                <w:color w:val="auto"/>
              </w:rPr>
            </w:pPr>
          </w:p>
        </w:tc>
        <w:tc>
          <w:tcPr>
            <w:tcW w:w="9160" w:type="dxa"/>
            <w:vAlign w:val="bottom"/>
            <w:gridSpan w:val="2"/>
          </w:tcPr>
          <w:p>
            <w:pPr>
              <w:ind w:left="340"/>
              <w:spacing w:after="0"/>
              <w:rPr>
                <w:sz w:val="20"/>
                <w:szCs w:val="20"/>
                <w:color w:val="auto"/>
              </w:rPr>
            </w:pPr>
            <w:r>
              <w:rPr>
                <w:rFonts w:ascii="Arial" w:cs="Arial" w:eastAsia="Arial" w:hAnsi="Arial"/>
                <w:sz w:val="18"/>
                <w:szCs w:val="18"/>
                <w:color w:val="auto"/>
              </w:rPr>
              <w:t>Retained earnings (accumulated 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2,689,400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(1,946,300)</w:t>
            </w: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32,125,700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27,504,100</w:t>
            </w:r>
          </w:p>
        </w:tc>
        <w:tc>
          <w:tcPr>
            <w:tcW w:w="100" w:type="dxa"/>
            <w:vAlign w:val="bottom"/>
            <w:shd w:val="clear" w:color="auto" w:fill="CCEEFF"/>
          </w:tcPr>
          <w:p>
            <w:pPr>
              <w:spacing w:after="0"/>
              <w:rPr>
                <w:sz w:val="18"/>
                <w:szCs w:val="18"/>
                <w:color w:val="auto"/>
              </w:rPr>
            </w:pPr>
          </w:p>
        </w:tc>
      </w:tr>
      <w:tr>
        <w:trPr>
          <w:trHeight w:val="223"/>
        </w:trPr>
        <w:tc>
          <w:tcPr>
            <w:tcW w:w="91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75,216,700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76,057,500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180" w:type="dxa"/>
            <w:vAlign w:val="bottom"/>
            <w:gridSpan w:val="3"/>
          </w:tcPr>
          <w:p>
            <w:pPr>
              <w:spacing w:after="0"/>
              <w:rPr>
                <w:sz w:val="20"/>
                <w:szCs w:val="20"/>
                <w:color w:val="auto"/>
              </w:rPr>
            </w:pPr>
            <w:r>
              <w:rPr>
                <w:rFonts w:ascii="Arial" w:cs="Arial" w:eastAsia="Arial" w:hAnsi="Arial"/>
                <w:sz w:val="14"/>
                <w:szCs w:val="14"/>
                <w:i w:val="1"/>
                <w:iCs w:val="1"/>
                <w:color w:val="auto"/>
              </w:rPr>
              <w:t>Nine Month Periods Ended September 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Revenues, net</w:t>
            </w:r>
          </w:p>
        </w:tc>
        <w:tc>
          <w:tcPr>
            <w:tcW w:w="67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92,213,500</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76,458,900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Cost of sales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71,644,900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59,609,900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20,568,600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16,849,000</w:t>
            </w:r>
          </w:p>
        </w:tc>
      </w:tr>
      <w:tr>
        <w:trPr>
          <w:trHeight w:val="223"/>
        </w:trPr>
        <w:tc>
          <w:tcPr>
            <w:tcW w:w="9180" w:type="dxa"/>
            <w:vAlign w:val="bottom"/>
            <w:gridSpan w:val="3"/>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10,202,800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8,965,400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Amortization of intangibles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1,956,400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3,921,800</w:t>
            </w:r>
          </w:p>
        </w:tc>
      </w:tr>
      <w:tr>
        <w:trPr>
          <w:trHeight w:val="230"/>
        </w:trPr>
        <w:tc>
          <w:tcPr>
            <w:tcW w:w="9180" w:type="dxa"/>
            <w:vAlign w:val="bottom"/>
            <w:gridSpan w:val="3"/>
          </w:tcPr>
          <w:p>
            <w:pPr>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12,159,200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12,887,200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8,409,400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3,961,800</w:t>
            </w: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(1,730,100)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(2,260,400)</w:t>
            </w: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472,300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(588,400)</w:t>
            </w:r>
          </w:p>
        </w:tc>
      </w:tr>
      <w:tr>
        <w:trPr>
          <w:trHeight w:val="223"/>
        </w:trPr>
        <w:tc>
          <w:tcPr>
            <w:tcW w:w="9180" w:type="dxa"/>
            <w:vAlign w:val="bottom"/>
            <w:gridSpan w:val="3"/>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7,151,600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1,113,000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(2,508,200)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(503,500)</w:t>
            </w:r>
          </w:p>
        </w:tc>
      </w:tr>
      <w:tr>
        <w:trPr>
          <w:trHeight w:val="223"/>
        </w:trPr>
        <w:tc>
          <w:tcPr>
            <w:tcW w:w="918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4,643,400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609,500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120" w:type="dxa"/>
            <w:vAlign w:val="bottom"/>
            <w:gridSpan w:val="3"/>
          </w:tcPr>
          <w:p>
            <w:pPr>
              <w:spacing w:after="0"/>
              <w:rPr>
                <w:sz w:val="20"/>
                <w:szCs w:val="20"/>
                <w:color w:val="auto"/>
              </w:rPr>
            </w:pPr>
            <w:r>
              <w:rPr>
                <w:rFonts w:ascii="Arial" w:cs="Arial" w:eastAsia="Arial" w:hAnsi="Arial"/>
                <w:sz w:val="14"/>
                <w:szCs w:val="14"/>
                <w:i w:val="1"/>
                <w:iCs w:val="1"/>
                <w:color w:val="auto"/>
              </w:rPr>
              <w:t>Nine Month Periods Ended 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bottom w:val="single" w:sz="8" w:color="CCEEFF"/>
            </w:tcBorders>
            <w:shd w:val="clear" w:color="auto" w:fill="000000"/>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1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4,643,400</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106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916,100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1,956,400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3,921,800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1060"/>
              <w:spacing w:after="0"/>
              <w:rPr>
                <w:sz w:val="20"/>
                <w:szCs w:val="20"/>
                <w:color w:val="auto"/>
              </w:rPr>
            </w:pPr>
            <w:r>
              <w:rPr>
                <w:rFonts w:ascii="Arial" w:cs="Arial" w:eastAsia="Arial" w:hAnsi="Arial"/>
                <w:sz w:val="18"/>
                <w:szCs w:val="18"/>
                <w:color w:val="auto"/>
              </w:rPr>
              <w:t>Amortization of debt issuance and debt discount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57,700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Shareholder accrued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(10,600)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1060"/>
              <w:spacing w:after="0"/>
              <w:rPr>
                <w:sz w:val="20"/>
                <w:szCs w:val="20"/>
                <w:color w:val="auto"/>
              </w:rPr>
            </w:pPr>
            <w:r>
              <w:rPr>
                <w:rFonts w:ascii="Arial" w:cs="Arial" w:eastAsia="Arial" w:hAnsi="Arial"/>
                <w:sz w:val="18"/>
                <w:szCs w:val="18"/>
                <w:color w:val="auto"/>
              </w:rPr>
              <w:t>Bad debt expense recovery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(105,500)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142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(1,368,500)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669,300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1,626,600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142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349,700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Income taxes payable/receivable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(165,500)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(1,114,500)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142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(1,192,800)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1"/>
              </w:rPr>
              <w:t>(1,180,100)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Other 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439,300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ind w:left="1420"/>
              <w:spacing w:after="0"/>
              <w:rPr>
                <w:sz w:val="20"/>
                <w:szCs w:val="20"/>
                <w:color w:val="auto"/>
              </w:rPr>
            </w:pPr>
            <w:r>
              <w:rPr>
                <w:rFonts w:ascii="Arial" w:cs="Arial" w:eastAsia="Arial" w:hAnsi="Arial"/>
                <w:sz w:val="18"/>
                <w:szCs w:val="18"/>
                <w:color w:val="auto"/>
              </w:rPr>
              <w:t>Interest payable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7,147,800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3,005,900</w:t>
            </w:r>
          </w:p>
        </w:tc>
        <w:tc>
          <w:tcPr>
            <w:tcW w:w="0" w:type="dxa"/>
            <w:vAlign w:val="bottom"/>
          </w:tcPr>
          <w:p>
            <w:pPr>
              <w:spacing w:after="0"/>
              <w:rPr>
                <w:sz w:val="1"/>
                <w:szCs w:val="1"/>
                <w:color w:val="auto"/>
              </w:rPr>
            </w:pPr>
          </w:p>
        </w:tc>
      </w:tr>
      <w:tr>
        <w:trPr>
          <w:trHeight w:val="223"/>
        </w:trPr>
        <w:tc>
          <w:tcPr>
            <w:tcW w:w="9120" w:type="dxa"/>
            <w:vAlign w:val="bottom"/>
            <w:gridSpan w:val="3"/>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(2,219,600)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(3,256,900)</w:t>
            </w:r>
          </w:p>
        </w:tc>
        <w:tc>
          <w:tcPr>
            <w:tcW w:w="0" w:type="dxa"/>
            <w:vAlign w:val="bottom"/>
          </w:tcPr>
          <w:p>
            <w:pPr>
              <w:spacing w:after="0"/>
              <w:rPr>
                <w:sz w:val="1"/>
                <w:szCs w:val="1"/>
                <w:color w:val="auto"/>
              </w:rPr>
            </w:pPr>
          </w:p>
        </w:tc>
      </w:tr>
      <w:tr>
        <w:trPr>
          <w:trHeight w:val="230"/>
        </w:trPr>
        <w:tc>
          <w:tcPr>
            <w:tcW w:w="9120" w:type="dxa"/>
            <w:vAlign w:val="bottom"/>
            <w:gridSpan w:val="3"/>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(2,219,600</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(3,256,900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340"/>
              <w:spacing w:after="0"/>
              <w:rPr>
                <w:sz w:val="20"/>
                <w:szCs w:val="20"/>
                <w:color w:val="auto"/>
              </w:rPr>
            </w:pPr>
            <w:r>
              <w:rPr>
                <w:rFonts w:ascii="Arial" w:cs="Arial" w:eastAsia="Arial" w:hAnsi="Arial"/>
                <w:sz w:val="18"/>
                <w:szCs w:val="18"/>
                <w:color w:val="auto"/>
              </w:rPr>
              <w:t>Proceeds from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1,565,400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 of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(5,201,600)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(1,290,800)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340"/>
              <w:spacing w:after="0"/>
              <w:rPr>
                <w:sz w:val="20"/>
                <w:szCs w:val="20"/>
                <w:color w:val="auto"/>
              </w:rPr>
            </w:pPr>
            <w:r>
              <w:rPr>
                <w:rFonts w:ascii="Arial" w:cs="Arial" w:eastAsia="Arial" w:hAnsi="Arial"/>
                <w:sz w:val="18"/>
                <w:szCs w:val="18"/>
                <w:color w:val="auto"/>
              </w:rPr>
              <w:t>Principal payments on capital lease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(20,900)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(5,222,500)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274,600</w:t>
            </w:r>
          </w:p>
        </w:tc>
        <w:tc>
          <w:tcPr>
            <w:tcW w:w="0" w:type="dxa"/>
            <w:vAlign w:val="bottom"/>
          </w:tcPr>
          <w:p>
            <w:pPr>
              <w:spacing w:after="0"/>
              <w:rPr>
                <w:sz w:val="1"/>
                <w:szCs w:val="1"/>
                <w:color w:val="auto"/>
              </w:rPr>
            </w:pPr>
          </w:p>
        </w:tc>
      </w:tr>
      <w:tr>
        <w:trPr>
          <w:trHeight w:val="223"/>
        </w:trPr>
        <w:tc>
          <w:tcPr>
            <w:tcW w:w="9120" w:type="dxa"/>
            <w:vAlign w:val="bottom"/>
            <w:gridSpan w:val="3"/>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(294,300)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1,161,400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850,900</w:t>
            </w:r>
          </w:p>
        </w:tc>
        <w:tc>
          <w:tcPr>
            <w:tcW w:w="0" w:type="dxa"/>
            <w:vAlign w:val="bottom"/>
          </w:tcPr>
          <w:p>
            <w:pPr>
              <w:spacing w:after="0"/>
              <w:rPr>
                <w:sz w:val="1"/>
                <w:szCs w:val="1"/>
                <w:color w:val="auto"/>
              </w:rPr>
            </w:pPr>
          </w:p>
        </w:tc>
      </w:tr>
      <w:tr>
        <w:trPr>
          <w:trHeight w:val="223"/>
        </w:trPr>
        <w:tc>
          <w:tcPr>
            <w:tcW w:w="91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867,100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340"/>
              <w:spacing w:after="0"/>
              <w:rPr>
                <w:sz w:val="20"/>
                <w:szCs w:val="20"/>
                <w:color w:val="auto"/>
              </w:rPr>
            </w:pPr>
            <w:r>
              <w:rPr>
                <w:rFonts w:ascii="Arial" w:cs="Arial" w:eastAsia="Arial" w:hAnsi="Arial"/>
                <w:sz w:val="18"/>
                <w:szCs w:val="18"/>
                <w:color w:val="auto"/>
              </w:rPr>
              <w:t>Cash paid during the year for: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1,666,800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2,080,000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700"/>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2,673,700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1,618,000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340"/>
              <w:spacing w:after="0"/>
              <w:rPr>
                <w:sz w:val="20"/>
                <w:szCs w:val="20"/>
                <w:color w:val="auto"/>
              </w:rPr>
            </w:pPr>
            <w:r>
              <w:rPr>
                <w:rFonts w:ascii="Arial" w:cs="Arial" w:eastAsia="Arial" w:hAnsi="Arial"/>
                <w:sz w:val="18"/>
                <w:szCs w:val="18"/>
                <w:color w:val="auto"/>
              </w:rPr>
              <w:t>Property and equipment acquired under capital leases</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41,400</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Description</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SPH Holdings, Inc. (“SPHHI”), which was incorporated on November 1, 2010 under the General Corporation Law of the State of Delaware, is the sole stockholder of Stauber Holdings, Inc. (“Holdings”), which is the sole stockholder of Stauber Performance Ingredients, Inc. dba Stauber California (“SCA”), which is the sole member of Stauber Performance Ingredients, LLC (“SPILLC”) (together, the “Company”). SCA is the only active operating company; SPHHI and Holdings are passive holding companies that may generate interest income or transaction costs. SPHHI is a holding company which monitors the operating company and may engage in strategic acquisitions for the Company. SCA distributes food ingredients, nutrients, and fine chemicals in bulk to processors and manufacturers in the food, nutritional supplement, and pharmaceutical industries.</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May 21, 2012, SPHHI acquired all of the outstanding equity securities of Gadot USA, Inc. (“Gadot”), the parent and sole stockholder of Pharmline, Inc. dba Stauber New York (“SNY”), a value-added manufacturer and distributor of nutraceutical products located in Florida, New York. SNY was acquired to expand the Company’s geographic presence and manufacturing capabilities.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SPHHI, Holdings, SCA, SNY and SPILLC. All intercompany accounts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(“GAAP”). Accordingly, they do not include all of the information and footnotes required by GAAP for complete financial statements. These unaudited consolidated financial statements should be read in conjunction with the consolidated financial statements of the Company for the year ended December 31, 2014. In the opinion of management, all adjustments, consisting of normal recurring accruals considered necessary for a fair presentation, have been included.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2016-02, </w:t>
      </w:r>
      <w:r>
        <w:rPr>
          <w:rFonts w:ascii="Arial" w:cs="Arial" w:eastAsia="Arial" w:hAnsi="Arial"/>
          <w:sz w:val="17"/>
          <w:szCs w:val="17"/>
          <w:i w:val="1"/>
          <w:iCs w:val="1"/>
          <w:color w:val="auto"/>
        </w:rPr>
        <w:t>Leases</w:t>
      </w:r>
      <w:r>
        <w:rPr>
          <w:rFonts w:ascii="Arial" w:cs="Arial" w:eastAsia="Arial" w:hAnsi="Arial"/>
          <w:sz w:val="17"/>
          <w:szCs w:val="17"/>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evaluating the impact of our pending adoption of the new standard on the consolidated financial statements.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November 2015, FASB issued ASU 2015-17, </w:t>
      </w:r>
      <w:r>
        <w:rPr>
          <w:rFonts w:ascii="Arial" w:cs="Arial" w:eastAsia="Arial" w:hAnsi="Arial"/>
          <w:sz w:val="18"/>
          <w:szCs w:val="18"/>
          <w:i w:val="1"/>
          <w:iCs w:val="1"/>
          <w:color w:val="auto"/>
        </w:rPr>
        <w:t>Income Taxes (Topic 740)</w:t>
      </w:r>
      <w:r>
        <w:rPr>
          <w:rFonts w:ascii="Arial" w:cs="Arial" w:eastAsia="Arial" w:hAnsi="Arial"/>
          <w:sz w:val="18"/>
          <w:szCs w:val="18"/>
          <w:color w:val="auto"/>
        </w:rPr>
        <w:t>. Current GAAP requires an entity to separate deferred income tax liabilities and assets into current and noncurrent amounts in a classified statement of financial position. To simplify the presentation of deferred income taxes, the amendments in this ASU require that deferred tax liabilities and assets be classified as noncurrent in a classified statement of financial position. The amendments in this ASU apply to all entities that present a classified statement of financial position. The new standard is effective for fiscal years beginning after December 15, 2016, including interim periods within those fiscal years with early adoption permitted. The Company does not expect that this guidance will have a material impact on its consolidated financial statements.</w:t>
      </w:r>
    </w:p>
    <w:p>
      <w:pPr>
        <w:spacing w:after="0" w:line="193"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 xml:space="preserve">In July 2015, FASB issued ASU 2015-11, </w:t>
      </w:r>
      <w:r>
        <w:rPr>
          <w:rFonts w:ascii="Arial" w:cs="Arial" w:eastAsia="Arial" w:hAnsi="Arial"/>
          <w:sz w:val="17"/>
          <w:szCs w:val="17"/>
          <w:i w:val="1"/>
          <w:iCs w:val="1"/>
          <w:color w:val="auto"/>
        </w:rPr>
        <w:t>Inventory (Topic 330)</w:t>
      </w:r>
      <w:r>
        <w:rPr>
          <w:rFonts w:ascii="Arial" w:cs="Arial" w:eastAsia="Arial" w:hAnsi="Arial"/>
          <w:sz w:val="17"/>
          <w:szCs w:val="17"/>
          <w:color w:val="auto"/>
        </w:rPr>
        <w:t>. Topic 330 currently requires an entity to measure inventory at the lower of cost or market, where market could be replacement cost, net realizable value, or net realizable value less an approximately normal profit margin. This ASU limits the scope to inventory that is measured using first-in, first-out (FIFO) or average cost and requires inventory be measured at the lower of costs or net realizable value. The new standard is effective for fiscal years beginning after December 15, 2016, including interim periods within those fiscal years. The Company does not expect that this guidance will have a material impact on its consolidated financial statements.</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April 2015, FASB issued ASU 2015-03, </w:t>
      </w:r>
      <w:r>
        <w:rPr>
          <w:rFonts w:ascii="Arial" w:cs="Arial" w:eastAsia="Arial" w:hAnsi="Arial"/>
          <w:sz w:val="17"/>
          <w:szCs w:val="17"/>
          <w:i w:val="1"/>
          <w:iCs w:val="1"/>
          <w:color w:val="auto"/>
        </w:rPr>
        <w:t>Interest – Imputation of Interest (Subtopic 835-30): Simplifying the Presentation of Debt Issuance Costs</w:t>
      </w:r>
      <w:r>
        <w:rPr>
          <w:rFonts w:ascii="Arial" w:cs="Arial" w:eastAsia="Arial" w:hAnsi="Arial"/>
          <w:sz w:val="17"/>
          <w:szCs w:val="17"/>
          <w:color w:val="auto"/>
        </w:rPr>
        <w:t>. This ASU requires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ASU. ASU 2015-03 is effective for financials statement issued for fiscal years beginning after December 15, 2015, with early adoption permitted. The Company does not expect that this guidance will have a material impact on its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recognizes revenue when products are shipped to customers and title has passed, the price is fixed and determinable, and collectability is reasonably assured.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Amounts billed to customers for shipping and handling are recorded as revenue. Freight costs associated with shipping goods to customers are not included in cost of sales. Shipping and handling costs of $839,300 and $746,000 are included in selling, general, and administrative expenses for the nine month periods ended September 30, 2015 and 2014,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primarily of accounts receivable. The Company performs ongoing credit evaluations of its customers’ financial condition and limits the amount of credit extended when deemed necessary but generally requires no collateral. The Company maintains allowances for estimated credit losses, and historically such losses have been within management’s estimates.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68" w:name="page69"/>
    <w:bookmarkEnd w:id="6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In addition, the Company is subject to counterparty risk on certain cash and investments balances held at a financial institution. The Company places its cash with high credit quality financial institutions. The Company maintains bank accounts at financial institutions, which at times may exceed amounts insured by the Federal Deposit Insurance Corporation (“FDIC”). The Company has never experienced any losses related to these balances. Cash balances are insured up to $250,000 per depositor at each financial institution. At September 30, 2015, the Company’s cash balance exceeded the insured amount.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to be cash equivalents. Cash equivalents are stated at cost, which approximates fair value.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Bad Debts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Accounts receivable are customer obligations due under normal trade terms. The Company performs continuing credit evaluations of the customers’ financial condition and generally does not require collateral. The allowance for bad debts is maintained at a level that, in management’s opinion, is adequate to absorb potential losses related to trade receivables. The allowance for bad debts is based upon management’s continuous evaluation of the collectability of outstanding receivables.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Management’s evaluation takes into consideration such factors as past bad debt experience, economic conditions, and information about specific receivables. The allowance for bad debts is based on estimates and ultimate losses may vary from current estimates. As adjustments to these estimates become necessary, they are reported in earnings in the years that they become known. The allowance is increased by bad debt provisions charged to operating expense and reduced by direct write-offs, net of recoveries.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Inventories consist substantially of raw materials, work-in-process and finished goods and are stated at the lower of cost or market. Cost is determined using the first-in, first-out method (see Note 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Property and equipment are stated at cost less accumulated depreciation. Expenditures for major additions, improvements and capital leases are capitalized, while minor replacements, maintenance and repairs are charged to expense as incurred. Depreciation is provided over the estimated useful lives of the assets involved using the straight-line method. The range of estimated useful lives is as follows:</w:t>
      </w:r>
    </w:p>
    <w:p>
      <w:pPr>
        <w:spacing w:after="0" w:line="204"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8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Arial" w:cs="Arial" w:eastAsia="Arial" w:hAnsi="Arial"/>
                <w:sz w:val="14"/>
                <w:szCs w:val="14"/>
                <w:color w:val="auto"/>
              </w:rPr>
              <w:t>Years</w:t>
            </w: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Buildings</w:t>
            </w:r>
          </w:p>
        </w:tc>
        <w:tc>
          <w:tcPr>
            <w:tcW w:w="4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 to 12</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Computers</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to 5</w:t>
            </w:r>
          </w:p>
        </w:tc>
      </w:tr>
      <w:tr>
        <w:trPr>
          <w:trHeight w:val="365"/>
        </w:trPr>
        <w:tc>
          <w:tcPr>
            <w:tcW w:w="2860" w:type="dxa"/>
            <w:vAlign w:val="bottom"/>
          </w:tcPr>
          <w:p>
            <w:pPr>
              <w:spacing w:after="0"/>
              <w:rPr>
                <w:sz w:val="24"/>
                <w:szCs w:val="24"/>
                <w:color w:val="auto"/>
              </w:rPr>
            </w:pPr>
          </w:p>
        </w:tc>
        <w:tc>
          <w:tcPr>
            <w:tcW w:w="4240" w:type="dxa"/>
            <w:vAlign w:val="bottom"/>
          </w:tcPr>
          <w:p>
            <w:pPr>
              <w:jc w:val="right"/>
              <w:ind w:right="309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270" w:right="29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Leasehold improvements are depreciated over the lesser of the useful life or the remaining term of the lease. Construction in progress is not depreciated until the related asset is completed and placed in service (see Note 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 reviews long-lived assets, including intangible assets, for impairment whenever events or circumstances indicate that the carrying amount of any such asset may not be fully recoverable. The determination of recoverability is based on an estimate of the undiscounted cash flows expected to result from the use of an asset and its eventual disposition. If the sum of the undiscounted cash flows, excluding interest, is less than the carrying value, the Company recognizes an impairment loss, measured as the amount by which the carrying value exceeds the fair value of the asset. No impairment charges were recorded during the nine month periods ended September 30, 2015 and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range of estimated remaining useful lives for intangible assets is as follows:</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7020" w:type="dxa"/>
            <w:vAlign w:val="bottom"/>
          </w:tcPr>
          <w:p>
            <w:pPr>
              <w:spacing w:after="0"/>
              <w:rPr>
                <w:sz w:val="14"/>
                <w:szCs w:val="14"/>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color w:val="auto"/>
              </w:rPr>
              <w:t>Years</w:t>
            </w: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to 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 to 15</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 to 10</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tests goodwill for impairment on an annual basis or upon the occurrence of a triggering event that indicates that the fair value of the Company may be below its carrying amount. Upon occurrence of a triggering event the Company may first assess qualitative factors to determine whether further quantitative analysis is necessary. If the qualitative assessment indicates that it is more likely than not that goodwill is impaired, the Company will perform a quantitative test to compare the Company’s estimated fair value to its book value. If the estimated fair value exceeds book value, goodwill is considered not to be impaired and no additional steps are necessary. If the book value of the Company exceeds estimated fair value, the difference is recorded as goodwill impairment.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 impairment charges were recorded during the nine month periods ended September 30, 2015 and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significant estimates include allowances for doubtful accounts, reserve for inventory obsolescence, realizability of deferred tax assets and liabilities, useful lives for depreciation and amortization and assessing the need for impairment charges (intangible assets and goodwill). Actual results could differ materially from those estimates.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files tax returns for federal and state purposes at the SPHHI level. Deferred income tax assets and liabilities are computed annually for differences between the financial statement and income tax bases of assets and liabilities. Such deferred income tax asset and liability computations are based on enacted tax laws and rates applicable to years in which the differences are expected to reverse. A valuation allowance is established, when necessary, to reduce deferred income tax assets to the amount expected to be realized. Income tax expense is the tax payable or refundable for the period, plus or minus the change during the period in deferred income tax assets and liabilities.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follows the recognition and disclosure provisions under guidance contained in Accounting Standards Codification (“ASC”) 740, </w:t>
      </w:r>
      <w:r>
        <w:rPr>
          <w:rFonts w:ascii="Arial" w:cs="Arial" w:eastAsia="Arial" w:hAnsi="Arial"/>
          <w:sz w:val="18"/>
          <w:szCs w:val="18"/>
          <w:i w:val="1"/>
          <w:iCs w:val="1"/>
          <w:color w:val="auto"/>
        </w:rPr>
        <w:t>Income Taxes</w:t>
      </w:r>
      <w:r>
        <w:rPr>
          <w:rFonts w:ascii="Arial" w:cs="Arial" w:eastAsia="Arial" w:hAnsi="Arial"/>
          <w:sz w:val="18"/>
          <w:szCs w:val="18"/>
          <w:color w:val="auto"/>
        </w:rPr>
        <w:t>. Under this guidance, tax positions are evaluated for recognition using a more-likely-than-not threshold, and those tax positions requiring recognition are measured as the largest amount of tax benefit that is greater than fifty percent likely of being realized upon ultimate settlement with a taxing authority that has full knowledge of all relevant information. The Company does not have any material accrued interest or penalties associated with any unrecognized tax benefits. As of September 30, 2015 and 2014, the Company recorded $145,000 and $145,000, respectively, related to uncertain tax positions in connection with ASC 740.</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Debt Discount</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Financing costs were incurred in connection with the issuance and amendment of the Company’s financing arrangements (see Note 6). These costs have been capitalized and are reflected as debt issuance costs on the balance sheet or as a discount to the related debt, depending upon whether the financing costs have been paid to lenders or third parties. Debt issuance costs and the debt discount are being amortized using the effective interest rate method over the term of the loans and are included as a component of interest expense on the accompanying consolidated statements of income. Amortization expense related to debt issuance and debt discount costs were $25,900 and $31,800, respectively, for the nine month period ended September 30, 2015. Amortization expense related to debt issuance and debt discount costs were $44,700 and $80,500, respectively, for the nine month period ended September 30, 2014.</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financial instruments are primarily composed of cash and cash equivalents, trade accounts receivable, accounts payable, accrued expenses and debt. The fair value of cash and cash equivalents, trade accounts receivable, accounts payable and accrued expenses closely approximate their carrying value due to their short maturities. The fair value of debt closely approximates its carrying value because the terms of the debt approximate terms available in the market for debt of a similar credit risk profile for a similar duration. The fair value of related party transactions is not determinable due to the nature of these transactions.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71" w:name="page72"/>
    <w:bookmarkEnd w:id="7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as of September 30, 2015 and 2014,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6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7,977,000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7,900,400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Spare parts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6,300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142,300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3,979,600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4,621,000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12,105,200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12,589,500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Reserve for obsolescence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(1,123,300)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(1,036,300)</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7"/>
              </w:rPr>
              <w:t>$</w:t>
            </w:r>
            <w:r>
              <w:rPr>
                <w:rFonts w:ascii="Arial" w:cs="Arial" w:eastAsia="Arial" w:hAnsi="Arial"/>
                <w:sz w:val="18"/>
                <w:szCs w:val="18"/>
                <w:b w:val="1"/>
                <w:bCs w:val="1"/>
                <w:color w:val="auto"/>
                <w:w w:val="97"/>
              </w:rPr>
              <w:t>10,981,900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11,553,200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0" w:type="dxa"/>
            <w:vAlign w:val="bottom"/>
            <w:gridSpan w:val="2"/>
          </w:tcPr>
          <w:p>
            <w:pPr>
              <w:spacing w:after="0"/>
              <w:rPr>
                <w:sz w:val="20"/>
                <w:szCs w:val="20"/>
                <w:color w:val="auto"/>
              </w:rPr>
            </w:pPr>
            <w:r>
              <w:rPr>
                <w:rFonts w:ascii="Arial" w:cs="Arial" w:eastAsia="Arial" w:hAnsi="Arial"/>
                <w:sz w:val="18"/>
                <w:szCs w:val="18"/>
                <w:color w:val="auto"/>
              </w:rPr>
              <w:t>Property and equipment as of September 30, 2015 and 2014 consisted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6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2014</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7"/>
              </w:rPr>
              <w:t>5,813,100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2,118,500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5,401,000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3,287,200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Computers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7"/>
              </w:rPr>
              <w:t>1,362,000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1,305,000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136,200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78,900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213,900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2,897,200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13,555,100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10,373,200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(2,488,100)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(1,323,400)</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11,067,000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9,049,800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the nine month periods ended September 30, 2015 and 2014, the Company recorded $916,100 and $360,200, respectively, in depreciation expense, which is included in cost of sales and selling, general, and administrative expenses in the accompanying consolidated statements of operations.</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Included within the property and equipment balance are assets under capital leases with a cost of $143,400 and $0 as of September 30, 2015 and 2014 with associated depreciation expense of $25,700 and $0, respectively.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0" w:right="27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2015,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14"/>
                <w:szCs w:val="14"/>
                <w:color w:val="auto"/>
                <w:w w:val="90"/>
              </w:rPr>
              <w:t>Gross</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Net</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36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8"/>
              </w:rPr>
              <w:t>Carrying</w:t>
            </w: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3"/>
              </w:rPr>
              <w:t>Accumulated</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8"/>
              </w:rPr>
              <w:t>Carrying</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4"/>
                <w:szCs w:val="14"/>
                <w:color w:val="auto"/>
                <w:w w:val="89"/>
              </w:rPr>
              <w:t>Value</w:t>
            </w: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Amortization</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$12,120,000</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$(12,088,800)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Backlog</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310,000</w:t>
            </w:r>
          </w:p>
        </w:tc>
        <w:tc>
          <w:tcPr>
            <w:tcW w:w="4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(310,000)</w:t>
            </w:r>
          </w:p>
        </w:tc>
        <w:tc>
          <w:tcPr>
            <w:tcW w:w="10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12,610,000</w:t>
            </w:r>
          </w:p>
        </w:tc>
        <w:tc>
          <w:tcPr>
            <w:tcW w:w="4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(4,464,200)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8,145,800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Trademarks/trade names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7,300,000</w:t>
            </w:r>
          </w:p>
        </w:tc>
        <w:tc>
          <w:tcPr>
            <w:tcW w:w="4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(3,458,100)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3,841,900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700,000</w:t>
            </w:r>
          </w:p>
        </w:tc>
        <w:tc>
          <w:tcPr>
            <w:tcW w:w="4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(700,000)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33,040,000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(21,021,100</w:t>
            </w:r>
          </w:p>
        </w:tc>
        <w:tc>
          <w:tcPr>
            <w:tcW w:w="480" w:type="dxa"/>
            <w:vAlign w:val="bottom"/>
          </w:tcPr>
          <w:p>
            <w:pPr>
              <w:jc w:val="right"/>
              <w:ind w:right="34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12,018,900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Intangible assets as of September 30, 2014, consisted of the following:</w:t>
            </w: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9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14"/>
                <w:szCs w:val="14"/>
                <w:color w:val="auto"/>
                <w:w w:val="90"/>
              </w:rPr>
              <w:t>Gross</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Net</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36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8"/>
              </w:rPr>
              <w:t>Carrying</w:t>
            </w: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3"/>
              </w:rPr>
              <w:t>Accumulated</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8"/>
              </w:rPr>
              <w:t>Carrying</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4"/>
                <w:szCs w:val="14"/>
                <w:color w:val="auto"/>
                <w:w w:val="89"/>
              </w:rPr>
              <w:t>Value</w:t>
            </w: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Amortization</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$12,120,000</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$(10,738,700)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1,381,300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Backlog</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310,000</w:t>
            </w:r>
          </w:p>
        </w:tc>
        <w:tc>
          <w:tcPr>
            <w:tcW w:w="4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(310,000)</w:t>
            </w:r>
          </w:p>
        </w:tc>
        <w:tc>
          <w:tcPr>
            <w:tcW w:w="10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12,610,000</w:t>
            </w:r>
          </w:p>
        </w:tc>
        <w:tc>
          <w:tcPr>
            <w:tcW w:w="4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(3,409,100)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9,200,900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Trademarks/trade names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7,300,000</w:t>
            </w:r>
          </w:p>
        </w:tc>
        <w:tc>
          <w:tcPr>
            <w:tcW w:w="4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(2,599,600)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4,700,400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700,000</w:t>
            </w:r>
          </w:p>
        </w:tc>
        <w:tc>
          <w:tcPr>
            <w:tcW w:w="4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33,040,000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(17,757,400</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15,282,600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Intangible assets are amortized over estimated useful lives ranging from less than one year to fifteen years, with no residual values. Consolidated amortization expense for the nine month periods ended September 30, 2015 and 2014 was $1,956,400 and $3,921,800,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values of intangible assets are outlined in the table below:</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Intangible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January 1, 2015</w:t>
            </w:r>
          </w:p>
        </w:tc>
        <w:tc>
          <w:tcPr>
            <w:tcW w:w="37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$13,975,300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Amortization</w:t>
            </w:r>
          </w:p>
        </w:tc>
        <w:tc>
          <w:tcPr>
            <w:tcW w:w="37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(1,956,400)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September 30, 2015</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12,018,900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2014</w:t>
            </w:r>
          </w:p>
        </w:tc>
        <w:tc>
          <w:tcPr>
            <w:tcW w:w="37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gridSpan w:val="2"/>
            <w:vMerge w:val="continue"/>
          </w:tcPr>
          <w:p>
            <w:pPr>
              <w:spacing w:after="0"/>
              <w:rPr>
                <w:sz w:val="18"/>
                <w:szCs w:val="18"/>
                <w:color w:val="auto"/>
              </w:rPr>
            </w:pPr>
          </w:p>
        </w:tc>
        <w:tc>
          <w:tcPr>
            <w:tcW w:w="37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$19,204,400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4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(3,921,800)</w:t>
            </w:r>
          </w:p>
        </w:tc>
        <w:tc>
          <w:tcPr>
            <w:tcW w:w="0" w:type="dxa"/>
            <w:vAlign w:val="bottom"/>
          </w:tcPr>
          <w:p>
            <w:pPr>
              <w:spacing w:after="0"/>
              <w:rPr>
                <w:sz w:val="1"/>
                <w:szCs w:val="1"/>
                <w:color w:val="auto"/>
              </w:rPr>
            </w:pPr>
          </w:p>
        </w:tc>
      </w:tr>
      <w:tr>
        <w:trPr>
          <w:trHeight w:val="223"/>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September 30, 2014</w:t>
            </w:r>
          </w:p>
        </w:tc>
        <w:tc>
          <w:tcPr>
            <w:tcW w:w="37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15,282,600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780" w:type="dxa"/>
            <w:vAlign w:val="bottom"/>
            <w:vMerge w:val="restart"/>
          </w:tcPr>
          <w:p>
            <w:pPr>
              <w:jc w:val="right"/>
              <w:ind w:right="2690"/>
              <w:spacing w:after="0"/>
              <w:rPr>
                <w:sz w:val="20"/>
                <w:szCs w:val="20"/>
                <w:color w:val="auto"/>
              </w:rPr>
            </w:pPr>
            <w:r>
              <w:rPr>
                <w:rFonts w:ascii="Arial" w:cs="Arial" w:eastAsia="Arial" w:hAnsi="Arial"/>
                <w:sz w:val="18"/>
                <w:szCs w:val="18"/>
                <w:color w:val="auto"/>
              </w:rPr>
              <w:t>11</w:t>
            </w: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Term Loan</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had a senior secured term loan agreement (the “Loan Agreement”) collateralized by substantially all of the Company’s assets. The Loan Agreement provided for a senior secured long term loan in the aggregate principal amount of $36,200,000. The Loan Agreement required the Company to make scheduled payments of interest and principal and allowed prepayment of principal under specific conditions. Interest accrued at the greater of LIBOR plus 7.5% or 10.5%.</w:t>
      </w:r>
    </w:p>
    <w:p>
      <w:pPr>
        <w:spacing w:after="0" w:line="18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November 2014, the Company entered into an Amended and Restated Senior Secured Loan Agreement (the “Restated Agreement”) which converted the existing outstanding balances of the Loan Agreement and Amendment into two equal loans, (“Term A Loan” and “Term B Loan”), each in the amounts of $11,165,600, secured by substantially all of the Company’s assets. The Restated Agreement requires the Company to make scheduled payments of interest and principal and allows prepayment of principal under specific conditions. Term A Loan carries an interest rate of 7.5% and Term B Loan carries an interest rate of 10.5% with a maturity date of November 24, 2019. The Restated Agreement was accounted for as a debt modification.</w:t>
      </w:r>
    </w:p>
    <w:p>
      <w:pPr>
        <w:spacing w:after="0" w:line="15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2015 and 2014, the principal balances on the Term A and Term B loans were $19,311,100 and $22,331,300, respectively. During the periods ended September 30, 2015 and 2014, the Company made advance payments of $2,500,000 and $0, respectively, in addition to its obligatory principal and interest payments.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Company’s revolving credit facility (the “Credit Agreement”) provides for revolving borrowings up to $20,000,000 with a priority interest on the Company’s accounts receivable and inventory.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November 2014, the Company entered into the fourth amendment to the Credit Agreement (the “Fourth Amendment”) which extended the maturity date to July 23, 2017. The Fourth Amendment provides for revolving borrowings up to $20,000,000 with a priority interest on the Company’s accounts receivable and inventory. The credit facility carries a variable interest rate based on LIBOR plus a defined margin and a commitment fee of 0.25% on any unused balance. As of September 30, 2015 and 2014, $7,000,000 and $8,969,200, respectively, was outstanding on the revolving credit facility with interest rates ranging from 2.69% to 3.25% per annum.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July 20, 2012, the Company entered into a real estate loan agreement (the “Real Estate Loan Agreement”) with a senior lender. The real estate loan provides for a term loan in the aggregate principal amount of $1,720,000, with principal payments of $7,167 due each calendar month end commencing on July 31, 2012 with a maturity date of July 20, 2017. The interest rate is computed over 360 days at the one-month LIBOR plus a 2.5% margin. At September 30, 2015 and 2014, $1,440,500 and $1,526,500, respectively, was outstanding on the real estate loan and the interest rate was 2.70% and 2.67%, respectively.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0" w:right="27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terms of the Loan Agreement and Credit Agreement require the Company to maintain a certain fixed-charge coverage ratio and minimum earnings before interest, taxes, depreciation, and amortization (“EBITDA”). The Loan Agreement also contains certain restrictive covenants, including limitations on additional debt; acquisition by the Company of the stock of, or merger with other corporations; dividend payments; and asset sales. The Company was in compliance with all such covenants and ratios as of September 30, 2015 and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Debt as of September 30, 2015 and 2014 consists of the following:</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300" w:type="dxa"/>
            <w:vAlign w:val="bottom"/>
            <w:gridSpan w:val="2"/>
          </w:tcPr>
          <w:p>
            <w:pPr>
              <w:spacing w:after="0"/>
              <w:rPr>
                <w:sz w:val="20"/>
                <w:szCs w:val="20"/>
                <w:color w:val="auto"/>
              </w:rPr>
            </w:pPr>
            <w:r>
              <w:rPr>
                <w:rFonts w:ascii="Arial" w:cs="Arial" w:eastAsia="Arial" w:hAnsi="Arial"/>
                <w:sz w:val="14"/>
                <w:szCs w:val="14"/>
                <w:i w:val="1"/>
                <w:iCs w:val="1"/>
                <w:color w:val="auto"/>
              </w:rPr>
              <w:t>September 30,</w:t>
            </w:r>
          </w:p>
        </w:tc>
        <w:tc>
          <w:tcPr>
            <w:tcW w:w="9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1100" w:type="dxa"/>
            <w:vAlign w:val="bottom"/>
            <w:gridSpan w:val="2"/>
          </w:tcPr>
          <w:p>
            <w:pPr>
              <w:jc w:val="right"/>
              <w:ind w:right="21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4"/>
                <w:szCs w:val="14"/>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03"/>
        </w:trPr>
        <w:tc>
          <w:tcPr>
            <w:tcW w:w="6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Senior term loan</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$19,311,100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$22,331,300</w:t>
            </w:r>
          </w:p>
        </w:tc>
        <w:tc>
          <w:tcPr>
            <w:tcW w:w="120" w:type="dxa"/>
            <w:vAlign w:val="bottom"/>
            <w:shd w:val="clear" w:color="auto" w:fill="CCEEFF"/>
          </w:tcPr>
          <w:p>
            <w:pPr>
              <w:spacing w:after="0"/>
              <w:rPr>
                <w:sz w:val="17"/>
                <w:szCs w:val="17"/>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7,000,000</w:t>
            </w: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8,969,200</w:t>
            </w:r>
          </w:p>
        </w:tc>
        <w:tc>
          <w:tcPr>
            <w:tcW w:w="12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loan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1,440,500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1,526,500</w:t>
            </w:r>
          </w:p>
        </w:tc>
        <w:tc>
          <w:tcPr>
            <w:tcW w:w="120" w:type="dxa"/>
            <w:vAlign w:val="bottom"/>
            <w:shd w:val="clear" w:color="auto" w:fill="CCEEFF"/>
          </w:tcPr>
          <w:p>
            <w:pPr>
              <w:spacing w:after="0"/>
              <w:rPr>
                <w:sz w:val="18"/>
                <w:szCs w:val="18"/>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27,751,600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32,827,000</w:t>
            </w:r>
          </w:p>
        </w:tc>
        <w:tc>
          <w:tcPr>
            <w:tcW w:w="120" w:type="dxa"/>
            <w:vAlign w:val="bottom"/>
          </w:tcPr>
          <w:p>
            <w:pPr>
              <w:spacing w:after="0"/>
              <w:rPr>
                <w:sz w:val="19"/>
                <w:szCs w:val="19"/>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debt discount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(191,500)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(172,300)</w:t>
            </w:r>
          </w:p>
        </w:tc>
      </w:tr>
      <w:tr>
        <w:trPr>
          <w:trHeight w:val="223"/>
        </w:trPr>
        <w:tc>
          <w:tcPr>
            <w:tcW w:w="8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27,560,100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32,654,700</w:t>
            </w:r>
          </w:p>
        </w:tc>
        <w:tc>
          <w:tcPr>
            <w:tcW w:w="120" w:type="dxa"/>
            <w:vAlign w:val="bottom"/>
          </w:tcPr>
          <w:p>
            <w:pPr>
              <w:spacing w:after="0"/>
              <w:rPr>
                <w:sz w:val="19"/>
                <w:szCs w:val="19"/>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debt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(280,800)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(2,217,300)</w:t>
            </w:r>
          </w:p>
        </w:tc>
      </w:tr>
      <w:tr>
        <w:trPr>
          <w:trHeight w:val="223"/>
        </w:trPr>
        <w:tc>
          <w:tcPr>
            <w:tcW w:w="8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27,279,300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30,437,400</w:t>
            </w:r>
          </w:p>
        </w:tc>
        <w:tc>
          <w:tcPr>
            <w:tcW w:w="120" w:type="dxa"/>
            <w:vAlign w:val="bottom"/>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Interest expense, including amortization of debt issuance costs and debt discounts was $1,730,100 and $2,260,400, respectively for the nine month periods ended September 30, 2015 and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Company uses an estimated annual effective tax rate, which is based on expected annual income, statutory tax rates and tax planning opportunities available in the various jurisdictions in which the Company operates, to determine its quarterly provision for income taxes. Certain significant or unusual items are separately recognized in the quarter in which they occur and can be a source of variability in the effective tax rates from quarter to quarter.</w:t>
      </w:r>
    </w:p>
    <w:p>
      <w:pPr>
        <w:spacing w:after="0" w:line="14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provision for income taxes was 35.07% and 45.25% of income before income taxes for the periods ended September 30, 2015 and 2014, respectively. The decrease in the effective income tax rate from period to period was primarily driven by the benefit from non-taxable income related to an escrow settlement.</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total amount of unrecognized tax benefits was $145,000 as of September 30, 2015 and 2014. The total balance of accrued interest and penalties related to uncertain tax positions was $49,000 as of September 30, 2015 and $35,000 as of September 30, 2014. The Company recognizes interest and penalties related to uncertain tax positions as a component of income tax expense and the accrued interest and penalties are included in deferred and other long-term liabilities in the Company’s consolidated balance sheets. There was $10,000 of interest and penalties included in income tax expense for the nine month periods ended September 30, 2015.</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2015 and 2014, the Company held two promissory notes from minority stockholders that accrue interest at 5% per annum. The interest 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added to the principal if unpaid. At September 30, 2015 and 2014, the combined notes had outstanding unpaid principal in the amount of $326,500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$312,400, respectively, and are presented as a reduction to stockholders’ equity in the accompanying consolidated balance sheets. Such amounts represent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portion of the purchase consideration for preferred stock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Company leases its corporate office building from a stockholder. For the nine month periods ended September 30, 2015 and 2014, rental expense was</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$41,700 and $41,700, respectively, which was attributed to the stockholder and included in selling, general, and administrative expenses in the accompanying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Under a management agreement, during the nine month periods ended September 30, 2015 and 2014, the Company incurred and paid $491,600 and</w:t>
      </w:r>
    </w:p>
    <w:p>
      <w:pPr>
        <w:spacing w:after="0" w:line="35"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$544,200, respectively, in monitoring fees and reimbursable expenses to ICV Partners, LLC, and the investment manager of the majority stockholder of the Company. Under this agreement, the Company shall incur and pay ICV Partners, LLC an annual monitoring fee equal to the greater of 5% of consolidated adjusted EBITDA as defined in the related purchase agreement or $400,000, paid quarterly.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leases its corporate office building under a non-cancelable and long-term operating lease from individuals, one of whom is a stockholder in the Company. The lease expires on January 21, 2016 with an option to renew the term of the lease for a subsequent five year period (see Note 12). The monthly base rent is $39,300 per month, of which 11.8% is attributable to a stockholder of the Company. SNY leases a warehouse building under a non-cancelable and long-term operating lease from a third party. The lease expires December 31, 2016. The monthly base rent is $15,750. The Company has various operating leases on certain operating equipment, which are in place through July 2017.</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Rent expense incurred and charged to operations was approximately $495,500 and $491,500 for the nine month periods ended September 30, 2015 and 2014, respectively, and is included as $141,800 and $137,800, respectively, in cost of sales and $353,700 and $353,700, respectively, in selling, general, and administrative expenses in the accompanying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leases certain equipment under agreements that are classified as capital leases. The aggregate capital lease obligation as of September 30, 2015 and 2014 was $114,300 and $0,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is involved from time to time in certain legal actions and claims arising in the ordinary course of business. Management believes that the outcome of such litigation and claims, should they arise in the future, is not likely to have a material effect on the Company’s consolidated financial position or results of operations.</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December 2013, the Company received a pre-litigation claim from one of its customers for damages allegedly sustained from a contaminated enzyme supplied by the Company. The Company purchased the enzyme from a third party manufacturer who purchased the product from the enzyme supplier. The customer’s claim requests reimbursement for alleged damages sustained. Management has evaluated the claim made and determined that the range of potential loss to the Company is less than the amount of insurance coverage available to the Company, inclusive of associated legal expense to be reimbursed by the insurance carrier. As of September 30, 2015 and 2014 the Company accrued $150,000 and $50,000, respectively, for the potential loss in connection with this claim that reached settlement in October 2015 (see Note 12).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Indemnities and Guarantees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During the normal course of business, the Company has made certain indemnities and guarantees under which they may be required to make payments in relation to certain transactions. These indemnities include (i) certain real estate leases, under which the Company may be required to indemnify property owners for environmental and other liabilities, and (ii) certain agreements with the Company’s officers under which the Company may be required to indemnify officers for liabilities arising out of their employment relationship. The duration of these indemnities and guarantees varies and in certain cases is indefinite. The majority of these indemnities and guarantees do not provide for any limitation of the maximum potential future payments the Company could be obligated to make. Historically, the Company has not been obligated to make significant payments for these obligations, and no liabilities have been recorded for these indemnities and guarantees in the accompanying consolidated balance sheets.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sponsors a profit-sharing plan (the “401(k) Plan”) under the provisions of Section 401(k) of the Internal Revenue Code. The 401(k) Plan covers all employees who were employed on the effective date of the 401(k) Plan and subsequent eligible employees. The Company can make discretionary contributions to the 401(k) Plan. Under the 401(k) Plan, participating employees may defer a percentage of their pretax salary, but not more than the statutory limits. The Company matches 50% of participating employee’s elective deferral, up to a maximum contribution of 2.5% of their compensation. Maximum compensation for plan purposes for the 2015 and 2014 plan years was $260,000 and $260,000, respectively. The Company’s matching contributions to the 401(k) Plan were approximately $61,700 and $56,100 for the nine month periods ended September 30, 2015 and 2014, respectively, which is included in selling, general, and administrative expenses in the accompanying consolidated statements of operations.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SNY sponsors a safe harbor profit-sharing plan (the “safe harbor 401(k) Plan”) under the provisions of Section 401(k) of the Internal Revenue Code. The safe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harbor 401(k) Plan covers all employees who were employed on the effective date of the safe harbor 401(k) Plan and employees hired subsequent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SNY makes contributions equal to the sum of 100% of the amount of the participating employee’s elective deferrals that do not exceed 3%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their compensation, plus 50% of the amount of their elective deferrals that exceed 3% up to a maximum of 5% of their compensation. This contribution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100% vested. SNY’s matching contribution to the safe harbor Plan for the nine month periods ended September 30, 2015 and 2014 was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$84,900 and $73,000, respectively, which is included in cost of goods sold, selling, general and administrative expenses in the accompanying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statements of operations.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has authorized 49,977 shares of common stock, at $0.001 par value per share, and 320,920 shares of Series A convertible preferred stock, at $0.001 par value per share. As of September 30, 2015 and 2014, the Company had 296,880 shares, of Series A convertible preferred stock issued and outstanding, and no shares of common stock.</w:t>
      </w:r>
    </w:p>
    <w:p>
      <w:pPr>
        <w:spacing w:after="0" w:line="1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Series A convertible preferred stock has a cumulative dividend at an annual rate of 12% of the issuance price that compounds annually from the date of issuance. In a discretionary distribution or liquidity event, the Series A convertible preferred stockholders would have first priority to proceeds up to the issuance price plus accrued but unpaid dividends prior to any amounts paid to holders of common stock or any other class of capital stock, should they be issued at a future date. Shares of Series A convertible preferred stock are convertible into shares of common stock at a price equal to the purchase price plus accrued but unpaid dividends by the purchase price. The conversion price is subject to certain anti-dilution adjustments.</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 dividends were declared as of September 30, 2015 and 2014. Cumulative accrued but undeclared dividends on Series A convertible preferred stock was $18,310,400 and $13,159,700 as of September 30, 2015 and 2014,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March 2014, the Board of Directors approved the SPH Holdings, Inc. 2014 Stock Incentive Plan (the “Plan”) and authorized the issuance of options to purchase 29,688 shares of common stock under the Plan and granted options to purchase 23,454 shares of common stock to employees. These options were modified in July 2015 to change the exercise price of the options from $117.13 to $11.67.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August 2015, the Board of Directors granted options to purchase an additional 2,227 shares of common stock to an employee.</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estimates the fair value of the options awards as of the grant date and recognizes the related expense over the requisite service period. The option awards vest over years ranging from one to four years from the grant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0" w:right="27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SPH Holdings,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used the Black-Scholes option-pricing model to determine the fair value of the option awards on the date of grant using the following assumptions for the nine month period ended September 30, 2015:</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3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$11.67</w:t>
            </w:r>
          </w:p>
        </w:tc>
        <w:tc>
          <w:tcPr>
            <w:tcW w:w="2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Exercise price</w:t>
            </w:r>
          </w:p>
        </w:tc>
        <w:tc>
          <w:tcPr>
            <w:tcW w:w="3200" w:type="dxa"/>
            <w:vAlign w:val="bottom"/>
            <w:gridSpan w:val="2"/>
          </w:tcPr>
          <w:p>
            <w:pPr>
              <w:jc w:val="right"/>
              <w:ind w:right="20"/>
              <w:spacing w:after="0"/>
              <w:rPr>
                <w:sz w:val="20"/>
                <w:szCs w:val="20"/>
                <w:color w:val="auto"/>
              </w:rPr>
            </w:pPr>
            <w:r>
              <w:rPr>
                <w:rFonts w:ascii="Arial" w:cs="Arial" w:eastAsia="Arial" w:hAnsi="Arial"/>
                <w:sz w:val="18"/>
                <w:szCs w:val="18"/>
                <w:color w:val="auto"/>
              </w:rPr>
              <w:t>$11.67</w:t>
            </w:r>
          </w:p>
        </w:tc>
        <w:tc>
          <w:tcPr>
            <w:tcW w:w="2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00" w:type="dxa"/>
            <w:vAlign w:val="bottom"/>
            <w:gridSpan w:val="3"/>
          </w:tcPr>
          <w:p>
            <w:pPr>
              <w:jc w:val="right"/>
              <w:ind w:right="60"/>
              <w:spacing w:after="0"/>
              <w:rPr>
                <w:sz w:val="20"/>
                <w:szCs w:val="20"/>
                <w:color w:val="auto"/>
              </w:rPr>
            </w:pPr>
            <w:r>
              <w:rPr>
                <w:rFonts w:ascii="Arial" w:cs="Arial" w:eastAsia="Arial" w:hAnsi="Arial"/>
                <w:sz w:val="18"/>
                <w:szCs w:val="18"/>
                <w:color w:val="auto"/>
              </w:rPr>
              <w:t>1.94%</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used the Black-Scholes option-pricing model to determine the fair value of the option awards on the date of grant using the following assumptions for the nine month period ended September 30, 2014:</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2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Exercise price</w:t>
            </w:r>
          </w:p>
        </w:tc>
        <w:tc>
          <w:tcPr>
            <w:tcW w:w="2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117.13</w:t>
            </w:r>
          </w:p>
        </w:tc>
        <w:tc>
          <w:tcPr>
            <w:tcW w:w="2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Fair value of these option awards on the date of grant was determined to be de minimis and as such, no compensation expense was recorded in the consolidated financial statements for the nine month periods ended September 30, 2015 and 2014.</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September 30, 2015, there were options to purchase 25,681 shares of common stock with a weighted average strike price of $11.67 and a weighted average life of 2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The Company evaluated subsequent events in accordance with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The Company evaluated subsequent events through March 3, 2016, the date which these financial statements were available to be issued.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October 2015, the Company entered into a settlement agreement with one of its customer for damages allegedly sustained from a contaminated enzyme supplied by the Company. The Company paid $150,000 in settlement which was not covered by the Company’s insurance and this amount was accrued for as of September 30, 2015 (see Note 9).</w:t>
      </w:r>
    </w:p>
    <w:p>
      <w:pPr>
        <w:spacing w:after="0" w:line="18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On November 23, 2015, Hawkins Inc. announced it would acquire the Company, for total consideration of $157 million. The acquisition closed on December 23,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January 21, 2016, the Company exercised the option to renew the term of its corporate office building for a five year period.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0" w:right="29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 December 23, 2015, Hawkins, Inc. (“Hawkins”) acquired SPH Holdings, Inc. (“SPH”) pursuant to a Stock Purchase Agreement by and among Hawkins, SPH, the selling stockholders of SPH (the “SPH Stockholders”) and ICV Manager, LLC (“ICV”), as the representative of the SPH Stockholders. SPH and its subsidiaries doing business as Stauber Performance Ingredients, is a privately held supplier of specialty products and ingredients to the nutritional, food, pharmaceutical, cosmetic and pet care industries.</w:t>
      </w:r>
    </w:p>
    <w:p>
      <w:pPr>
        <w:spacing w:after="0" w:line="187"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color w:val="auto"/>
        </w:rPr>
        <w:t>The following unaudited pro forma condensed combined statements of operations are based on and derived from the separate historical financial statements of Hawkins and SPH to illustrate the effect of (1) the acquisition of SPH by Hawkins, (2) Hawkins’ entry into credit facilities and borrowing thereunder in connection with the acquisition, and (3) the assumptions and pro forma adjustments described in the accompanying notes to the unaudited pro forma condensed combined statements of operations. The following unaudited pro forma condensed combined statements of operations give effect to the acquisition as if it had occurred on March 31, 2014, the beginning of fiscal 2015. The historical consolidated financial information has been adjusted to give effect to pro forma events that are directly attributable to the acquisition and factually supportable, including the borrowing under the credit facilities. The unaudited pro forma condensed combined statements of operations have also been adjusted to give effect to pro forma events that are expected to have a continuing impact on the results of Hawkins after the acquisition.</w:t>
      </w:r>
    </w:p>
    <w:p>
      <w:pPr>
        <w:spacing w:after="0" w:line="17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Because the acquisition was completed within Hawkins’ quarter ended December 27, 2015, the unaudited condensed consolidated balance sheet included in its quarterly report on Form 10-Q for the quarter ended December 27, 2015, and filed with the U.S. Securities and Exchange Commission (“SEC”) on February 5, 2016, gives effect to the acquisition of SPH and the related debt. As a result, an unaudited pro forma condensed combined balance sheet is not required to be presented herein.</w:t>
      </w:r>
    </w:p>
    <w:p>
      <w:pPr>
        <w:spacing w:after="0" w:line="18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unaudited pro forma condensed combined statements of operations are presented for informational and illustrative purposes in accordance with the rules and regulations of the SEC, and are not necessarily indicative of the operating results or financial position that would have occurred if the acquisition had occurred as of the date or during the periods presented nor is it necessarily indicative of future operating results or financial position. The unaudited pro forma condensed consolidated statements of operation and the accompanying notes should be read in conjunction with the historical audited consolidated financial statements and notes thereto included in Hawkins’ annual report on Form 10-K for the fiscal year ended March 30, 2015, as amended from time to time, the audited consolidated financial statements of SPH as of and for the three years ended December 31, 2014, and the unaudited consolidated financial statements of SPH as of and for the nine months ended September 30, 2015, which are included as Exhibit 99.1 herein.</w:t>
      </w:r>
    </w:p>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pro forma condensed consolidated statement of operations for the fiscal year ended March 29, 2015 presented below includes Hawkins’ fiscal year ended March 29, 2015 and SPH’s year ended December 31, 2014. The pro forma condensed consolidated statement of operations for the nine months ended December 27, 2015 combines the results of operations of Hawkins for its nine months ended December 27, 2015 with the results of operations of SPH for its nine months ended September 30, 2015.</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MARCH 29,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Historical</w:t>
            </w:r>
          </w:p>
        </w:tc>
        <w:tc>
          <w:tcPr>
            <w:tcW w:w="16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Historical</w:t>
            </w:r>
          </w:p>
        </w:tc>
        <w:tc>
          <w:tcPr>
            <w:tcW w:w="1160" w:type="dxa"/>
            <w:vAlign w:val="bottom"/>
            <w:gridSpan w:val="5"/>
          </w:tcPr>
          <w:p>
            <w:pPr>
              <w:ind w:left="60"/>
              <w:spacing w:after="0"/>
              <w:rPr>
                <w:sz w:val="20"/>
                <w:szCs w:val="20"/>
                <w:color w:val="auto"/>
              </w:rPr>
            </w:pPr>
            <w:r>
              <w:rPr>
                <w:rFonts w:ascii="Arial" w:cs="Arial" w:eastAsia="Arial" w:hAnsi="Arial"/>
                <w:sz w:val="14"/>
                <w:szCs w:val="14"/>
                <w:b w:val="1"/>
                <w:bCs w:val="1"/>
                <w:color w:val="auto"/>
              </w:rPr>
              <w:t>Pro Forma</w:t>
            </w:r>
          </w:p>
        </w:tc>
        <w:tc>
          <w:tcPr>
            <w:tcW w:w="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Pro-Forma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Hawkins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SPH</w:t>
            </w: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Adjustments</w:t>
            </w:r>
          </w:p>
        </w:tc>
        <w:tc>
          <w:tcPr>
            <w:tcW w:w="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10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364,023</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$101,459</w:t>
            </w:r>
          </w:p>
        </w:tc>
        <w:tc>
          <w:tcPr>
            <w:tcW w:w="4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Cost of sales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(298,232)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(79,441)</w:t>
            </w:r>
          </w:p>
        </w:tc>
        <w:tc>
          <w:tcPr>
            <w:tcW w:w="16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(2,111)</w:t>
            </w:r>
          </w:p>
        </w:tc>
        <w:tc>
          <w:tcPr>
            <w:tcW w:w="40" w:type="dxa"/>
            <w:vAlign w:val="bottom"/>
          </w:tcPr>
          <w:p>
            <w:pPr>
              <w:spacing w:after="0"/>
              <w:rPr>
                <w:sz w:val="18"/>
                <w:szCs w:val="18"/>
                <w:color w:val="auto"/>
              </w:rPr>
            </w:pP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(379,784)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65,791</w:t>
            </w:r>
          </w:p>
        </w:tc>
        <w:tc>
          <w:tcPr>
            <w:tcW w:w="2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22,018</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(2,111)</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(35,375)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(17,270)</w:t>
            </w:r>
          </w:p>
        </w:tc>
        <w:tc>
          <w:tcPr>
            <w:tcW w:w="16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386</w:t>
            </w:r>
          </w:p>
        </w:tc>
        <w:tc>
          <w:tcPr>
            <w:tcW w:w="40" w:type="dxa"/>
            <w:vAlign w:val="bottom"/>
          </w:tcPr>
          <w:p>
            <w:pPr>
              <w:spacing w:after="0"/>
              <w:rPr>
                <w:sz w:val="18"/>
                <w:szCs w:val="18"/>
                <w:color w:val="auto"/>
              </w:rPr>
            </w:pPr>
          </w:p>
        </w:tc>
        <w:tc>
          <w:tcPr>
            <w:tcW w:w="560" w:type="dxa"/>
            <w:vAlign w:val="bottom"/>
            <w:gridSpan w:val="3"/>
          </w:tcPr>
          <w:p>
            <w:pPr>
              <w:ind w:left="200"/>
              <w:spacing w:after="0"/>
              <w:rPr>
                <w:sz w:val="20"/>
                <w:szCs w:val="20"/>
                <w:color w:val="auto"/>
              </w:rPr>
            </w:pPr>
            <w:r>
              <w:rPr>
                <w:rFonts w:ascii="Arial" w:cs="Arial" w:eastAsia="Arial" w:hAnsi="Arial"/>
                <w:sz w:val="18"/>
                <w:szCs w:val="18"/>
                <w:color w:val="auto"/>
              </w:rPr>
              <w:t>(b)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(52,259)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30,416</w:t>
            </w:r>
          </w:p>
        </w:tc>
        <w:tc>
          <w:tcPr>
            <w:tcW w:w="2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(1,725)</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(3,125)</w:t>
            </w:r>
          </w:p>
        </w:tc>
        <w:tc>
          <w:tcPr>
            <w:tcW w:w="16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18"/>
                <w:szCs w:val="18"/>
                <w:color w:val="auto"/>
              </w:rPr>
            </w:pP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(798)</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689</w:t>
            </w: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30,454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(733)</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(11,240)</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192</w:t>
            </w: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(11,271)</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(541)</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10,568,582</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10,568,582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10,633,554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10,633,554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9700" w:type="dxa"/>
            <w:vAlign w:val="bottom"/>
            <w:gridSpan w:val="15"/>
          </w:tcPr>
          <w:p>
            <w:pPr>
              <w:jc w:val="center"/>
              <w:ind w:left="1590"/>
              <w:spacing w:after="0"/>
              <w:rPr>
                <w:sz w:val="20"/>
                <w:szCs w:val="20"/>
                <w:color w:val="auto"/>
              </w:rPr>
            </w:pPr>
            <w:r>
              <w:rPr>
                <w:rFonts w:ascii="Arial" w:cs="Arial" w:eastAsia="Arial" w:hAnsi="Arial"/>
                <w:sz w:val="18"/>
                <w:szCs w:val="18"/>
                <w:b w:val="1"/>
                <w:bCs w:val="1"/>
                <w:color w:val="auto"/>
              </w:rPr>
              <w:t>UNAUDITED PRO FORMA CONDENSED COMBINED STATEMENT OF OPERATIONS</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8"/>
          </w:tcPr>
          <w:p>
            <w:pPr>
              <w:jc w:val="center"/>
              <w:ind w:left="3690"/>
              <w:spacing w:after="0"/>
              <w:rPr>
                <w:sz w:val="20"/>
                <w:szCs w:val="20"/>
                <w:color w:val="auto"/>
              </w:rPr>
            </w:pPr>
            <w:r>
              <w:rPr>
                <w:rFonts w:ascii="Arial" w:cs="Arial" w:eastAsia="Arial" w:hAnsi="Arial"/>
                <w:sz w:val="18"/>
                <w:szCs w:val="18"/>
                <w:b w:val="1"/>
                <w:bCs w:val="1"/>
                <w:color w:val="auto"/>
                <w:w w:val="98"/>
              </w:rPr>
              <w:t>NINE MONTHS ENDED DECEMBER 27, 2015.</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0" w:type="dxa"/>
            <w:vAlign w:val="bottom"/>
            <w:gridSpan w:val="8"/>
          </w:tcPr>
          <w:p>
            <w:pPr>
              <w:jc w:val="center"/>
              <w:ind w:left="371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Historical</w:t>
            </w:r>
          </w:p>
        </w:tc>
        <w:tc>
          <w:tcPr>
            <w:tcW w:w="16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1160" w:type="dxa"/>
            <w:vAlign w:val="bottom"/>
            <w:gridSpan w:val="5"/>
          </w:tcPr>
          <w:p>
            <w:pPr>
              <w:ind w:left="20"/>
              <w:spacing w:after="0"/>
              <w:rPr>
                <w:sz w:val="20"/>
                <w:szCs w:val="20"/>
                <w:color w:val="auto"/>
              </w:rPr>
            </w:pPr>
            <w:r>
              <w:rPr>
                <w:rFonts w:ascii="Arial" w:cs="Arial" w:eastAsia="Arial" w:hAnsi="Arial"/>
                <w:sz w:val="14"/>
                <w:szCs w:val="14"/>
                <w:b w:val="1"/>
                <w:bCs w:val="1"/>
                <w:color w:val="auto"/>
              </w:rPr>
              <w:t>Pro Forma</w:t>
            </w:r>
          </w:p>
        </w:tc>
        <w:tc>
          <w:tcPr>
            <w:tcW w:w="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Pro-Forma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Hawkins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SPH</w:t>
            </w: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Adjustment</w:t>
            </w:r>
          </w:p>
        </w:tc>
        <w:tc>
          <w:tcPr>
            <w:tcW w:w="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284,463</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$ 92,214</w:t>
            </w:r>
          </w:p>
        </w:tc>
        <w:tc>
          <w:tcPr>
            <w:tcW w:w="4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Cost of sales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(229,208)</w:t>
            </w:r>
          </w:p>
        </w:tc>
        <w:tc>
          <w:tcPr>
            <w:tcW w:w="260" w:type="dxa"/>
            <w:vAlign w:val="bottom"/>
          </w:tcPr>
          <w:p>
            <w:pPr>
              <w:spacing w:after="0"/>
              <w:rPr>
                <w:sz w:val="18"/>
                <w:szCs w:val="18"/>
                <w:color w:val="auto"/>
              </w:rPr>
            </w:pPr>
          </w:p>
        </w:tc>
        <w:tc>
          <w:tcPr>
            <w:tcW w:w="1220" w:type="dxa"/>
            <w:vAlign w:val="bottom"/>
            <w:gridSpan w:val="4"/>
          </w:tcPr>
          <w:p>
            <w:pPr>
              <w:jc w:val="right"/>
              <w:ind w:right="360"/>
              <w:spacing w:after="0"/>
              <w:rPr>
                <w:sz w:val="20"/>
                <w:szCs w:val="20"/>
                <w:color w:val="auto"/>
              </w:rPr>
            </w:pPr>
            <w:r>
              <w:rPr>
                <w:rFonts w:ascii="Arial" w:cs="Arial" w:eastAsia="Arial" w:hAnsi="Arial"/>
                <w:sz w:val="18"/>
                <w:szCs w:val="18"/>
                <w:color w:val="auto"/>
              </w:rPr>
              <w:t>(71,645)</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(1,332)</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3"/>
          </w:tcPr>
          <w:p>
            <w:pPr>
              <w:ind w:left="20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(302,185)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55,255</w:t>
            </w:r>
          </w:p>
        </w:tc>
        <w:tc>
          <w:tcPr>
            <w:tcW w:w="2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20,569</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(1,332)</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(33,019)</w:t>
            </w:r>
          </w:p>
        </w:tc>
        <w:tc>
          <w:tcPr>
            <w:tcW w:w="260" w:type="dxa"/>
            <w:vAlign w:val="bottom"/>
          </w:tcPr>
          <w:p>
            <w:pPr>
              <w:spacing w:after="0"/>
              <w:rPr>
                <w:sz w:val="18"/>
                <w:szCs w:val="18"/>
                <w:color w:val="auto"/>
              </w:rPr>
            </w:pPr>
          </w:p>
        </w:tc>
        <w:tc>
          <w:tcPr>
            <w:tcW w:w="1220" w:type="dxa"/>
            <w:vAlign w:val="bottom"/>
            <w:gridSpan w:val="4"/>
          </w:tcPr>
          <w:p>
            <w:pPr>
              <w:jc w:val="right"/>
              <w:ind w:right="360"/>
              <w:spacing w:after="0"/>
              <w:rPr>
                <w:sz w:val="20"/>
                <w:szCs w:val="20"/>
                <w:color w:val="auto"/>
              </w:rPr>
            </w:pPr>
            <w:r>
              <w:rPr>
                <w:rFonts w:ascii="Arial" w:cs="Arial" w:eastAsia="Arial" w:hAnsi="Arial"/>
                <w:sz w:val="18"/>
                <w:szCs w:val="18"/>
                <w:color w:val="auto"/>
              </w:rPr>
              <w:t>(12,159)</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3"/>
          </w:tcPr>
          <w:p>
            <w:pPr>
              <w:ind w:left="180"/>
              <w:spacing w:after="0"/>
              <w:rPr>
                <w:sz w:val="20"/>
                <w:szCs w:val="20"/>
                <w:color w:val="auto"/>
              </w:rPr>
            </w:pPr>
            <w:r>
              <w:rPr>
                <w:rFonts w:ascii="Arial" w:cs="Arial" w:eastAsia="Arial" w:hAnsi="Arial"/>
                <w:sz w:val="18"/>
                <w:szCs w:val="18"/>
                <w:color w:val="auto"/>
              </w:rPr>
              <w:t>(b)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(43,974)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22,236</w:t>
            </w:r>
          </w:p>
        </w:tc>
        <w:tc>
          <w:tcPr>
            <w:tcW w:w="2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(1,730)</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3"/>
          </w:tcPr>
          <w:p>
            <w:pPr>
              <w:ind w:left="200"/>
              <w:spacing w:after="0"/>
              <w:rPr>
                <w:sz w:val="20"/>
                <w:szCs w:val="20"/>
                <w:color w:val="auto"/>
              </w:rPr>
            </w:pPr>
            <w:r>
              <w:rPr>
                <w:rFonts w:ascii="Arial" w:cs="Arial" w:eastAsia="Arial" w:hAnsi="Arial"/>
                <w:sz w:val="18"/>
                <w:szCs w:val="18"/>
                <w:color w:val="auto"/>
              </w:rPr>
              <w:t>(c)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7,152</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w:t>
            </w:r>
          </w:p>
        </w:tc>
        <w:tc>
          <w:tcPr>
            <w:tcW w:w="2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(2,508)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(11,188)</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10,534,933</w:t>
            </w:r>
          </w:p>
        </w:tc>
        <w:tc>
          <w:tcPr>
            <w:tcW w:w="2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10,534,933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1940" w:type="dxa"/>
            <w:vAlign w:val="bottom"/>
            <w:gridSpan w:val="4"/>
          </w:tcPr>
          <w:p>
            <w:pPr>
              <w:jc w:val="right"/>
              <w:spacing w:after="0"/>
              <w:rPr>
                <w:sz w:val="20"/>
                <w:szCs w:val="20"/>
                <w:color w:val="auto"/>
              </w:rPr>
            </w:pPr>
            <w:r>
              <w:rPr>
                <w:rFonts w:ascii="Arial" w:cs="Arial" w:eastAsia="Arial" w:hAnsi="Arial"/>
                <w:sz w:val="18"/>
                <w:szCs w:val="18"/>
                <w:color w:val="auto"/>
              </w:rPr>
              <w:t>10,591,543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10,591,543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9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Hawkins, Inc.’s reported net income of $13.3 million ($1.25 per diluted share) for the nine months ended December 27, 2015 includes $2.7 million of expenses related to the acquisition (approximately $2.1 million after tax), which reduced its reported diluted earnings per share for the same period by $0.20. Those expenses have been eliminated in preparing the unaudited pro forma condensed combined statement of operations for the nine months ended December 27, 2015.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pro-forma condensed combined financial information.</w:t>
      </w:r>
    </w:p>
    <w:p>
      <w:pPr>
        <w:sectPr>
          <w:pgSz w:w="11900" w:h="16838" w:orient="portrait"/>
          <w:cols w:equalWidth="0" w:num="1">
            <w:col w:w="11420"/>
          </w:cols>
          <w:pgMar w:left="240" w:top="270"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UNAUDITED PRO FORMA CONDENSED COMBINED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acquisition of SPH by Hawkins was accounted for under the acquisition method of accounting. Accordingly, the cost to acquire SPH was allocated to the underlying net assets in proportion to estimates of their respective fair values. The excess of the purchase price over the estimated fair value of the net assets acquired was recorded as goodwill. The allocated purchase price in excess of SPH’s tangible asset value prior to acquisition, including the intangibles and goodwill, is not deductible for tax purposes. The goodwill recognized as a result of the acquisition is primarily attributable to strategic and synergistic benefits, as well as SPH’s assembled workforce. The allocation of the purchase price to the assets acquired and liabilities assumed, including the amount allocated to goodwill, is based upon preliminary information and is subject to change within the measurement period (up to one year from the acquisition date).</w:t>
      </w:r>
    </w:p>
    <w:p>
      <w:pPr>
        <w:spacing w:after="0" w:line="189"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In connection with the acquisition, Hawkins entered into a credit agreement providing for senior secured credit facilities totaling $165.0 million, consisting of a $100.0 million senior secured term loan facility (the “term loan”) and a $65.0 million senior secured revolving loan credit facility (the “revolving credit facility”). We used $131.0 million of the proceeds from borrowings under these senior secured credit facilities, together with cash on hand, to finance the acquisition and expenses related thereto. The senior secured credit facilities have a term of five years. The Company is required to pay 5% of the initial principal balance under the term loan facility in year one, 7.5% in year two, and 10% in years three through five. The principal payments will be made on a quarterly basis, with the first payment to be made on April 1, 2016. The rate of interest on the senior secured credit facilities is based on LIBOR plus an applicable margin, or at a base rate plus an applicable margin, with the applicable margin determined by the Company’s leverage ratio. In the pro forma analysis, we have used an estimated interest rate of 2.0%, which approximates the current interest rate on the borrowings. If the interest rate were to change by 0.125%, Hawkins’ pro forma cash interest expense would change by approximately $160,000 for the year ended March 29, 2015, and by approximately $120,000 for the nine months ended December 27, 2015.</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Preliminary Purchase Price Allocation</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Please refer to the Company’s 10-Q for its quarterly period ended December 27, 2015 filed with the SEC on February 5, 2016 for the preliminary purchase price allocation of SPH. The allocation of the purchase price to the assets acquired and liabilities assumed, including the amount allocated to goodwill, is based upon preliminary information and is subject to change within the measurement period (up to one year from the acquisition date). The final purchase price allocation is expected to be completed in Hawkins’ fiscal 2017. The final amounts recorded for the acquisition may differ materially from the information presented herein and from that presented in Hawkins’ quarterly report on Form 10-Q for the quarter ended December 27, 2015, filed with the SEC on February 5, 2016.</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 Forma Adjustments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unaudited pro forma condensed combined statement of operations for the year ended March 29, 2015 combines the results of operations of Hawkins for its fiscal year ended March 29, 2015 with the results of operations of SPH for its fiscal year ended December 31, 2014. The unaudited pro forma condensed combined statement of operations for the nine months ended December 27, 2015 combines the results of operations of Hawkins for its nine months ended December 27, 2015 with the results of operations of SPH for its nine months ended September 30, 2015. Thus, the results of operations of SPH for the three months ended December 27, 2015 are excluded from the pro forma condensed combined statement of operations. SPH had sales of $26.4 million and pretax loss of $13.1 million for that period, including expenses of $13.9 million for stock and other acquisition-related compensation expense and other acquisition costs incurred by the seller. Both unaudited pro forma condensed combined statements of operations also reflect the following pro forma adjustments:</w:t>
      </w:r>
    </w:p>
    <w:p>
      <w:pPr>
        <w:spacing w:after="0" w:line="98"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the aggregate impact of the following items impacting cost of sales (“COGS”)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3"/>
              </w:rPr>
              <w:t>Year Ended</w:t>
            </w:r>
          </w:p>
        </w:tc>
        <w:tc>
          <w:tcPr>
            <w:tcW w:w="1760" w:type="dxa"/>
            <w:vAlign w:val="bottom"/>
            <w:gridSpan w:val="4"/>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50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March 29, 2015</w:t>
            </w:r>
          </w:p>
        </w:tc>
        <w:tc>
          <w:tcPr>
            <w:tcW w:w="400" w:type="dxa"/>
            <w:vAlign w:val="bottom"/>
          </w:tcPr>
          <w:p>
            <w:pPr>
              <w:spacing w:after="0"/>
              <w:rPr>
                <w:sz w:val="14"/>
                <w:szCs w:val="14"/>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December 27, 2015</w:t>
            </w:r>
          </w:p>
        </w:tc>
      </w:tr>
      <w:tr>
        <w:trPr>
          <w:trHeight w:val="182"/>
        </w:trPr>
        <w:tc>
          <w:tcPr>
            <w:tcW w:w="5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Reclassification of SPH’s distribution expense from selling,</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 (“SG&amp;A”) to COGS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(1,794)</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(1,535)</w:t>
            </w:r>
          </w:p>
        </w:tc>
      </w:tr>
      <w:tr>
        <w:trPr>
          <w:trHeight w:val="202"/>
        </w:trPr>
        <w:tc>
          <w:tcPr>
            <w:tcW w:w="5500" w:type="dxa"/>
            <w:vAlign w:val="bottom"/>
          </w:tcPr>
          <w:p>
            <w:pPr>
              <w:spacing w:after="0" w:line="201" w:lineRule="exact"/>
              <w:rPr>
                <w:sz w:val="20"/>
                <w:szCs w:val="20"/>
                <w:color w:val="auto"/>
              </w:rPr>
            </w:pPr>
            <w:r>
              <w:rPr>
                <w:rFonts w:ascii="Arial" w:cs="Arial" w:eastAsia="Arial" w:hAnsi="Arial"/>
                <w:sz w:val="18"/>
                <w:szCs w:val="18"/>
                <w:color w:val="auto"/>
              </w:rPr>
              <w:t>Estimated depreciation expense on SPH property and equipment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based on preliminary fair values and lives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(950)</w:t>
            </w: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(713)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SPH’s depreciation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8"/>
                <w:szCs w:val="18"/>
                <w:color w:val="auto"/>
              </w:rPr>
            </w:pPr>
          </w:p>
        </w:tc>
      </w:tr>
      <w:tr>
        <w:trPr>
          <w:trHeight w:val="223"/>
        </w:trPr>
        <w:tc>
          <w:tcPr>
            <w:tcW w:w="5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82" w:name="page83"/>
    <w:bookmarkEnd w:id="82"/>
    <w:p>
      <w:pPr>
        <w:ind w:left="446" w:hanging="446"/>
        <w:spacing w:after="0"/>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Reflects the aggregate impact of the following items impacting SG&amp;A expense (in thousands):</w:t>
      </w:r>
    </w:p>
    <w:p>
      <w:pPr>
        <w:spacing w:after="0" w:line="231" w:lineRule="exact"/>
        <w:rPr>
          <w:sz w:val="20"/>
          <w:szCs w:val="20"/>
          <w:color w:val="auto"/>
        </w:rPr>
      </w:pPr>
    </w:p>
    <w:tbl>
      <w:tblPr>
        <w:tblLayout w:type="fixed"/>
        <w:tblInd w:w="926"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3"/>
              </w:rPr>
              <w:t>Year Ended</w:t>
            </w:r>
          </w:p>
        </w:tc>
        <w:tc>
          <w:tcPr>
            <w:tcW w:w="1800" w:type="dxa"/>
            <w:vAlign w:val="bottom"/>
            <w:gridSpan w:val="4"/>
          </w:tcPr>
          <w:p>
            <w:pPr>
              <w:ind w:left="4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960" w:type="dxa"/>
            <w:vAlign w:val="bottom"/>
          </w:tcPr>
          <w:p>
            <w:pPr>
              <w:spacing w:after="0"/>
              <w:rPr>
                <w:sz w:val="14"/>
                <w:szCs w:val="14"/>
                <w:color w:val="auto"/>
              </w:rPr>
            </w:pPr>
          </w:p>
        </w:tc>
        <w:tc>
          <w:tcPr>
            <w:tcW w:w="1920" w:type="dxa"/>
            <w:vAlign w:val="bottom"/>
            <w:gridSpan w:val="4"/>
          </w:tcPr>
          <w:p>
            <w:pPr>
              <w:ind w:left="480"/>
              <w:spacing w:after="0"/>
              <w:rPr>
                <w:sz w:val="20"/>
                <w:szCs w:val="20"/>
                <w:color w:val="auto"/>
              </w:rPr>
            </w:pPr>
            <w:r>
              <w:rPr>
                <w:rFonts w:ascii="Arial" w:cs="Arial" w:eastAsia="Arial" w:hAnsi="Arial"/>
                <w:sz w:val="14"/>
                <w:szCs w:val="14"/>
                <w:b w:val="1"/>
                <w:bCs w:val="1"/>
                <w:color w:val="auto"/>
              </w:rPr>
              <w:t>March 29, 2015</w:t>
            </w:r>
          </w:p>
        </w:tc>
        <w:tc>
          <w:tcPr>
            <w:tcW w:w="440" w:type="dxa"/>
            <w:vAlign w:val="bottom"/>
          </w:tcPr>
          <w:p>
            <w:pPr>
              <w:spacing w:after="0"/>
              <w:rPr>
                <w:sz w:val="14"/>
                <w:szCs w:val="14"/>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December 27, 2015</w:t>
            </w:r>
          </w:p>
        </w:tc>
      </w:tr>
      <w:tr>
        <w:trPr>
          <w:trHeight w:val="182"/>
        </w:trPr>
        <w:tc>
          <w:tcPr>
            <w:tcW w:w="49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Reclassification of SPH’s distribution expense from SG&amp;A to</w:t>
            </w:r>
          </w:p>
        </w:tc>
        <w:tc>
          <w:tcPr>
            <w:tcW w:w="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COGS</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4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20" w:type="dxa"/>
            <w:vAlign w:val="bottom"/>
            <w:shd w:val="clear" w:color="auto" w:fill="CCEEFF"/>
          </w:tcPr>
          <w:p>
            <w:pPr>
              <w:spacing w:after="0"/>
              <w:rPr>
                <w:sz w:val="20"/>
                <w:szCs w:val="20"/>
                <w:color w:val="auto"/>
              </w:rPr>
            </w:pPr>
          </w:p>
        </w:tc>
      </w:tr>
      <w:tr>
        <w:trPr>
          <w:trHeight w:val="202"/>
        </w:trPr>
        <w:tc>
          <w:tcPr>
            <w:tcW w:w="4960" w:type="dxa"/>
            <w:vAlign w:val="bottom"/>
          </w:tcPr>
          <w:p>
            <w:pPr>
              <w:spacing w:after="0" w:line="201" w:lineRule="exact"/>
              <w:rPr>
                <w:sz w:val="20"/>
                <w:szCs w:val="20"/>
                <w:color w:val="auto"/>
              </w:rPr>
            </w:pPr>
            <w:r>
              <w:rPr>
                <w:rFonts w:ascii="Arial" w:cs="Arial" w:eastAsia="Arial" w:hAnsi="Arial"/>
                <w:sz w:val="18"/>
                <w:szCs w:val="18"/>
                <w:color w:val="auto"/>
              </w:rPr>
              <w:t>Estimated amortization of intangible assets recorded in</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connection with the SPH acquisition based on preliminary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fair values and lives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(6,637)</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(4,977)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SPH’s amortization of intangible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20" w:type="dxa"/>
            <w:vAlign w:val="bottom"/>
            <w:shd w:val="clear" w:color="auto" w:fill="CCEEFF"/>
          </w:tcPr>
          <w:p>
            <w:pPr>
              <w:spacing w:after="0"/>
              <w:rPr>
                <w:sz w:val="18"/>
                <w:szCs w:val="18"/>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Elimination of SPH acquisition costs</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120" w:type="dxa"/>
            <w:vAlign w:val="bottom"/>
          </w:tcPr>
          <w:p>
            <w:pPr>
              <w:spacing w:after="0"/>
              <w:rPr>
                <w:sz w:val="19"/>
                <w:szCs w:val="19"/>
                <w:color w:val="auto"/>
              </w:rPr>
            </w:pPr>
          </w:p>
        </w:tc>
      </w:tr>
      <w:tr>
        <w:trPr>
          <w:trHeight w:val="216"/>
        </w:trPr>
        <w:tc>
          <w:tcPr>
            <w:tcW w:w="4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20" w:type="dxa"/>
            <w:vAlign w:val="bottom"/>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6"/>
        <w:spacing w:after="0" w:line="308" w:lineRule="auto"/>
        <w:rPr>
          <w:sz w:val="20"/>
          <w:szCs w:val="20"/>
          <w:color w:val="auto"/>
        </w:rPr>
      </w:pPr>
      <w:r>
        <w:rPr>
          <w:rFonts w:ascii="Arial" w:cs="Arial" w:eastAsia="Arial" w:hAnsi="Arial"/>
          <w:sz w:val="17"/>
          <w:szCs w:val="17"/>
          <w:color w:val="auto"/>
        </w:rPr>
        <w:t>The pro forma amortization expense shown above is based on preliminary fair values and lives. In addition, the final determination of fair values of intangible assets may result in a portion of amortization expense being recorded within cost of sales rather than SG&amp;A expense.</w:t>
      </w:r>
    </w:p>
    <w:p>
      <w:pPr>
        <w:spacing w:after="0" w:line="52" w:lineRule="exact"/>
        <w:rPr>
          <w:sz w:val="20"/>
          <w:szCs w:val="20"/>
          <w:color w:val="auto"/>
        </w:rPr>
      </w:pPr>
    </w:p>
    <w:p>
      <w:pPr>
        <w:ind w:left="446" w:right="260" w:hanging="446"/>
        <w:spacing w:after="0" w:line="277" w:lineRule="auto"/>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change in interest expense related to the Company’s debt structure after the acquisition comprised of borrowings under the credit facilities, as follows (in thousands):</w:t>
      </w:r>
    </w:p>
    <w:p>
      <w:pPr>
        <w:spacing w:after="0" w:line="177" w:lineRule="exact"/>
        <w:rPr>
          <w:sz w:val="20"/>
          <w:szCs w:val="20"/>
          <w:color w:val="auto"/>
        </w:rPr>
      </w:pPr>
    </w:p>
    <w:tbl>
      <w:tblPr>
        <w:tblLayout w:type="fixed"/>
        <w:tblInd w:w="926"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Year Ended</w:t>
            </w:r>
          </w:p>
        </w:tc>
        <w:tc>
          <w:tcPr>
            <w:tcW w:w="1800" w:type="dxa"/>
            <w:vAlign w:val="bottom"/>
            <w:gridSpan w:val="4"/>
          </w:tcPr>
          <w:p>
            <w:pPr>
              <w:ind w:left="4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20" w:type="dxa"/>
            <w:vAlign w:val="bottom"/>
          </w:tcPr>
          <w:p>
            <w:pPr>
              <w:spacing w:after="0"/>
              <w:rPr>
                <w:sz w:val="14"/>
                <w:szCs w:val="14"/>
                <w:color w:val="auto"/>
              </w:rPr>
            </w:pPr>
          </w:p>
        </w:tc>
        <w:tc>
          <w:tcPr>
            <w:tcW w:w="14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4"/>
              </w:rPr>
              <w:t>March 29, 2015</w:t>
            </w:r>
          </w:p>
        </w:tc>
        <w:tc>
          <w:tcPr>
            <w:tcW w:w="440" w:type="dxa"/>
            <w:vAlign w:val="bottom"/>
          </w:tcPr>
          <w:p>
            <w:pPr>
              <w:spacing w:after="0"/>
              <w:rPr>
                <w:sz w:val="14"/>
                <w:szCs w:val="14"/>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December 27, 2015</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on borrowings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r>
      <w:tr>
        <w:trPr>
          <w:trHeight w:val="216"/>
        </w:trPr>
        <w:tc>
          <w:tcPr>
            <w:tcW w:w="5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2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Elimination of SPH interest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(3,123)</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(1,727)</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Hawkins interest expense already recorded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5420" w:type="dxa"/>
            <w:vAlign w:val="bottom"/>
          </w:tcPr>
          <w:p>
            <w:pPr>
              <w:spacing w:after="0"/>
              <w:rPr>
                <w:sz w:val="20"/>
                <w:szCs w:val="20"/>
                <w:color w:val="auto"/>
              </w:rPr>
            </w:pPr>
            <w:r>
              <w:rPr>
                <w:rFonts w:ascii="Arial" w:cs="Arial" w:eastAsia="Arial" w:hAnsi="Arial"/>
                <w:sz w:val="18"/>
                <w:szCs w:val="18"/>
                <w:color w:val="auto"/>
              </w:rPr>
              <w:t>Pro forma interest expense (decrease) increase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(303)</w:t>
            </w: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4"/>
                <w:szCs w:val="24"/>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6" w:hanging="446"/>
        <w:spacing w:after="0"/>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the elimination of management fees paid by SPH to its pre-acquisition management advisor.</w:t>
      </w:r>
    </w:p>
    <w:p>
      <w:pPr>
        <w:spacing w:after="0" w:line="130" w:lineRule="exact"/>
        <w:rPr>
          <w:rFonts w:ascii="Arial" w:cs="Arial" w:eastAsia="Arial" w:hAnsi="Arial"/>
          <w:sz w:val="18"/>
          <w:szCs w:val="18"/>
          <w:color w:val="auto"/>
        </w:rPr>
      </w:pPr>
    </w:p>
    <w:p>
      <w:pPr>
        <w:ind w:left="446" w:hanging="446"/>
        <w:spacing w:after="0" w:line="277" w:lineRule="auto"/>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the tax adjustment required to arrive at an estimated combined effective tax rate of 36.9% for the year ended March 29, 2015 and 38.0% for the nine months ended December 27, 2015.</w:t>
      </w:r>
    </w:p>
    <w:sectPr>
      <w:pgSz w:w="11900" w:h="16838" w:orient="portrait"/>
      <w:cols w:equalWidth="0" w:num="1">
        <w:col w:w="10886"/>
      </w:cols>
      <w:pgMar w:left="694"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4"/>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2019-12-05T07:15:09Z</dcterms:created>
  <dcterms:modified xsi:type="dcterms:W3CDTF">2019-12-05T07:15:09Z</dcterms:modified>
</cp:coreProperties>
</file>