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 THE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5680" w:type="dxa"/>
            <w:vAlign w:val="bottom"/>
            <w:tcBorders>
              <w:bottom w:val="single" w:sz="8" w:color="auto"/>
            </w:tcBorders>
          </w:tcPr>
          <w:p>
            <w:pPr>
              <w:jc w:val="center"/>
              <w:ind w:left="26"/>
              <w:spacing w:after="0"/>
              <w:rPr>
                <w:sz w:val="20"/>
                <w:szCs w:val="20"/>
                <w:color w:val="auto"/>
              </w:rPr>
            </w:pPr>
            <w:r>
              <w:rPr>
                <w:rFonts w:ascii="Arial" w:cs="Arial" w:eastAsia="Arial" w:hAnsi="Arial"/>
                <w:sz w:val="18"/>
                <w:szCs w:val="18"/>
                <w:b w:val="1"/>
                <w:bCs w:val="1"/>
                <w:color w:val="auto"/>
                <w:w w:val="98"/>
              </w:rPr>
              <w:t>MINNESOTA</w:t>
            </w:r>
          </w:p>
        </w:tc>
        <w:tc>
          <w:tcPr>
            <w:tcW w:w="5740" w:type="dxa"/>
            <w:vAlign w:val="bottom"/>
            <w:tcBorders>
              <w:bottom w:val="single" w:sz="8" w:color="auto"/>
            </w:tcBorders>
          </w:tcPr>
          <w:p>
            <w:pPr>
              <w:jc w:val="right"/>
              <w:ind w:right="2262"/>
              <w:spacing w:after="0"/>
              <w:rPr>
                <w:sz w:val="20"/>
                <w:szCs w:val="20"/>
                <w:color w:val="auto"/>
              </w:rPr>
            </w:pPr>
            <w:r>
              <w:rPr>
                <w:rFonts w:ascii="Arial" w:cs="Arial" w:eastAsia="Arial" w:hAnsi="Arial"/>
                <w:sz w:val="18"/>
                <w:szCs w:val="18"/>
                <w:b w:val="1"/>
                <w:bCs w:val="1"/>
                <w:color w:val="auto"/>
              </w:rPr>
              <w:t>41-0771293</w:t>
            </w:r>
          </w:p>
        </w:tc>
      </w:tr>
      <w:tr>
        <w:trPr>
          <w:trHeight w:val="132"/>
        </w:trPr>
        <w:tc>
          <w:tcPr>
            <w:tcW w:w="5680" w:type="dxa"/>
            <w:vAlign w:val="bottom"/>
          </w:tcPr>
          <w:p>
            <w:pPr>
              <w:jc w:val="center"/>
              <w:ind w:left="26"/>
              <w:spacing w:after="0" w:line="133" w:lineRule="exact"/>
              <w:rPr>
                <w:sz w:val="20"/>
                <w:szCs w:val="20"/>
                <w:color w:val="auto"/>
              </w:rPr>
            </w:pPr>
            <w:r>
              <w:rPr>
                <w:rFonts w:ascii="Arial" w:cs="Arial" w:eastAsia="Arial" w:hAnsi="Arial"/>
                <w:sz w:val="14"/>
                <w:szCs w:val="14"/>
                <w:color w:val="auto"/>
                <w:w w:val="90"/>
              </w:rPr>
              <w:t>(State or other jurisdiction of</w:t>
            </w:r>
          </w:p>
        </w:tc>
        <w:tc>
          <w:tcPr>
            <w:tcW w:w="5740" w:type="dxa"/>
            <w:vAlign w:val="bottom"/>
          </w:tcPr>
          <w:p>
            <w:pPr>
              <w:jc w:val="center"/>
              <w:ind w:left="142"/>
              <w:spacing w:after="0" w:line="133" w:lineRule="exact"/>
              <w:rPr>
                <w:sz w:val="20"/>
                <w:szCs w:val="20"/>
                <w:color w:val="auto"/>
              </w:rPr>
            </w:pPr>
            <w:r>
              <w:rPr>
                <w:rFonts w:ascii="Arial" w:cs="Arial" w:eastAsia="Arial" w:hAnsi="Arial"/>
                <w:sz w:val="14"/>
                <w:szCs w:val="14"/>
                <w:color w:val="auto"/>
                <w:w w:val="90"/>
              </w:rPr>
              <w:t>(I.R.S. Employer Identification No.)</w:t>
            </w:r>
          </w:p>
        </w:tc>
      </w:tr>
      <w:tr>
        <w:trPr>
          <w:trHeight w:val="172"/>
        </w:trPr>
        <w:tc>
          <w:tcPr>
            <w:tcW w:w="5680" w:type="dxa"/>
            <w:vAlign w:val="bottom"/>
          </w:tcPr>
          <w:p>
            <w:pPr>
              <w:jc w:val="center"/>
              <w:ind w:left="26"/>
              <w:spacing w:after="0"/>
              <w:rPr>
                <w:sz w:val="20"/>
                <w:szCs w:val="20"/>
                <w:color w:val="auto"/>
              </w:rPr>
            </w:pPr>
            <w:r>
              <w:rPr>
                <w:rFonts w:ascii="Arial" w:cs="Arial" w:eastAsia="Arial" w:hAnsi="Arial"/>
                <w:sz w:val="14"/>
                <w:szCs w:val="14"/>
                <w:color w:val="auto"/>
                <w:w w:val="88"/>
              </w:rPr>
              <w:t>incorporation or organization)</w:t>
            </w:r>
          </w:p>
        </w:tc>
        <w:tc>
          <w:tcPr>
            <w:tcW w:w="5740" w:type="dxa"/>
            <w:vAlign w:val="bottom"/>
          </w:tcPr>
          <w:p>
            <w:pPr>
              <w:spacing w:after="0"/>
              <w:rPr>
                <w:sz w:val="14"/>
                <w:szCs w:val="1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both"/>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99" w:lineRule="exact"/>
        <w:rPr>
          <w:sz w:val="24"/>
          <w:szCs w:val="24"/>
          <w:color w:val="auto"/>
        </w:rPr>
      </w:pPr>
    </w:p>
    <w:p>
      <w:pPr>
        <w:ind w:right="560"/>
        <w:spacing w:after="0" w:line="28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000" w:type="dxa"/>
            <w:vAlign w:val="bottom"/>
            <w:tcBorders>
              <w:bottom w:val="single" w:sz="8" w:color="auto"/>
            </w:tcBorders>
          </w:tcPr>
          <w:p>
            <w:pPr>
              <w:jc w:val="center"/>
              <w:ind w:left="692"/>
              <w:spacing w:after="0"/>
              <w:rPr>
                <w:sz w:val="20"/>
                <w:szCs w:val="20"/>
                <w:color w:val="auto"/>
              </w:rPr>
            </w:pPr>
            <w:r>
              <w:rPr>
                <w:rFonts w:ascii="Arial" w:cs="Arial" w:eastAsia="Arial" w:hAnsi="Arial"/>
                <w:sz w:val="18"/>
                <w:szCs w:val="18"/>
                <w:color w:val="auto"/>
                <w:w w:val="91"/>
              </w:rPr>
              <w:t>CLASS</w:t>
            </w:r>
          </w:p>
        </w:tc>
        <w:tc>
          <w:tcPr>
            <w:tcW w:w="6420" w:type="dxa"/>
            <w:vAlign w:val="bottom"/>
            <w:tcBorders>
              <w:bottom w:val="single" w:sz="8" w:color="auto"/>
            </w:tcBorders>
          </w:tcPr>
          <w:p>
            <w:pPr>
              <w:jc w:val="center"/>
              <w:ind w:left="792"/>
              <w:spacing w:after="0"/>
              <w:rPr>
                <w:sz w:val="20"/>
                <w:szCs w:val="20"/>
                <w:color w:val="auto"/>
              </w:rPr>
            </w:pPr>
            <w:r>
              <w:rPr>
                <w:rFonts w:ascii="Arial" w:cs="Arial" w:eastAsia="Arial" w:hAnsi="Arial"/>
                <w:sz w:val="18"/>
                <w:szCs w:val="18"/>
                <w:color w:val="auto"/>
                <w:w w:val="92"/>
              </w:rPr>
              <w:t>OUTSTANDING AT JULY 27, 2012</w:t>
            </w:r>
          </w:p>
        </w:tc>
      </w:tr>
      <w:tr>
        <w:trPr>
          <w:trHeight w:val="217"/>
        </w:trPr>
        <w:tc>
          <w:tcPr>
            <w:tcW w:w="5000" w:type="dxa"/>
            <w:vAlign w:val="bottom"/>
          </w:tcPr>
          <w:p>
            <w:pPr>
              <w:jc w:val="center"/>
              <w:ind w:left="692"/>
              <w:spacing w:after="0"/>
              <w:rPr>
                <w:sz w:val="20"/>
                <w:szCs w:val="20"/>
                <w:color w:val="auto"/>
              </w:rPr>
            </w:pPr>
            <w:r>
              <w:rPr>
                <w:rFonts w:ascii="Arial" w:cs="Arial" w:eastAsia="Arial" w:hAnsi="Arial"/>
                <w:sz w:val="18"/>
                <w:szCs w:val="18"/>
                <w:color w:val="auto"/>
                <w:w w:val="87"/>
              </w:rPr>
              <w:t>Common Stock, par value $.05 per share</w:t>
            </w:r>
          </w:p>
        </w:tc>
        <w:tc>
          <w:tcPr>
            <w:tcW w:w="6420" w:type="dxa"/>
            <w:vAlign w:val="bottom"/>
          </w:tcPr>
          <w:p>
            <w:pPr>
              <w:jc w:val="right"/>
              <w:ind w:right="2292"/>
              <w:spacing w:after="0"/>
              <w:rPr>
                <w:sz w:val="20"/>
                <w:szCs w:val="20"/>
                <w:color w:val="auto"/>
              </w:rPr>
            </w:pPr>
            <w:r>
              <w:rPr>
                <w:rFonts w:ascii="Arial" w:cs="Arial" w:eastAsia="Arial" w:hAnsi="Arial"/>
                <w:sz w:val="18"/>
                <w:szCs w:val="18"/>
                <w:color w:val="auto"/>
              </w:rPr>
              <w:t>10,516,162</w:t>
            </w:r>
          </w:p>
        </w:tc>
      </w:tr>
      <w:tr>
        <w:trPr>
          <w:trHeight w:val="196"/>
        </w:trPr>
        <w:tc>
          <w:tcPr>
            <w:tcW w:w="5000" w:type="dxa"/>
            <w:vAlign w:val="bottom"/>
            <w:tcBorders>
              <w:bottom w:val="single" w:sz="8" w:color="auto"/>
            </w:tcBorders>
          </w:tcPr>
          <w:p>
            <w:pPr>
              <w:spacing w:after="0"/>
              <w:rPr>
                <w:sz w:val="17"/>
                <w:szCs w:val="17"/>
                <w:color w:val="auto"/>
              </w:rPr>
            </w:pPr>
          </w:p>
        </w:tc>
        <w:tc>
          <w:tcPr>
            <w:tcW w:w="6420" w:type="dxa"/>
            <w:vAlign w:val="bottom"/>
            <w:tcBorders>
              <w:bottom w:val="single" w:sz="8" w:color="auto"/>
            </w:tcBorders>
          </w:tcPr>
          <w:p>
            <w:pPr>
              <w:spacing w:after="0"/>
              <w:rPr>
                <w:sz w:val="17"/>
                <w:szCs w:val="17"/>
                <w:color w:val="auto"/>
              </w:rPr>
            </w:pPr>
          </w:p>
        </w:tc>
      </w:tr>
      <w:tr>
        <w:trPr>
          <w:trHeight w:val="34"/>
        </w:trPr>
        <w:tc>
          <w:tcPr>
            <w:tcW w:w="500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r>
      <w:tr>
        <w:trPr>
          <w:trHeight w:val="383"/>
        </w:trPr>
        <w:tc>
          <w:tcPr>
            <w:tcW w:w="5000" w:type="dxa"/>
            <w:vAlign w:val="bottom"/>
          </w:tcPr>
          <w:p>
            <w:pPr>
              <w:spacing w:after="0"/>
              <w:rPr>
                <w:sz w:val="24"/>
                <w:szCs w:val="24"/>
                <w:color w:val="auto"/>
              </w:rPr>
            </w:pPr>
          </w:p>
        </w:tc>
        <w:tc>
          <w:tcPr>
            <w:tcW w:w="6420" w:type="dxa"/>
            <w:vAlign w:val="bottom"/>
          </w:tcPr>
          <w:p>
            <w:pPr>
              <w:jc w:val="right"/>
              <w:ind w:right="5572"/>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gridSpan w:val="9"/>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6120" w:type="dxa"/>
            <w:vAlign w:val="bottom"/>
            <w:gridSpan w:val="8"/>
            <w:vMerge w:val="restart"/>
          </w:tcPr>
          <w:p>
            <w:pPr>
              <w:spacing w:after="0"/>
              <w:rPr>
                <w:sz w:val="15"/>
                <w:szCs w:val="15"/>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3000" w:type="dxa"/>
            <w:vAlign w:val="bottom"/>
            <w:tcBorders>
              <w:bottom w:val="single" w:sz="8" w:color="0000EE"/>
            </w:tcBorders>
            <w:gridSpan w:val="9"/>
            <w:vMerge w:val="continue"/>
          </w:tcPr>
          <w:p>
            <w:pPr>
              <w:spacing w:after="0"/>
              <w:rPr>
                <w:sz w:val="14"/>
                <w:szCs w:val="14"/>
                <w:color w:val="auto"/>
              </w:rPr>
            </w:pPr>
          </w:p>
        </w:tc>
        <w:tc>
          <w:tcPr>
            <w:tcW w:w="6120" w:type="dxa"/>
            <w:vAlign w:val="bottom"/>
            <w:gridSpan w:val="8"/>
            <w:vMerge w:val="continue"/>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5860" w:type="dxa"/>
            <w:vAlign w:val="bottom"/>
            <w:gridSpan w:val="7"/>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July 1, 2012 and April 1, 2012</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Income – Three Months Ended July 1, 2012 and July 3, 2011</w:t>
              </w:r>
            </w:hyperlink>
          </w:p>
        </w:tc>
        <w:tc>
          <w:tcPr>
            <w:tcW w:w="1140" w:type="dxa"/>
            <w:vAlign w:val="bottom"/>
            <w:gridSpan w:val="2"/>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Comprehensive Income – Three Months Ended July 1, 2012 and July 3, 2011</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 Three Months Ended July 1, 2012 and July 3, 2011</w:t>
              </w:r>
            </w:hyperlink>
          </w:p>
        </w:tc>
        <w:tc>
          <w:tcPr>
            <w:tcW w:w="8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4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240" w:type="dxa"/>
            <w:vAlign w:val="bottom"/>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Quantitative and Qualitative Disclosures about Market Risk</w:t>
              </w:r>
            </w:hyperlink>
          </w:p>
        </w:tc>
        <w:tc>
          <w:tcPr>
            <w:tcW w:w="1940" w:type="dxa"/>
            <w:vAlign w:val="bottom"/>
            <w:gridSpan w:val="3"/>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16">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5"/>
          </w:tcPr>
          <w:p>
            <w:pPr>
              <w:spacing w:after="0"/>
              <w:rPr>
                <w:sz w:val="24"/>
                <w:szCs w:val="24"/>
                <w:color w:val="auto"/>
              </w:rPr>
            </w:pPr>
          </w:p>
        </w:tc>
        <w:tc>
          <w:tcPr>
            <w:tcW w:w="4040" w:type="dxa"/>
            <w:vAlign w:val="bottom"/>
            <w:gridSpan w:val="5"/>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9120" w:type="dxa"/>
            <w:vAlign w:val="bottom"/>
            <w:gridSpan w:val="1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 OTHER INFORMATION</w:t>
              </w:r>
            </w:hyperlink>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6420" w:type="dxa"/>
            <w:vAlign w:val="bottom"/>
            <w:gridSpan w:val="9"/>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940" w:type="dxa"/>
            <w:vAlign w:val="bottom"/>
            <w:gridSpan w:val="11"/>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tcBorders>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7360" w:type="dxa"/>
            <w:vAlign w:val="bottom"/>
            <w:gridSpan w:val="12"/>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Signatures</w:t>
              </w:r>
            </w:hyperlink>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160" w:type="dxa"/>
            <w:vAlign w:val="bottom"/>
            <w:gridSpan w:val="1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12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 Index</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100" w:type="dxa"/>
            <w:vAlign w:val="bottom"/>
            <w:gridSpan w:val="10"/>
          </w:tcPr>
          <w:p>
            <w:pPr>
              <w:jc w:val="right"/>
              <w:ind w:right="30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1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data)</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6"/>
              </w:rPr>
              <w:t>July 1, 2012</w:t>
            </w:r>
          </w:p>
        </w:tc>
        <w:tc>
          <w:tcPr>
            <w:tcW w:w="200" w:type="dxa"/>
            <w:vAlign w:val="bottom"/>
          </w:tcPr>
          <w:p>
            <w:pPr>
              <w:spacing w:after="0"/>
              <w:rPr>
                <w:sz w:val="15"/>
                <w:szCs w:val="15"/>
                <w:color w:val="auto"/>
              </w:rPr>
            </w:pP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April 1, 2012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7"/>
              </w:rPr>
              <w:t>(Unaudited)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34,085</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Investments available-for-sale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receivables - less allowance for doubtful accounts: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780"/>
              <w:spacing w:after="0"/>
              <w:rPr>
                <w:sz w:val="20"/>
                <w:szCs w:val="20"/>
                <w:color w:val="auto"/>
              </w:rPr>
            </w:pPr>
            <w:r>
              <w:rPr>
                <w:rFonts w:ascii="Arial" w:cs="Arial" w:eastAsia="Arial" w:hAnsi="Arial"/>
                <w:sz w:val="18"/>
                <w:szCs w:val="18"/>
                <w:color w:val="auto"/>
              </w:rPr>
              <w:t>$500 as of July 1, 2012 and $460 as of April 1, 2012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113,360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110,855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73,265</w:t>
            </w: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6,495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212,024</w:t>
            </w:r>
          </w:p>
        </w:tc>
        <w:tc>
          <w:tcPr>
            <w:tcW w:w="240" w:type="dxa"/>
            <w:vAlign w:val="bottom"/>
          </w:tcPr>
          <w:p>
            <w:pPr>
              <w:spacing w:after="0"/>
              <w:rPr>
                <w:sz w:val="19"/>
                <w:szCs w:val="19"/>
                <w:color w:val="auto"/>
              </w:rPr>
            </w:pP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204,081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 trade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28,261</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employee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Container deposits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Other accruals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36,289</w:t>
            </w: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47,474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Common stock, par value $0.05; 10,430,874 shares issued and outstanding as of July 1, 2012 and April 1, 2012.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212,024</w:t>
            </w:r>
          </w:p>
        </w:tc>
        <w:tc>
          <w:tcPr>
            <w:tcW w:w="240" w:type="dxa"/>
            <w:vAlign w:val="bottom"/>
          </w:tcPr>
          <w:p>
            <w:pPr>
              <w:spacing w:after="0"/>
              <w:rPr>
                <w:sz w:val="19"/>
                <w:szCs w:val="19"/>
                <w:color w:val="auto"/>
              </w:rPr>
            </w:pP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204,081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6480" w:type="dxa"/>
            <w:vAlign w:val="bottom"/>
            <w:gridSpan w:val="2"/>
            <w:vMerge w:val="continue"/>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right"/>
              <w:ind w:right="880"/>
              <w:spacing w:after="0" w:line="129" w:lineRule="exact"/>
              <w:rPr>
                <w:sz w:val="20"/>
                <w:szCs w:val="20"/>
                <w:color w:val="auto"/>
              </w:rPr>
            </w:pPr>
            <w:r>
              <w:rPr>
                <w:rFonts w:ascii="Arial" w:cs="Arial" w:eastAsia="Arial" w:hAnsi="Arial"/>
                <w:sz w:val="14"/>
                <w:szCs w:val="14"/>
                <w:b w:val="1"/>
                <w:bCs w:val="1"/>
                <w:color w:val="auto"/>
              </w:rPr>
              <w:t>July 1,</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460" w:type="dxa"/>
            <w:vAlign w:val="bottom"/>
          </w:tcPr>
          <w:p>
            <w:pPr>
              <w:spacing w:after="0"/>
              <w:rPr>
                <w:sz w:val="7"/>
                <w:szCs w:val="7"/>
                <w:color w:val="auto"/>
              </w:rPr>
            </w:pPr>
          </w:p>
        </w:tc>
        <w:tc>
          <w:tcPr>
            <w:tcW w:w="2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88,594</w:t>
            </w:r>
          </w:p>
        </w:tc>
        <w:tc>
          <w:tcPr>
            <w:tcW w:w="0" w:type="dxa"/>
            <w:vAlign w:val="bottom"/>
          </w:tcPr>
          <w:p>
            <w:pPr>
              <w:spacing w:after="0"/>
              <w:rPr>
                <w:sz w:val="1"/>
                <w:szCs w:val="1"/>
                <w:color w:val="auto"/>
              </w:rPr>
            </w:pPr>
          </w:p>
        </w:tc>
      </w:tr>
      <w:tr>
        <w:trPr>
          <w:trHeight w:val="323"/>
        </w:trPr>
        <w:tc>
          <w:tcPr>
            <w:tcW w:w="64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(74,792)</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(70,667)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17,927</w:t>
            </w:r>
          </w:p>
        </w:tc>
        <w:tc>
          <w:tcPr>
            <w:tcW w:w="0" w:type="dxa"/>
            <w:vAlign w:val="bottom"/>
          </w:tcPr>
          <w:p>
            <w:pPr>
              <w:spacing w:after="0"/>
              <w:rPr>
                <w:sz w:val="1"/>
                <w:szCs w:val="1"/>
                <w:color w:val="auto"/>
              </w:rPr>
            </w:pPr>
          </w:p>
        </w:tc>
      </w:tr>
      <w:tr>
        <w:trPr>
          <w:trHeight w:val="323"/>
        </w:trPr>
        <w:tc>
          <w:tcPr>
            <w:tcW w:w="64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(8,227)</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323"/>
        </w:trPr>
        <w:tc>
          <w:tcPr>
            <w:tcW w:w="648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10,135</w:t>
            </w:r>
          </w:p>
        </w:tc>
        <w:tc>
          <w:tcPr>
            <w:tcW w:w="0" w:type="dxa"/>
            <w:vAlign w:val="bottom"/>
          </w:tcPr>
          <w:p>
            <w:pPr>
              <w:spacing w:after="0"/>
              <w:rPr>
                <w:sz w:val="1"/>
                <w:szCs w:val="1"/>
                <w:color w:val="auto"/>
              </w:rPr>
            </w:pPr>
          </w:p>
        </w:tc>
      </w:tr>
      <w:tr>
        <w:trPr>
          <w:trHeight w:val="323"/>
        </w:trPr>
        <w:tc>
          <w:tcPr>
            <w:tcW w:w="64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323"/>
        </w:trPr>
        <w:tc>
          <w:tcPr>
            <w:tcW w:w="648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0"/>
        </w:trPr>
        <w:tc>
          <w:tcPr>
            <w:tcW w:w="64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48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10,430,874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10,307,177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10,496,437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10,362,172</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480" w:type="dxa"/>
            <w:vAlign w:val="bottom"/>
            <w:gridSpan w:val="2"/>
            <w:vMerge w:val="continue"/>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480" w:type="dxa"/>
            <w:vAlign w:val="bottom"/>
            <w:gridSpan w:val="2"/>
            <w:vMerge w:val="continue"/>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540" w:type="dxa"/>
            <w:vAlign w:val="bottom"/>
          </w:tcPr>
          <w:p>
            <w:pPr>
              <w:spacing w:after="0"/>
              <w:rPr>
                <w:sz w:val="14"/>
                <w:szCs w:val="14"/>
                <w:color w:val="auto"/>
              </w:rPr>
            </w:pPr>
          </w:p>
        </w:tc>
        <w:tc>
          <w:tcPr>
            <w:tcW w:w="14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29"/>
        </w:trPr>
        <w:tc>
          <w:tcPr>
            <w:tcW w:w="5400" w:type="dxa"/>
            <w:vAlign w:val="bottom"/>
            <w:gridSpan w:val="2"/>
            <w:vMerge w:val="continue"/>
          </w:tcPr>
          <w:p>
            <w:pPr>
              <w:spacing w:after="0"/>
              <w:rPr>
                <w:sz w:val="11"/>
                <w:szCs w:val="11"/>
                <w:color w:val="auto"/>
              </w:rPr>
            </w:pPr>
          </w:p>
        </w:tc>
        <w:tc>
          <w:tcPr>
            <w:tcW w:w="454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6"/>
              </w:rPr>
              <w:t>July 1,</w:t>
            </w: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7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$ 4,383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$ 6,727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4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available-for-sale investments</w:t>
            </w:r>
          </w:p>
        </w:tc>
        <w:tc>
          <w:tcPr>
            <w:tcW w:w="4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Total other comprehensive income (loss)</w:t>
            </w:r>
          </w:p>
        </w:tc>
        <w:tc>
          <w:tcPr>
            <w:tcW w:w="454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$ 4,385</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4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4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540" w:type="dxa"/>
            <w:vAlign w:val="bottom"/>
          </w:tcPr>
          <w:p>
            <w:pPr>
              <w:jc w:val="right"/>
              <w:ind w:right="4099"/>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9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9360" w:type="dxa"/>
            <w:vAlign w:val="bottom"/>
            <w:gridSpan w:val="2"/>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6"/>
              </w:rPr>
              <w:t>July 1,</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w w:val="91"/>
              </w:rPr>
              <w:t>July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4,383</w:t>
            </w:r>
          </w:p>
        </w:tc>
        <w:tc>
          <w:tcPr>
            <w:tcW w:w="24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Reconciliation to cash flows: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compensation expense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Loss from property disposals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accounts providing (using) cash:</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1280"/>
              <w:spacing w:after="0"/>
              <w:rPr>
                <w:sz w:val="20"/>
                <w:szCs w:val="20"/>
                <w:color w:val="auto"/>
              </w:rPr>
            </w:pPr>
            <w:r>
              <w:rPr>
                <w:rFonts w:ascii="Arial" w:cs="Arial" w:eastAsia="Arial" w:hAnsi="Arial"/>
                <w:sz w:val="18"/>
                <w:szCs w:val="18"/>
                <w:color w:val="auto"/>
              </w:rPr>
              <w:t>Trade receivables</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128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4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14,045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(4,248)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investments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Sale and maturities of investments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Vertex</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Proceeds from property disposals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323"/>
        </w:trPr>
        <w:tc>
          <w:tcPr>
            <w:tcW w:w="93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paid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329"/>
        </w:trPr>
        <w:tc>
          <w:tcPr>
            <w:tcW w:w="93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3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34,085</w:t>
            </w:r>
          </w:p>
        </w:tc>
        <w:tc>
          <w:tcPr>
            <w:tcW w:w="24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investing activities –</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Capital expenditures in 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1,959</w:t>
            </w:r>
          </w:p>
        </w:tc>
        <w:tc>
          <w:tcPr>
            <w:tcW w:w="24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consolidated financial statements and footnotes included in our Annual Report on Form 10-K for the fiscal year ended April 1, 2012,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w:t>
      </w:r>
    </w:p>
    <w:p>
      <w:pPr>
        <w:spacing w:after="0" w:line="12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accounting policies we follow are set forth in “Item 8. Financial Statements and Supplementary Data, Note 1 – Nature of Business and Significant Accounting Policies” to our consolidated financial statements in our Annual Report on Form 10-K for the fiscal year ended April 1, 2012 (“fiscal 2012”) filed with the SEC on June 1, 2012.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for the period ended July 1, 2012 are not necessarily indicative of the results that may be expected for the full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16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6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July 1,</w:t>
            </w:r>
          </w:p>
        </w:tc>
        <w:tc>
          <w:tcPr>
            <w:tcW w:w="360" w:type="dxa"/>
            <w:vAlign w:val="bottom"/>
          </w:tcPr>
          <w:p>
            <w:pPr>
              <w:spacing w:after="0"/>
              <w:rPr>
                <w:sz w:val="12"/>
                <w:szCs w:val="12"/>
                <w:color w:val="auto"/>
              </w:rPr>
            </w:pPr>
          </w:p>
        </w:tc>
        <w:tc>
          <w:tcPr>
            <w:tcW w:w="9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July 3,</w:t>
            </w: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60" w:type="dxa"/>
            <w:vAlign w:val="bottom"/>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120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 – basic</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10,430,874</w:t>
            </w: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10,307,177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65,563</w:t>
            </w:r>
          </w:p>
        </w:tc>
        <w:tc>
          <w:tcPr>
            <w:tcW w:w="3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10,496,437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10,362,172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periods ended July 1, 2012 and July 3, 2011, there were no shares or stock options excluded from the calculation of weighted-average common shares for diluted EPS.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2009, we agreed to sell our inventory and entered into a marketing agreement regarding the business of our Pharmaceutical segment, which provided pharmaceutical chemicals to retail pharmacies and small-scale pharmaceutical manufacturers. The agreement provided for annual payments based on a percentage of gross profit on future sales. We have no remaining obligations to fulfill under the agreement. All required payments under the agreement have been received with the final payment of $1.3 million received in the first quarter of fiscal 2013, generating a nominal gain in this quarter. We previously recorded a gain of approximately $0.6 million before taxes in the first quarter of fiscal 2012. The results of the Pharmaceutical segment have been reported as discontinued operations for all periods presented.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Investments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60"/>
              <w:spacing w:after="0"/>
              <w:rPr>
                <w:sz w:val="20"/>
                <w:szCs w:val="20"/>
                <w:color w:val="auto"/>
              </w:rPr>
            </w:pPr>
            <w:r>
              <w:rPr>
                <w:rFonts w:ascii="Arial" w:cs="Arial" w:eastAsia="Arial" w:hAnsi="Arial"/>
                <w:sz w:val="14"/>
                <w:szCs w:val="14"/>
                <w:b w:val="1"/>
                <w:bCs w:val="1"/>
                <w:color w:val="auto"/>
                <w:w w:val="87"/>
              </w:rPr>
              <w:t>July 1,</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640" w:type="dxa"/>
            <w:vAlign w:val="bottom"/>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6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196"/>
        </w:trPr>
        <w:tc>
          <w:tcPr>
            <w:tcW w:w="6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23,514</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23,514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19,801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22"/>
        </w:trPr>
        <w:tc>
          <w:tcPr>
            <w:tcW w:w="6180" w:type="dxa"/>
            <w:vAlign w:val="bottom"/>
            <w:gridSpan w:val="2"/>
          </w:tcPr>
          <w:p>
            <w:pPr>
              <w:ind w:left="440"/>
              <w:spacing w:after="0"/>
              <w:rPr>
                <w:sz w:val="20"/>
                <w:szCs w:val="20"/>
                <w:color w:val="auto"/>
              </w:rPr>
            </w:pPr>
            <w:r>
              <w:rPr>
                <w:rFonts w:ascii="Arial" w:cs="Arial" w:eastAsia="Arial" w:hAnsi="Arial"/>
                <w:sz w:val="18"/>
                <w:szCs w:val="18"/>
                <w:color w:val="auto"/>
              </w:rPr>
              <w:t>Money market securities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10,571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10,571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9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April 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640" w:type="dxa"/>
            <w:vAlign w:val="bottom"/>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6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196"/>
        </w:trPr>
        <w:tc>
          <w:tcPr>
            <w:tcW w:w="6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28,006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28,006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17,349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22"/>
        </w:trPr>
        <w:tc>
          <w:tcPr>
            <w:tcW w:w="6180" w:type="dxa"/>
            <w:vAlign w:val="bottom"/>
            <w:gridSpan w:val="2"/>
          </w:tcPr>
          <w:p>
            <w:pPr>
              <w:ind w:left="440"/>
              <w:spacing w:after="0"/>
              <w:rPr>
                <w:sz w:val="20"/>
                <w:szCs w:val="20"/>
                <w:color w:val="auto"/>
              </w:rPr>
            </w:pPr>
            <w:r>
              <w:rPr>
                <w:rFonts w:ascii="Arial" w:cs="Arial" w:eastAsia="Arial" w:hAnsi="Arial"/>
                <w:sz w:val="18"/>
                <w:szCs w:val="18"/>
                <w:color w:val="auto"/>
              </w:rPr>
              <w:t>Money market securities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financial assets that are measured at fair value on a recurring basis are certificates of deposit (“CD’s”), with maturities ranging from three months to two years which fall within valuation technique Level 2. The CD’s are classified as investments in current assets and noncurrent assets on the Condensed Consolidated Balance Sheets. As of July 1, 2012, the CD’s in current assets had a fair value of $12.5 million, and in noncurrent assets, the CD’s had a fair value of $7.3 million.</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carrying value of cash and cash equivalents accounts approximates fair value, as maturities are three months or less. We did not have any financial liability instruments subject to recurring fair value measurements as of July 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July 1, 2012 and April 1, 2012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July 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April 1,</w:t>
            </w:r>
          </w:p>
        </w:tc>
        <w:tc>
          <w:tcPr>
            <w:tcW w:w="0" w:type="dxa"/>
            <w:vAlign w:val="bottom"/>
          </w:tcPr>
          <w:p>
            <w:pPr>
              <w:spacing w:after="0"/>
              <w:rPr>
                <w:sz w:val="1"/>
                <w:szCs w:val="1"/>
                <w:color w:val="auto"/>
              </w:rPr>
            </w:pPr>
          </w:p>
        </w:tc>
      </w:tr>
      <w:tr>
        <w:trPr>
          <w:trHeight w:val="161"/>
        </w:trPr>
        <w:tc>
          <w:tcPr>
            <w:tcW w:w="6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Finished goods (FIFO basis)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33,989</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LIFO reserve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Net inventory</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26,457</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$29.9 million at July 1, 2012 and $30.6 million at April 1, 2012. The remainder of the inventory was valued and accounted for under the FIFO method.</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LIFO reserve increased $0.1 million during the three months ended July 1, 2012 compared to an increase of $0.3 million for the three months ended July 3, 2011 as a result of the changes in projected inventory costs, mix and volumes. The valuation of LIFO inventory for interim periods is based on our estimates of year-end inventory levels and costs.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as of July 1, 2012 and at April 1, 2012 was $6.5 million.</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Intangible assets consist primarily of customer lists, trade secrets and non-compete agreements classified as finite life and trademarks and trade names classified as indefinite life, related to previous business acquisitions. A summary of our intangible assets as of July 1, 2012 and April 1, 2012 were as follows: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color w:val="auto"/>
              </w:rPr>
              <w:t>July 1, 2012</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08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4"/>
                <w:szCs w:val="14"/>
                <w:color w:val="auto"/>
                <w:w w:val="84"/>
              </w:rPr>
              <w:t>Gross Carrying</w:t>
            </w:r>
          </w:p>
        </w:tc>
        <w:tc>
          <w:tcPr>
            <w:tcW w:w="580" w:type="dxa"/>
            <w:vAlign w:val="bottom"/>
          </w:tcPr>
          <w:p>
            <w:pPr>
              <w:spacing w:after="0"/>
              <w:rPr>
                <w:sz w:val="11"/>
                <w:szCs w:val="11"/>
                <w:color w:val="auto"/>
              </w:rPr>
            </w:pPr>
          </w:p>
        </w:tc>
        <w:tc>
          <w:tcPr>
            <w:tcW w:w="106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94"/>
              <w:spacing w:after="0" w:line="159" w:lineRule="exact"/>
              <w:rPr>
                <w:sz w:val="20"/>
                <w:szCs w:val="20"/>
                <w:color w:val="auto"/>
              </w:rPr>
            </w:pPr>
            <w:r>
              <w:rPr>
                <w:rFonts w:ascii="Arial" w:cs="Arial" w:eastAsia="Arial" w:hAnsi="Arial"/>
                <w:sz w:val="14"/>
                <w:szCs w:val="14"/>
                <w:color w:val="auto"/>
                <w:w w:val="99"/>
              </w:rPr>
              <w:t>Amount</w:t>
            </w:r>
          </w:p>
        </w:tc>
        <w:tc>
          <w:tcPr>
            <w:tcW w:w="580" w:type="dxa"/>
            <w:vAlign w:val="bottom"/>
          </w:tcPr>
          <w:p>
            <w:pPr>
              <w:spacing w:after="0"/>
              <w:rPr>
                <w:sz w:val="13"/>
                <w:szCs w:val="13"/>
                <w:color w:val="auto"/>
              </w:rPr>
            </w:pPr>
          </w:p>
        </w:tc>
        <w:tc>
          <w:tcPr>
            <w:tcW w:w="106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29"/>
        </w:trPr>
        <w:tc>
          <w:tcPr>
            <w:tcW w:w="6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Finite-life intangible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(774)</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Trademark</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secrets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Carrier relationships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finite-life intangible 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Total finite-life intangible assets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8,749</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(1,942)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Indefinite-life intangible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9,976</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(1,942)</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400"/>
              <w:spacing w:after="0" w:line="149" w:lineRule="exact"/>
              <w:rPr>
                <w:sz w:val="20"/>
                <w:szCs w:val="20"/>
                <w:color w:val="auto"/>
              </w:rPr>
            </w:pPr>
            <w:r>
              <w:rPr>
                <w:rFonts w:ascii="Arial" w:cs="Arial" w:eastAsia="Arial" w:hAnsi="Arial"/>
                <w:sz w:val="14"/>
                <w:szCs w:val="14"/>
                <w:color w:val="auto"/>
              </w:rPr>
              <w:t>April 1, 2012</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08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4"/>
                <w:szCs w:val="14"/>
                <w:color w:val="auto"/>
                <w:w w:val="84"/>
              </w:rPr>
              <w:t>Gross Carrying</w:t>
            </w:r>
          </w:p>
        </w:tc>
        <w:tc>
          <w:tcPr>
            <w:tcW w:w="580" w:type="dxa"/>
            <w:vAlign w:val="bottom"/>
          </w:tcPr>
          <w:p>
            <w:pPr>
              <w:spacing w:after="0"/>
              <w:rPr>
                <w:sz w:val="11"/>
                <w:szCs w:val="11"/>
                <w:color w:val="auto"/>
              </w:rPr>
            </w:pPr>
          </w:p>
        </w:tc>
        <w:tc>
          <w:tcPr>
            <w:tcW w:w="106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94"/>
              <w:spacing w:after="0" w:line="159" w:lineRule="exact"/>
              <w:rPr>
                <w:sz w:val="20"/>
                <w:szCs w:val="20"/>
                <w:color w:val="auto"/>
              </w:rPr>
            </w:pPr>
            <w:r>
              <w:rPr>
                <w:rFonts w:ascii="Arial" w:cs="Arial" w:eastAsia="Arial" w:hAnsi="Arial"/>
                <w:sz w:val="14"/>
                <w:szCs w:val="14"/>
                <w:color w:val="auto"/>
                <w:w w:val="99"/>
              </w:rPr>
              <w:t>Amount</w:t>
            </w:r>
          </w:p>
        </w:tc>
        <w:tc>
          <w:tcPr>
            <w:tcW w:w="580" w:type="dxa"/>
            <w:vAlign w:val="bottom"/>
          </w:tcPr>
          <w:p>
            <w:pPr>
              <w:spacing w:after="0"/>
              <w:rPr>
                <w:sz w:val="13"/>
                <w:szCs w:val="13"/>
                <w:color w:val="auto"/>
              </w:rPr>
            </w:pPr>
          </w:p>
        </w:tc>
        <w:tc>
          <w:tcPr>
            <w:tcW w:w="106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29"/>
        </w:trPr>
        <w:tc>
          <w:tcPr>
            <w:tcW w:w="6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Finite-life intangible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(706)</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Trademark</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secrets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Carrier relationships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finite-life intangible 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Total finite-life intangible assets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8,749</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(1,790)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Indefinite-life intangible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9,976</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(1,790)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9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the preparation of our condensed consolidated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condensed consolidated balance sheet. These assets and liabilities are analyzed regularly and management assesses the likelihood that deferred tax assets will be recovered from future taxable income. We record any interest and penalties related to income taxes as income tax expense in the condensed consolidated statements of income.</w:t>
      </w:r>
    </w:p>
    <w:p>
      <w:pPr>
        <w:spacing w:after="0" w:line="10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Changes in recognition or measurement are reflected in the period in which the change in judgment occurs.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Accumulated Other Comprehensive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were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3"/>
          </w:tcPr>
          <w:p>
            <w:pPr>
              <w:jc w:val="right"/>
              <w:ind w:right="360"/>
              <w:spacing w:after="0"/>
              <w:rPr>
                <w:sz w:val="20"/>
                <w:szCs w:val="20"/>
                <w:color w:val="auto"/>
              </w:rPr>
            </w:pPr>
            <w:r>
              <w:rPr>
                <w:rFonts w:ascii="Arial" w:cs="Arial" w:eastAsia="Arial" w:hAnsi="Arial"/>
                <w:sz w:val="14"/>
                <w:szCs w:val="14"/>
                <w:color w:val="auto"/>
              </w:rPr>
              <w:t>July 1,</w:t>
            </w:r>
          </w:p>
        </w:tc>
        <w:tc>
          <w:tcPr>
            <w:tcW w:w="24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color w:val="auto"/>
                <w:w w:val="96"/>
              </w:rPr>
              <w:t>April 1,</w:t>
            </w:r>
          </w:p>
        </w:tc>
        <w:tc>
          <w:tcPr>
            <w:tcW w:w="0" w:type="dxa"/>
            <w:vAlign w:val="bottom"/>
          </w:tcPr>
          <w:p>
            <w:pPr>
              <w:spacing w:after="0"/>
              <w:rPr>
                <w:sz w:val="1"/>
                <w:szCs w:val="1"/>
                <w:color w:val="auto"/>
              </w:rPr>
            </w:pPr>
          </w:p>
        </w:tc>
      </w:tr>
      <w:tr>
        <w:trPr>
          <w:trHeight w:val="159"/>
        </w:trPr>
        <w:tc>
          <w:tcPr>
            <w:tcW w:w="702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89"/>
              </w:rPr>
              <w:t>2012</w:t>
            </w: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83"/>
              </w:rPr>
              <w:t>2012</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Unrealized gain (loss) on:</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Available-for-sale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Post-retirement plan liability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The following table represents the stock option activity for the three months ended July 1,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1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7"/>
              </w:rPr>
              <w:t>Outstanding</w:t>
            </w:r>
          </w:p>
        </w:tc>
        <w:tc>
          <w:tcPr>
            <w:tcW w:w="4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Exercisable</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r>
      <w:tr>
        <w:trPr>
          <w:trHeight w:val="149"/>
        </w:trPr>
        <w:tc>
          <w:tcPr>
            <w:tcW w:w="6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61"/>
        </w:trPr>
        <w:tc>
          <w:tcPr>
            <w:tcW w:w="6680" w:type="dxa"/>
            <w:vAlign w:val="bottom"/>
          </w:tcPr>
          <w:p>
            <w:pPr>
              <w:spacing w:after="0"/>
              <w:rPr>
                <w:sz w:val="14"/>
                <w:szCs w:val="14"/>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w w:val="94"/>
              </w:rPr>
              <w:t>Shares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center"/>
              <w:ind w:right="55"/>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r>
      <w:tr>
        <w:trPr>
          <w:trHeight w:val="210"/>
        </w:trPr>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46,665</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19.01</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Granted</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37,332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19.90</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Exercised</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46,665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40"/>
              <w:spacing w:after="0"/>
              <w:rPr>
                <w:sz w:val="20"/>
                <w:szCs w:val="20"/>
                <w:color w:val="auto"/>
              </w:rPr>
            </w:pPr>
            <w:r>
              <w:rPr>
                <w:rFonts w:ascii="Arial" w:cs="Arial" w:eastAsia="Arial" w:hAnsi="Arial"/>
                <w:sz w:val="18"/>
                <w:szCs w:val="18"/>
                <w:color w:val="auto"/>
                <w:w w:val="84"/>
              </w:rPr>
              <w:t>19.01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46,665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19.01</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for the three months ended July 1, 2012 and July 3, 2011 related to stock options was not material.</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Performance-Based Restricted Stock Units.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during the first quarters of each of fiscal 2012 and 2013. These performance-based arrangements provide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53,193 shares in the aggregate for fiscal 2013.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three months ended July 1, 2012:</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Average Grant</w:t>
            </w: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98"/>
              </w:rPr>
              <w:t>Shares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Date Fair Value</w:t>
            </w: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33,321</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Granted</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29,923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Forfeited or expired</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63,244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recorded compensation expense of $0.3 million related to performance share units and restricted stock for the three months ended July 1, 2012 and $0.1 million related to performance share units and restricted stock for the three months ended July 3, 2011, respectively. Substantially all of the compensation expense was recorded in selling, general and administrative expenses in the Condensed Consolidated Statements of Income.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As part of their retainer, each non-employee director receives an annual grant of restricted stock for their Board services. The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awards are expensed over the requisite vesting period, which is one year from the date of issuance, based on the market value on the date of grant. The following table represents the Board’s restricted stock activity for the three months ended July 1, 2012:</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Grant</w:t>
            </w: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Shares</w:t>
            </w:r>
          </w:p>
        </w:tc>
        <w:tc>
          <w:tcPr>
            <w:tcW w:w="1660" w:type="dxa"/>
            <w:vAlign w:val="bottom"/>
            <w:gridSpan w:val="4"/>
          </w:tcPr>
          <w:p>
            <w:pPr>
              <w:ind w:left="640"/>
              <w:spacing w:after="0"/>
              <w:rPr>
                <w:sz w:val="20"/>
                <w:szCs w:val="20"/>
                <w:color w:val="auto"/>
              </w:rPr>
            </w:pPr>
            <w:r>
              <w:rPr>
                <w:rFonts w:ascii="Arial" w:cs="Arial" w:eastAsia="Arial" w:hAnsi="Arial"/>
                <w:sz w:val="14"/>
                <w:szCs w:val="14"/>
                <w:b w:val="1"/>
                <w:bCs w:val="1"/>
                <w:color w:val="auto"/>
                <w:w w:val="98"/>
              </w:rPr>
              <w:t>Date Fair Value</w:t>
            </w: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6,120</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Forfeited or expired</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6,120</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the three months ended July 1, 2012 and July 3, 2011 related to restricted stock awards to the Board was not material.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Pension Plans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Multiemployer pension plan</w:t>
      </w:r>
      <w:r>
        <w:rPr>
          <w:rFonts w:ascii="Arial" w:cs="Arial" w:eastAsia="Arial" w:hAnsi="Arial"/>
          <w:sz w:val="16"/>
          <w:szCs w:val="16"/>
          <w:color w:val="auto"/>
        </w:rPr>
        <w:t>. We participate in the Central States, Southeast and Southwest Areas Pension Fund (“CSS”), a union-sponsored,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bargained multiemployer pension plan. Our participation is pursuant to two collective bargaining agreements that expire in February 2013. Contributions are determined in accordance with the provisions of negotiated labor contracts and generally are based on the number of hours worked. The risks of participating in multiemployer pension plans are different from single-employer plans in the following aspects: (i) assets contributed to a multiemployer plan by one employer may be used to provide benefits to employees of other participating employers; (ii) if a participating employer stops contributing to the plan, the unfunded obligations of the plan may be borne by the remaining participating employers; and (iii) if we stop participating in the multiemployer plan, we may be required to pay the plan an amount based on the underfunded status of the plan, referred to as a withdrawal liability.</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Based upon the most recent information available from the trustees managing CSS as of the end of our most recently completed fiscal year, our share of the unfunded vested benefit liability for the plan was estimated to be approximately $7.9 million if the withdrawal had occurred in calendar year 2011, an increase from an estimate of approximately $5.1 million if the withdrawal had occurred in calendar year 2009. These estimates were calculated by the trustees managing CSS. Although we believe the most recent plan data available from CSS was used in computing the 2011 estimate, the actual withdrawal liability amount is subject to change based on, among other things, the plan’s investment returns and benefit levels, interest rates, financial difficulty of other participating employers in the plan such as bankruptcy, and continued participation by the company and other employers in the plan, each of which could impact the ultimate withdrawal liability. If withdrawal liability were to be triggered, we would have the option to make payments over a period of 20 years instead of paying the withdrawal liability in a lump sum.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Litigation, Commitments and Contingencies</w:t>
      </w:r>
    </w:p>
    <w:p>
      <w:pPr>
        <w:spacing w:after="0" w:line="9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a party from time to time in litigation arising in the ordinary course of our business. Legal fees associated with such matters are expensed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w:t>
      </w:r>
    </w:p>
    <w:p>
      <w:pPr>
        <w:spacing w:after="0" w:line="12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June 15, 2012, we entered into a settlement agreement with ICL Performance Products LP (“ICL”), a chemical supplier to us, pursuant to which we mutually resolved the previously disclosed litigation and all disputes among us. The settlement agreement provides for a cash payment by us to ICL and provides that both parties will enter into new contracts for the supply by ICL of certain chemicals to us. Our obligations under the settlement agreement resulted in a $3.2 million charge to pretax income recorded in cost of sales (approximately $2.0 million after tax) for our fiscal quarter ending July 1, 2012.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as disclosed in our fiscal 2012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customer represents ten percent or more of our revenue. Sales are primarily within the United States and all assets are located within the United States.</w:t>
      </w:r>
    </w:p>
    <w:p>
      <w:pPr>
        <w:spacing w:after="0" w:line="1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20"/>
                <w:szCs w:val="20"/>
                <w:color w:val="auto"/>
              </w:rPr>
            </w:pPr>
            <w:r>
              <w:rPr>
                <w:rFonts w:ascii="Arial" w:cs="Arial" w:eastAsia="Arial" w:hAnsi="Arial"/>
                <w:sz w:val="14"/>
                <w:szCs w:val="14"/>
                <w:b w:val="1"/>
                <w:bCs w:val="1"/>
                <w:color w:val="auto"/>
              </w:rPr>
              <w:t>Reportable Segments</w:t>
            </w: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Water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5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Industrial</w:t>
            </w: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Treatment</w:t>
            </w:r>
          </w:p>
        </w:tc>
        <w:tc>
          <w:tcPr>
            <w:tcW w:w="1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Three months ended July 1, 2012:</w:t>
            </w:r>
          </w:p>
        </w:tc>
        <w:tc>
          <w:tcPr>
            <w:tcW w:w="2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Sales</w:t>
            </w: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62,151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27,948</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90,099</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7,276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15,307</w:t>
            </w:r>
          </w:p>
        </w:tc>
        <w:tc>
          <w:tcPr>
            <w:tcW w:w="100" w:type="dxa"/>
            <w:vAlign w:val="bottom"/>
            <w:shd w:val="clear" w:color="auto" w:fill="CCEEFF"/>
          </w:tcPr>
          <w:p>
            <w:pPr>
              <w:spacing w:after="0"/>
              <w:rPr>
                <w:sz w:val="18"/>
                <w:szCs w:val="18"/>
                <w:color w:val="auto"/>
              </w:rPr>
            </w:pPr>
          </w:p>
        </w:tc>
      </w:tr>
      <w:tr>
        <w:trPr>
          <w:trHeight w:val="222"/>
        </w:trPr>
        <w:tc>
          <w:tcPr>
            <w:tcW w:w="356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2,184</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19"/>
                <w:szCs w:val="19"/>
                <w:color w:val="auto"/>
              </w:rPr>
            </w:pPr>
          </w:p>
        </w:tc>
      </w:tr>
      <w:tr>
        <w:trPr>
          <w:trHeight w:val="102"/>
        </w:trPr>
        <w:tc>
          <w:tcPr>
            <w:tcW w:w="35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July 3, 2011:</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Sales</w:t>
            </w: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63,567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25,027</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88,594</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10,719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17,927</w:t>
            </w:r>
          </w:p>
        </w:tc>
        <w:tc>
          <w:tcPr>
            <w:tcW w:w="100" w:type="dxa"/>
            <w:vAlign w:val="bottom"/>
            <w:shd w:val="clear" w:color="auto" w:fill="CCEEFF"/>
          </w:tcPr>
          <w:p>
            <w:pPr>
              <w:spacing w:after="0"/>
              <w:rPr>
                <w:sz w:val="18"/>
                <w:szCs w:val="18"/>
                <w:color w:val="auto"/>
              </w:rPr>
            </w:pPr>
          </w:p>
        </w:tc>
      </w:tr>
      <w:tr>
        <w:trPr>
          <w:trHeight w:val="222"/>
        </w:trPr>
        <w:tc>
          <w:tcPr>
            <w:tcW w:w="356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5,642</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4,428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10,070</w:t>
            </w:r>
          </w:p>
        </w:tc>
        <w:tc>
          <w:tcPr>
            <w:tcW w:w="100" w:type="dxa"/>
            <w:vAlign w:val="bottom"/>
          </w:tcPr>
          <w:p>
            <w:pPr>
              <w:spacing w:after="0"/>
              <w:rPr>
                <w:sz w:val="19"/>
                <w:szCs w:val="19"/>
                <w:color w:val="auto"/>
              </w:rPr>
            </w:pPr>
          </w:p>
        </w:tc>
      </w:tr>
      <w:tr>
        <w:trPr>
          <w:trHeight w:val="356"/>
        </w:trPr>
        <w:tc>
          <w:tcPr>
            <w:tcW w:w="3560" w:type="dxa"/>
            <w:vAlign w:val="bottom"/>
          </w:tcPr>
          <w:p>
            <w:pPr>
              <w:spacing w:after="0"/>
              <w:rPr>
                <w:sz w:val="24"/>
                <w:szCs w:val="24"/>
                <w:color w:val="auto"/>
              </w:rPr>
            </w:pPr>
          </w:p>
        </w:tc>
        <w:tc>
          <w:tcPr>
            <w:tcW w:w="2900" w:type="dxa"/>
            <w:vAlign w:val="bottom"/>
          </w:tcPr>
          <w:p>
            <w:pPr>
              <w:jc w:val="right"/>
              <w:ind w:right="149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three months ended July 1, 2012 as compared to July 3, 2011. This discussion should be read in conjunction with the Condensed Consolidated Financial Statements and Notes to Condensed Consolidated Financial Statements included in this Form 10-Q and Item 8 of our Annual Report on Form 10-K for the fiscal year ended April 1, 2012 (“fiscal 2012”). References to fiscal 2013 refer to the fiscal year ending March 31,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 In recent years, we expanded the sales of our higher-margin blended and manufactured products.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continued to invest in growing our business. During fiscal 2012, we purchased a 28-acre parcel of land in Rosemount, Minnesota and began construction of a new facility on the site, which is expected to be operational in late fiscal 2013. The site provides capacity for future business growth and lessens our dependence on our flood-prone sites on the Mississippi River. While we expect to transfer some blending and manufacturing activity to the Rosemount site, we do not intend to close any sites we currently operate.</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June 15, 2012, we entered into a settlement agreement with ICL Performance Products LP (“ICL”), a chemical supplier to us, pursuant to which we mutually resolved the previously disclosed litigation and all disputes among us. The settlement agreement provides for a cash payment by us to ICL and provides that both parties will enter into new contracts for the supply by ICL of certain chemicals to us. Our obligations under the settlement agreement resulted in a $3.2 million charge to pretax income recorded in cost of sales (approximately $2.0 million after tax) for our fiscal quarter ending July 1, 2012.</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the last in, first out (“LIFO”) method for valuing substantially all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 We recorded a $0.1 million increase in our LIFO reserve for the three months ended July 1, 2012 and $0.3 million increase for the three months ended July 3, 2011, which decreased our gross profit in those periods by those amounts.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1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July 1</w:t>
            </w: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July 3</w:t>
            </w:r>
          </w:p>
        </w:tc>
      </w:tr>
      <w:tr>
        <w:trPr>
          <w:trHeight w:val="161"/>
        </w:trPr>
        <w:tc>
          <w:tcPr>
            <w:tcW w:w="20" w:type="dxa"/>
            <w:vAlign w:val="bottom"/>
          </w:tcPr>
          <w:p>
            <w:pPr>
              <w:spacing w:after="0"/>
              <w:rPr>
                <w:sz w:val="14"/>
                <w:szCs w:val="14"/>
                <w:color w:val="auto"/>
              </w:rPr>
            </w:pPr>
          </w:p>
        </w:tc>
        <w:tc>
          <w:tcPr>
            <w:tcW w:w="68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sales</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(83.0)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(79.8)</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(9.1)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Investment income</w:t>
            </w: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Sales increased $1.5 million, or 1.7%, to $90.1 million for the three months ended July 1, 2012 as compared to $88.6 million in the same period of the prior year. Sales of bulk chemicals, including caustic soda, were approximately 21% of sales during the three months ended July 1, 2012 as compared to 22% during the same period of the prior year.</w:t>
      </w:r>
    </w:p>
    <w:p>
      <w:pPr>
        <w:spacing w:after="0" w:line="14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decreased $1.4 million, or 2.2%, to $62.2 million for the three months ended July 1, 2012 as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the prior year. The decrease in sales was primarily due to reduced volumes partially offset by higher selling prices.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$2.9 million, or 11.7%, to $27.9 million for the three months ended July 1, 2012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of the prior year. The increase in sales was primarily due to higher selling prices as well as increased volumes due to more favorable weather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Gross profit was $15.3 million, or 17.0% of sales, for the three months ended July 1, 2012, as compared to $17.9 million, or 20.2% of sales, for the same period of the prior year. Gross profit was adversely impacted by the $3.2 million charge resulting from the ICL litigation settlement, which charge constituted 3.6% of sales for the quarter. The LIFO method of valuing inventory decreased gross profit by $0.1 million for the three months ended July 1, 2012 and by $0.3 million for the same period of the prior year.</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$7.3 million, or 11.7% of sales, for the three months ended July 1, 2012, as compared to $10.7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16.9% of sales, for the same period of the prior year. Gross profit for this segment was negatively impacted by the $3.2 million charge resulting from the ICL litigation settlement, which charge constituted 5.2% of sales for this segment for the quarter. The remaining difference in gross profit dollars was $0.2 million, primarily due to the lower sales volumes. The LIFO method of valuing inventory decreased gross profit in this segment by $0.1 million for the three months ended July 1, 2012 and by $0.2 million for the same period of the prior year.</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$8.0 million, or 28.7% of sales, for the three months ended July 1,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$7.2 million, or 28.8% of sales, for the same period in the prior year. The increase in gross profit was primarily due to higher per-unit margins and increased volumes across most product lines. The LIFO method of valuing inventory decreased gross profit in this segment nominally for the three months ended July 1, 2012 and decreased gross profit by $0.1 million for the same period of the prior year.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Selling, general and administrative expenses were $8.2 million, or 9.1% of sales, for the three months ended July 1, 2012 as compared to $7.9 million, or 8.9% of sales, for the three months ended July 3, 2011. The increase was primarily due to additional sales staffing to support growth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Operating income was $7.1 million for the three months ended July 1, 2012 and $10.1 million for the three months ended July 3, 2011. Operating income for the Industrial segment decreased $3.5 million primarily due to the $3.2 million charge resulting from the ICL litigation settlement recorded within that segment. Operating income for the Water Treatment segment increased $0.5 million for the three months ended July 1, 2012, as compared to the same period of the prior year due to improved per-unit product margins and more favorable weather conditions, partially offset by higher selling expense.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was nominal during the three months ended July 1, 2012 and $0.1 million for the three months ended July 3,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effective income tax rate was 38.6% for the three months ended July 1, 2012, compared to 37.3% for the three months ended July 3, 2011. The effective tax rate is impacted by projected levels of taxable income, permanent items, and state taxes.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Cash provided by operating activities for the three months ended July 1, 2012 was $14.0 million compared to $7.2 million for the three months ended July 3, 2011. The increase in cash provided by operating activities was primarily due to reduced cash used to fund working capital, including the timing of inventory purchases and related vendor payments. Our accounts payable balance was higher as of July 1, 2012 than in the comparable date in prior year primarily due to accruals related to the ICL litigation settlement and the Rosemount facility construction. Due to the nature of our operations, which includes purchases of large quantities of bulk chemicals, timing of purchases can result in significant changes in working capital investment and the resulting operating cash flow.</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Historically, our cash requirements increase during the period from April through November as caustic soda inventory levels increase as the majority of barges are received during this period. Additionally, due to the seasonality of the water treatment business, our accounts receivable balance generally increases during the period of April through September.</w:t>
      </w:r>
    </w:p>
    <w:p>
      <w:pPr>
        <w:spacing w:after="0" w:line="14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Cash and investments available-for-sale of $53.9 million at July 1, 2012 increased by $8.0 million as compared with the $45.9 million available as of April 1, 2012, primarily due to cash flows generated from operations, partially offset by capital expenditures and dividends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Capital expenditures were $4.2 million for the three months ended July 1, 2012 compared to $3.6 million in the same period in the prior fiscal year. Significant capital expenditures during the three months ended July 1, 2012 consisted of approximately $2.5 million related to business expansion and process improvement projects including the new facility in Rosemount, Minnesota. Other capital spending was related to regulatory, safety and facility improvements and replacement trucks for the Water Treatment segment. We expect cash balances and our cash flows from operations will be sufficient to fund our cash requirements in fiscal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April 1, 2012. The accounting policies used in preparing our interim fiscal 2013 condensed consolidated financial statements are the same as those described in our Annual Report.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1, 2012.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At July 1, 2012, our investment portfolio included $19.8 million of certificates of deposit classified as fixed income securities and cash and cash equivalents of $34.1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14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in the future as our pricing must be competitive.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first quarter of fiscal 2013 that has materially affected, or is reasonably likely to materially affect, our internal control over financial reporting.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June 15, 2012, we entered into a settlement agreement with ICL Performance Products LP (“ICL”), a chemical supplier to us, pursuant to which we mutually resolved the previously disclosed litigation and all disputes among us. The settlement agreement provides for a cash payment by us to ICL and provides that both parties will enter into new contracts for the supply by ICL of certain chemicals to us. Our obligations under the settlement agreement resulted in a $3.2 million charge to pretax income recorded in cost of sales (approximately $2.0 million after tax) for our fiscal quarter ending July 1, 2012.</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previously disclosed, ICL filed on November 3, 2009 a lawsuit in the United States District Court for the Eastern District of Missouri, asserting breach of a contract for the sale of 75% purified phosphoric acid in 2009 (the “2009 Contract”). ICL sought to recover $7.3 million in damages and pre-judgment interest, and additionally sought to recover its costs and attorneys’ fees. We asserted counterclaims alleging that ICL falsely claimed to have a shortage of raw materials that prevented it from supplying us with the contracted quantity of 75% purified phosphoric acid for 2008. We also counterclaimed that ICL used this alleged shortage and the threat of discontinued shipments of 75% purified phosphoric acid to force us to pay increased prices for the remainder of 2008, and to sign the 2009 Contract. Based on this alleged conduct, we brought four alternate causes of action including: (1) breach of contract, (2) breach of the implied covenant of good faith and fair dealing, (3) negligent misrepresentation, and (4) intentional misrepresentation. We sought to recover $1.5 million in damages, and additionally sought to recover punitive damages, pre- and post-judgment interest, and our costs and attorneys’ fees. After the completion of discovery, both parties moved for summary judgment in their favor. In February 2012, the Court denied both parties’ motions for summary judgment. ICL moved for reconsideration of parts of its motion for summary judgment. In April 2012, the Court granted ICL’s motion for reconsideration in part, and denied it in part. In its April order, the Court interpreted the meaning and effect of a specific phrase in the 2009 Contract, and concluded that, if the 2009 Contract is a legally enforceable contract, we remained obligated to purchase 50% of our requirements for 75% purified phosphoric acid from ICL in 2009. Before the parties entered into the settlement agreement, trial was scheduled to begin in July 2012.</w:t>
      </w:r>
    </w:p>
    <w:p>
      <w:pPr>
        <w:spacing w:after="0" w:line="12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a party from time to time in other legal proceedings arising in the ordinary course of our business. To date, none of the litigation has had a material effect on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1, 2012.</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3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ind w:left="2900"/>
              <w:spacing w:after="0"/>
              <w:rPr>
                <w:sz w:val="20"/>
                <w:szCs w:val="20"/>
                <w:color w:val="auto"/>
              </w:rPr>
            </w:pPr>
            <w:r>
              <w:rPr>
                <w:rFonts w:ascii="Arial" w:cs="Arial" w:eastAsia="Arial" w:hAnsi="Arial"/>
                <w:sz w:val="14"/>
                <w:szCs w:val="14"/>
                <w:color w:val="auto"/>
              </w:rPr>
              <w:t>Description</w:t>
            </w:r>
          </w:p>
        </w:tc>
        <w:tc>
          <w:tcPr>
            <w:tcW w:w="22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Method of Filing</w:t>
            </w:r>
          </w:p>
        </w:tc>
      </w:tr>
      <w:tr>
        <w:trPr>
          <w:trHeight w:val="309"/>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8920" w:type="dxa"/>
            <w:vAlign w:val="bottom"/>
            <w:gridSpan w:val="4"/>
          </w:tcPr>
          <w:p>
            <w:pPr>
              <w:ind w:left="380"/>
              <w:spacing w:after="0"/>
              <w:rPr>
                <w:sz w:val="20"/>
                <w:szCs w:val="20"/>
                <w:color w:val="auto"/>
              </w:rPr>
            </w:pPr>
            <w:r>
              <w:rPr>
                <w:rFonts w:ascii="Arial" w:cs="Arial" w:eastAsia="Arial" w:hAnsi="Arial"/>
                <w:sz w:val="18"/>
                <w:szCs w:val="18"/>
                <w:color w:val="auto"/>
              </w:rPr>
              <w:t>Amended and Restated Articles of Incorporation. (1)</w:t>
            </w: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Incorporated by Reference</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8920" w:type="dxa"/>
            <w:vAlign w:val="bottom"/>
            <w:gridSpan w:val="4"/>
          </w:tcPr>
          <w:p>
            <w:pPr>
              <w:ind w:left="380"/>
              <w:spacing w:after="0"/>
              <w:rPr>
                <w:sz w:val="20"/>
                <w:szCs w:val="20"/>
                <w:color w:val="auto"/>
              </w:rPr>
            </w:pPr>
            <w:r>
              <w:rPr>
                <w:rFonts w:ascii="Arial" w:cs="Arial" w:eastAsia="Arial" w:hAnsi="Arial"/>
                <w:sz w:val="18"/>
                <w:szCs w:val="18"/>
                <w:color w:val="auto"/>
              </w:rPr>
              <w:t>Amended and Restated By-Laws. (2)</w:t>
            </w: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Incorporated by Reference</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31.1</w:t>
            </w:r>
          </w:p>
        </w:tc>
        <w:tc>
          <w:tcPr>
            <w:tcW w:w="8920" w:type="dxa"/>
            <w:vAlign w:val="bottom"/>
            <w:gridSpan w:val="4"/>
          </w:tcPr>
          <w:p>
            <w:pPr>
              <w:ind w:left="3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Filed Electronically</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31.2</w:t>
            </w:r>
          </w:p>
        </w:tc>
        <w:tc>
          <w:tcPr>
            <w:tcW w:w="8920" w:type="dxa"/>
            <w:vAlign w:val="bottom"/>
            <w:gridSpan w:val="4"/>
          </w:tcPr>
          <w:p>
            <w:pPr>
              <w:ind w:left="3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Filed Electronically</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32.1</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w w:val="87"/>
              </w:rPr>
              <w:t>Section 1350</w:t>
            </w:r>
          </w:p>
        </w:tc>
        <w:tc>
          <w:tcPr>
            <w:tcW w:w="7600" w:type="dxa"/>
            <w:vAlign w:val="bottom"/>
            <w:gridSpan w:val="2"/>
          </w:tcPr>
          <w:p>
            <w:pPr>
              <w:ind w:left="40"/>
              <w:spacing w:after="0"/>
              <w:rPr>
                <w:sz w:val="20"/>
                <w:szCs w:val="20"/>
                <w:color w:val="auto"/>
              </w:rPr>
            </w:pPr>
            <w:r>
              <w:rPr>
                <w:rFonts w:ascii="Arial" w:cs="Arial" w:eastAsia="Arial" w:hAnsi="Arial"/>
                <w:sz w:val="18"/>
                <w:szCs w:val="18"/>
                <w:color w:val="auto"/>
              </w:rPr>
              <w:t>Certification by Chief Executive Officer.</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Filed Electronically</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32.2</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w w:val="87"/>
              </w:rPr>
              <w:t>Section 1350</w:t>
            </w:r>
          </w:p>
        </w:tc>
        <w:tc>
          <w:tcPr>
            <w:tcW w:w="7600" w:type="dxa"/>
            <w:vAlign w:val="bottom"/>
            <w:gridSpan w:val="2"/>
          </w:tcPr>
          <w:p>
            <w:pPr>
              <w:ind w:left="40"/>
              <w:spacing w:after="0"/>
              <w:rPr>
                <w:sz w:val="20"/>
                <w:szCs w:val="20"/>
                <w:color w:val="auto"/>
              </w:rPr>
            </w:pPr>
            <w:r>
              <w:rPr>
                <w:rFonts w:ascii="Arial" w:cs="Arial" w:eastAsia="Arial" w:hAnsi="Arial"/>
                <w:sz w:val="18"/>
                <w:szCs w:val="18"/>
                <w:color w:val="auto"/>
              </w:rPr>
              <w:t>Certification by Chief Financial Officer.</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Filed Electronically</w:t>
            </w:r>
          </w:p>
        </w:tc>
      </w:tr>
      <w:tr>
        <w:trPr>
          <w:trHeight w:val="318"/>
        </w:trPr>
        <w:tc>
          <w:tcPr>
            <w:tcW w:w="420" w:type="dxa"/>
            <w:vAlign w:val="bottom"/>
          </w:tcPr>
          <w:p>
            <w:pPr>
              <w:spacing w:after="0"/>
              <w:rPr>
                <w:sz w:val="20"/>
                <w:szCs w:val="20"/>
                <w:color w:val="auto"/>
              </w:rPr>
            </w:pPr>
            <w:r>
              <w:rPr>
                <w:rFonts w:ascii="Arial" w:cs="Arial" w:eastAsia="Arial" w:hAnsi="Arial"/>
                <w:sz w:val="18"/>
                <w:szCs w:val="18"/>
                <w:color w:val="auto"/>
              </w:rPr>
              <w:t>101</w:t>
            </w:r>
          </w:p>
        </w:tc>
        <w:tc>
          <w:tcPr>
            <w:tcW w:w="8920" w:type="dxa"/>
            <w:vAlign w:val="bottom"/>
            <w:gridSpan w:val="4"/>
          </w:tcPr>
          <w:p>
            <w:pPr>
              <w:ind w:left="380"/>
              <w:spacing w:after="0"/>
              <w:rPr>
                <w:sz w:val="20"/>
                <w:szCs w:val="20"/>
                <w:color w:val="auto"/>
              </w:rPr>
            </w:pPr>
            <w:r>
              <w:rPr>
                <w:rFonts w:ascii="Arial" w:cs="Arial" w:eastAsia="Arial" w:hAnsi="Arial"/>
                <w:sz w:val="18"/>
                <w:szCs w:val="18"/>
                <w:color w:val="auto"/>
                <w:w w:val="95"/>
              </w:rPr>
              <w:t>Financial statements from the Quarterly Report on Form 10-Q of Hawkins, Inc. for the period ended July 1, 2012,</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Filed Electronically</w:t>
            </w:r>
          </w:p>
        </w:tc>
      </w:tr>
      <w:tr>
        <w:trPr>
          <w:trHeight w:val="222"/>
        </w:trPr>
        <w:tc>
          <w:tcPr>
            <w:tcW w:w="420" w:type="dxa"/>
            <w:vAlign w:val="bottom"/>
          </w:tcPr>
          <w:p>
            <w:pPr>
              <w:spacing w:after="0"/>
              <w:rPr>
                <w:sz w:val="19"/>
                <w:szCs w:val="19"/>
                <w:color w:val="auto"/>
              </w:rPr>
            </w:pPr>
          </w:p>
        </w:tc>
        <w:tc>
          <w:tcPr>
            <w:tcW w:w="8920" w:type="dxa"/>
            <w:vAlign w:val="bottom"/>
            <w:gridSpan w:val="4"/>
          </w:tcPr>
          <w:p>
            <w:pPr>
              <w:ind w:left="380"/>
              <w:spacing w:after="0"/>
              <w:rPr>
                <w:sz w:val="20"/>
                <w:szCs w:val="20"/>
                <w:color w:val="auto"/>
              </w:rPr>
            </w:pPr>
            <w:r>
              <w:rPr>
                <w:rFonts w:ascii="Arial" w:cs="Arial" w:eastAsia="Arial" w:hAnsi="Arial"/>
                <w:sz w:val="18"/>
                <w:szCs w:val="18"/>
                <w:color w:val="auto"/>
                <w:w w:val="99"/>
              </w:rPr>
              <w:t>filed with the SEC on August 2, 2012, formatted in Extensible Business Reporting Language (XBRL); (i) the</w:t>
            </w:r>
          </w:p>
        </w:tc>
        <w:tc>
          <w:tcPr>
            <w:tcW w:w="2080" w:type="dxa"/>
            <w:vAlign w:val="bottom"/>
          </w:tcPr>
          <w:p>
            <w:pPr>
              <w:spacing w:after="0"/>
              <w:rPr>
                <w:sz w:val="19"/>
                <w:szCs w:val="19"/>
                <w:color w:val="auto"/>
              </w:rPr>
            </w:pPr>
          </w:p>
        </w:tc>
      </w:tr>
    </w:tbl>
    <w:p>
      <w:pPr>
        <w:ind w:left="800" w:right="2380"/>
        <w:spacing w:after="0" w:line="292" w:lineRule="auto"/>
        <w:rPr>
          <w:sz w:val="20"/>
          <w:szCs w:val="20"/>
          <w:color w:val="auto"/>
        </w:rPr>
      </w:pPr>
      <w:r>
        <w:rPr>
          <w:rFonts w:ascii="Arial" w:cs="Arial" w:eastAsia="Arial" w:hAnsi="Arial"/>
          <w:sz w:val="16"/>
          <w:szCs w:val="16"/>
          <w:color w:val="auto"/>
        </w:rPr>
        <w:t>Condensed Consolidated Balance Sheets at July 1, 2012 and April 1, 2012, (ii) the Condensed Consolidated Statements of Income for the Three Months Ended July 1, 2012 and July 3, 2011, (iii) the Condensed Consolidated Statements of Comprehensive Income for the Three Months Ended July 1, 2012 and July 3, 2011, (iv) the Condensed Consolidated Statements of Cash Flows for the Three Months Ended July 1, 2012 and July 3, 2011, and (v) Notes to Condensed Consolidated Financial Statements.</w:t>
      </w:r>
    </w:p>
    <w:p>
      <w:pPr>
        <w:spacing w:after="0" w:line="15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period ended June 30, 2010, filed on July 29, 2010.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ind w:left="67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10795</wp:posOffset>
            </wp:positionV>
            <wp:extent cx="2769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6"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jc w:val="center"/>
        <w:ind w:left="7060"/>
        <w:spacing w:after="0"/>
        <w:rPr>
          <w:sz w:val="20"/>
          <w:szCs w:val="20"/>
          <w:color w:val="auto"/>
        </w:rPr>
      </w:pPr>
      <w:r>
        <w:rPr>
          <w:rFonts w:ascii="Arial" w:cs="Arial" w:eastAsia="Arial" w:hAnsi="Arial"/>
          <w:sz w:val="16"/>
          <w:szCs w:val="16"/>
          <w:color w:val="auto"/>
        </w:rPr>
        <w:t>(On behalf of the Registrant and as principal financial officer)</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2, 2012</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380" w:type="dxa"/>
            <w:vAlign w:val="bottom"/>
          </w:tcPr>
          <w:p>
            <w:pPr>
              <w:ind w:left="346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3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2900"/>
              <w:spacing w:after="0"/>
              <w:rPr>
                <w:sz w:val="20"/>
                <w:szCs w:val="20"/>
                <w:color w:val="auto"/>
              </w:rPr>
            </w:pPr>
            <w:r>
              <w:rPr>
                <w:rFonts w:ascii="Arial" w:cs="Arial" w:eastAsia="Arial" w:hAnsi="Arial"/>
                <w:sz w:val="14"/>
                <w:szCs w:val="14"/>
                <w:color w:val="auto"/>
              </w:rPr>
              <w:t>Description</w:t>
            </w:r>
          </w:p>
        </w:tc>
      </w:tr>
      <w:tr>
        <w:trPr>
          <w:trHeight w:val="309"/>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8700" w:type="dxa"/>
            <w:vAlign w:val="bottom"/>
            <w:gridSpan w:val="3"/>
          </w:tcPr>
          <w:p>
            <w:pPr>
              <w:ind w:left="380"/>
              <w:spacing w:after="0"/>
              <w:rPr>
                <w:sz w:val="20"/>
                <w:szCs w:val="20"/>
                <w:color w:val="auto"/>
              </w:rPr>
            </w:pPr>
            <w:r>
              <w:rPr>
                <w:rFonts w:ascii="Arial" w:cs="Arial" w:eastAsia="Arial" w:hAnsi="Arial"/>
                <w:sz w:val="18"/>
                <w:szCs w:val="18"/>
                <w:color w:val="auto"/>
              </w:rPr>
              <w:t>Amended and Restated Articles of Incorporation.</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8700" w:type="dxa"/>
            <w:vAlign w:val="bottom"/>
            <w:gridSpan w:val="3"/>
          </w:tcPr>
          <w:p>
            <w:pPr>
              <w:ind w:left="38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31.1</w:t>
            </w:r>
          </w:p>
        </w:tc>
        <w:tc>
          <w:tcPr>
            <w:tcW w:w="8700" w:type="dxa"/>
            <w:vAlign w:val="bottom"/>
            <w:gridSpan w:val="3"/>
          </w:tcPr>
          <w:p>
            <w:pPr>
              <w:ind w:left="3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31.2</w:t>
            </w:r>
          </w:p>
        </w:tc>
        <w:tc>
          <w:tcPr>
            <w:tcW w:w="8700" w:type="dxa"/>
            <w:vAlign w:val="bottom"/>
            <w:gridSpan w:val="3"/>
          </w:tcPr>
          <w:p>
            <w:pPr>
              <w:ind w:left="3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32.1</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w w:val="87"/>
              </w:rPr>
              <w:t>Section 1350</w:t>
            </w:r>
          </w:p>
        </w:tc>
        <w:tc>
          <w:tcPr>
            <w:tcW w:w="7380" w:type="dxa"/>
            <w:vAlign w:val="bottom"/>
          </w:tcPr>
          <w:p>
            <w:pPr>
              <w:ind w:left="40"/>
              <w:spacing w:after="0"/>
              <w:rPr>
                <w:sz w:val="20"/>
                <w:szCs w:val="20"/>
                <w:color w:val="auto"/>
              </w:rPr>
            </w:pPr>
            <w:r>
              <w:rPr>
                <w:rFonts w:ascii="Arial" w:cs="Arial" w:eastAsia="Arial" w:hAnsi="Arial"/>
                <w:sz w:val="18"/>
                <w:szCs w:val="18"/>
                <w:color w:val="auto"/>
              </w:rPr>
              <w:t>Certification by Chief Executive Officer.</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32.2</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w w:val="87"/>
              </w:rPr>
              <w:t>Section 1350</w:t>
            </w:r>
          </w:p>
        </w:tc>
        <w:tc>
          <w:tcPr>
            <w:tcW w:w="7380" w:type="dxa"/>
            <w:vAlign w:val="bottom"/>
          </w:tcPr>
          <w:p>
            <w:pPr>
              <w:ind w:left="40"/>
              <w:spacing w:after="0"/>
              <w:rPr>
                <w:sz w:val="20"/>
                <w:szCs w:val="20"/>
                <w:color w:val="auto"/>
              </w:rPr>
            </w:pPr>
            <w:r>
              <w:rPr>
                <w:rFonts w:ascii="Arial" w:cs="Arial" w:eastAsia="Arial" w:hAnsi="Arial"/>
                <w:sz w:val="18"/>
                <w:szCs w:val="18"/>
                <w:color w:val="auto"/>
              </w:rPr>
              <w:t>Certification by Chief Financial Officer.</w:t>
            </w:r>
          </w:p>
        </w:tc>
      </w:tr>
    </w:tbl>
    <w:p>
      <w:pPr>
        <w:spacing w:after="0" w:line="102" w:lineRule="exact"/>
        <w:rPr>
          <w:sz w:val="20"/>
          <w:szCs w:val="20"/>
          <w:color w:val="auto"/>
        </w:rPr>
      </w:pPr>
    </w:p>
    <w:p>
      <w:pPr>
        <w:ind w:left="800" w:right="80" w:hanging="792"/>
        <w:spacing w:after="0" w:line="290"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July 1, 2012, filed with the SEC on August 2, 2012, formatted in Extensible Business Reporting Language (XBRL); (i) the Condensed Consolidated Balance Sheets at July 1, 2012 and April 1, 2012, (ii) the Condensed Consolidated Statements of Income for the Three Months Ended July 1, 2012 and July 3, 2011, (iii) the Condensed Consolidated Statements of Comprehensive Income for the Three Months Ended July 1, 2012 and July 3, 2011, (iv) the Condensed Consolidated Statements of Cash Flows for the Three Months Ended July 1, 2012 and July 3, 2011, and (v) Notes to Condensed Consolidated Financial Statements.</w:t>
      </w: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-635</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78" w:lineRule="exact"/>
        <w:rPr>
          <w:sz w:val="20"/>
          <w:szCs w:val="20"/>
          <w:color w:val="auto"/>
        </w:rPr>
      </w:pPr>
    </w:p>
    <w:p>
      <w:pPr>
        <w:jc w:val="center"/>
        <w:spacing w:after="0" w:line="462" w:lineRule="auto"/>
        <w:rPr>
          <w:sz w:val="20"/>
          <w:szCs w:val="20"/>
          <w:color w:val="auto"/>
        </w:rPr>
      </w:pPr>
      <w:r>
        <w:rPr>
          <w:rFonts w:ascii="Arial" w:cs="Arial" w:eastAsia="Arial" w:hAnsi="Arial"/>
          <w:sz w:val="15"/>
          <w:szCs w:val="15"/>
          <w:color w:val="auto"/>
        </w:rPr>
        <w:t>Incorporated by Reference Incorporated by Reference Filed Electronically Filed Electronically Filed Electronically Filed Electronically Filed Electronically</w:t>
      </w:r>
    </w:p>
    <w:p>
      <w:pPr>
        <w:sectPr>
          <w:pgSz w:w="11900" w:h="16838" w:orient="portrait"/>
          <w:cols w:equalWidth="0" w:num="2">
            <w:col w:w="9120" w:space="320"/>
            <w:col w:w="1880"/>
          </w:cols>
          <w:pgMar w:left="240" w:top="459"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212" w:lineRule="exact"/>
        <w:rPr>
          <w:sz w:val="20"/>
          <w:szCs w:val="20"/>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11" w:lineRule="exact"/>
        <w:rPr>
          <w:rFonts w:ascii="Arial" w:cs="Arial" w:eastAsia="Arial" w:hAnsi="Arial"/>
          <w:sz w:val="18"/>
          <w:szCs w:val="18"/>
          <w:color w:val="auto"/>
        </w:rPr>
      </w:pPr>
    </w:p>
    <w:p>
      <w:pPr>
        <w:ind w:left="1480" w:right="180" w:hanging="567"/>
        <w:spacing w:after="0" w:line="259"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1480" w:right="460" w:hanging="567"/>
        <w:spacing w:after="0" w:line="370" w:lineRule="auto"/>
        <w:tabs>
          <w:tab w:leader="none" w:pos="1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5"/>
          <w:szCs w:val="15"/>
          <w:color w:val="auto"/>
        </w:rPr>
      </w:pPr>
    </w:p>
    <w:p>
      <w:pPr>
        <w:ind w:left="1480" w:right="100" w:hanging="567"/>
        <w:spacing w:after="0" w:line="305" w:lineRule="auto"/>
        <w:tabs>
          <w:tab w:leader="none" w:pos="1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w:t>
      </w:r>
    </w:p>
    <w:p>
      <w:pPr>
        <w:ind w:left="1480"/>
        <w:spacing w:after="0"/>
        <w:rPr>
          <w:rFonts w:ascii="Arial" w:cs="Arial" w:eastAsia="Arial" w:hAnsi="Arial"/>
          <w:sz w:val="15"/>
          <w:szCs w:val="15"/>
          <w:color w:val="auto"/>
        </w:rPr>
      </w:pPr>
      <w:r>
        <w:rPr>
          <w:rFonts w:ascii="Arial" w:cs="Arial" w:eastAsia="Arial" w:hAnsi="Arial"/>
          <w:sz w:val="18"/>
          <w:szCs w:val="18"/>
          <w:color w:val="auto"/>
        </w:rPr>
        <w:t>15d-15(f)) for the registrant and we have:</w:t>
      </w:r>
    </w:p>
    <w:p>
      <w:pPr>
        <w:spacing w:after="0" w:line="205" w:lineRule="exact"/>
        <w:rPr>
          <w:rFonts w:ascii="Arial" w:cs="Arial" w:eastAsia="Arial" w:hAnsi="Arial"/>
          <w:sz w:val="15"/>
          <w:szCs w:val="15"/>
          <w:color w:val="auto"/>
        </w:rPr>
      </w:pPr>
    </w:p>
    <w:p>
      <w:pPr>
        <w:ind w:left="1920" w:right="140" w:hanging="440"/>
        <w:spacing w:after="0" w:line="306" w:lineRule="auto"/>
        <w:tabs>
          <w:tab w:leader="none" w:pos="1920" w:val="left"/>
        </w:tabs>
        <w:numPr>
          <w:ilvl w:val="1"/>
          <w:numId w:val="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920" w:right="240" w:hanging="440"/>
        <w:spacing w:after="0" w:line="306" w:lineRule="auto"/>
        <w:tabs>
          <w:tab w:leader="none" w:pos="1920" w:val="left"/>
        </w:tabs>
        <w:numPr>
          <w:ilvl w:val="1"/>
          <w:numId w:val="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920" w:hanging="440"/>
        <w:spacing w:after="0" w:line="370" w:lineRule="auto"/>
        <w:tabs>
          <w:tab w:leader="none" w:pos="1920" w:val="left"/>
        </w:tabs>
        <w:numPr>
          <w:ilvl w:val="1"/>
          <w:numId w:val="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1920" w:right="40" w:hanging="440"/>
        <w:spacing w:after="0" w:line="259"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0" w:lineRule="exact"/>
        <w:rPr>
          <w:rFonts w:ascii="Arial" w:cs="Arial" w:eastAsia="Arial" w:hAnsi="Arial"/>
          <w:sz w:val="18"/>
          <w:szCs w:val="18"/>
          <w:color w:val="auto"/>
        </w:rPr>
      </w:pPr>
    </w:p>
    <w:p>
      <w:pPr>
        <w:ind w:left="1480" w:right="60" w:hanging="567"/>
        <w:spacing w:after="0" w:line="33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920" w:right="280" w:hanging="440"/>
        <w:spacing w:after="0" w:line="332" w:lineRule="auto"/>
        <w:tabs>
          <w:tab w:leader="none" w:pos="19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2012</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Patrick H. Hawkins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Patrick H. Hawkins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212"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11" w:lineRule="exact"/>
        <w:rPr>
          <w:rFonts w:ascii="Arial" w:cs="Arial" w:eastAsia="Arial" w:hAnsi="Arial"/>
          <w:sz w:val="18"/>
          <w:szCs w:val="18"/>
          <w:color w:val="auto"/>
        </w:rPr>
      </w:pPr>
    </w:p>
    <w:p>
      <w:pPr>
        <w:ind w:left="1480" w:right="180" w:hanging="567"/>
        <w:spacing w:after="0" w:line="259"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1480" w:right="460" w:hanging="567"/>
        <w:spacing w:after="0" w:line="370" w:lineRule="auto"/>
        <w:tabs>
          <w:tab w:leader="none" w:pos="1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5"/>
          <w:szCs w:val="15"/>
          <w:color w:val="auto"/>
        </w:rPr>
      </w:pPr>
    </w:p>
    <w:p>
      <w:pPr>
        <w:ind w:left="1480" w:right="100" w:hanging="567"/>
        <w:spacing w:after="0" w:line="305" w:lineRule="auto"/>
        <w:tabs>
          <w:tab w:leader="none" w:pos="1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w:t>
      </w:r>
    </w:p>
    <w:p>
      <w:pPr>
        <w:ind w:left="1480"/>
        <w:spacing w:after="0"/>
        <w:rPr>
          <w:rFonts w:ascii="Arial" w:cs="Arial" w:eastAsia="Arial" w:hAnsi="Arial"/>
          <w:sz w:val="15"/>
          <w:szCs w:val="15"/>
          <w:color w:val="auto"/>
        </w:rPr>
      </w:pPr>
      <w:r>
        <w:rPr>
          <w:rFonts w:ascii="Arial" w:cs="Arial" w:eastAsia="Arial" w:hAnsi="Arial"/>
          <w:sz w:val="18"/>
          <w:szCs w:val="18"/>
          <w:color w:val="auto"/>
        </w:rPr>
        <w:t>15d-15(f)) for the registrant and we have:</w:t>
      </w:r>
    </w:p>
    <w:p>
      <w:pPr>
        <w:spacing w:after="0" w:line="205" w:lineRule="exact"/>
        <w:rPr>
          <w:rFonts w:ascii="Arial" w:cs="Arial" w:eastAsia="Arial" w:hAnsi="Arial"/>
          <w:sz w:val="15"/>
          <w:szCs w:val="15"/>
          <w:color w:val="auto"/>
        </w:rPr>
      </w:pPr>
    </w:p>
    <w:p>
      <w:pPr>
        <w:ind w:left="1920" w:right="140" w:hanging="440"/>
        <w:spacing w:after="0" w:line="306" w:lineRule="auto"/>
        <w:tabs>
          <w:tab w:leader="none" w:pos="1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920" w:right="240" w:hanging="440"/>
        <w:spacing w:after="0" w:line="306" w:lineRule="auto"/>
        <w:tabs>
          <w:tab w:leader="none" w:pos="1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920" w:hanging="440"/>
        <w:spacing w:after="0" w:line="370" w:lineRule="auto"/>
        <w:tabs>
          <w:tab w:leader="none" w:pos="1920" w:val="left"/>
        </w:tabs>
        <w:numPr>
          <w:ilvl w:val="1"/>
          <w:numId w:val="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1920" w:right="40" w:hanging="440"/>
        <w:spacing w:after="0" w:line="259"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0" w:lineRule="exact"/>
        <w:rPr>
          <w:rFonts w:ascii="Arial" w:cs="Arial" w:eastAsia="Arial" w:hAnsi="Arial"/>
          <w:sz w:val="18"/>
          <w:szCs w:val="18"/>
          <w:color w:val="auto"/>
        </w:rPr>
      </w:pPr>
    </w:p>
    <w:p>
      <w:pPr>
        <w:ind w:left="1480" w:right="60" w:hanging="567"/>
        <w:spacing w:after="0" w:line="332"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920" w:right="280" w:hanging="440"/>
        <w:spacing w:after="0" w:line="332" w:lineRule="auto"/>
        <w:tabs>
          <w:tab w:leader="none" w:pos="1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2012</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Kathleen P. Pepski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Kathleen P. Pepski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July 1, 2012, as filed with the Securities and Exchange Commission on the date hereof (the Report), I, Patrick H. Hawkins, Chief Executive Officer of the Company, certify, pursuant to 18 U.S.C. § 1350, as adopted pursuant to § 906 of the Sarbanes-Oxley Act of 2002, that:</w:t>
      </w:r>
    </w:p>
    <w:p>
      <w:pPr>
        <w:spacing w:after="0" w:line="140" w:lineRule="exact"/>
        <w:rPr>
          <w:sz w:val="20"/>
          <w:szCs w:val="20"/>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Patrick H.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Patrick H. Hawkins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 2012</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July 1, 2012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140" w:lineRule="exact"/>
        <w:rPr>
          <w:sz w:val="20"/>
          <w:szCs w:val="20"/>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0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2019-12-09T07:19:59Z</dcterms:created>
  <dcterms:modified xsi:type="dcterms:W3CDTF">2019-12-09T07:19:59Z</dcterms:modified>
</cp:coreProperties>
</file>