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61" w:lineRule="exact"/>
        <w:rPr>
          <w:sz w:val="24"/>
          <w:szCs w:val="24"/>
          <w:color w:val="auto"/>
        </w:rPr>
      </w:pPr>
    </w:p>
    <w:p>
      <w:pPr>
        <w:jc w:val="center"/>
        <w:ind w:right="-19"/>
        <w:spacing w:after="0"/>
        <w:rPr>
          <w:sz w:val="20"/>
          <w:szCs w:val="20"/>
          <w:color w:val="auto"/>
        </w:rPr>
      </w:pPr>
      <w:r>
        <w:rPr>
          <w:rFonts w:ascii="Calibri" w:cs="Calibri" w:eastAsia="Calibri" w:hAnsi="Calibri"/>
          <w:sz w:val="21"/>
          <w:szCs w:val="21"/>
          <w:b w:val="1"/>
          <w:bCs w:val="1"/>
          <w:color w:val="auto"/>
        </w:rPr>
        <w:t>Date of Report (Date of earliest event reported) January 29, 2025</w:t>
      </w:r>
    </w:p>
    <w:p>
      <w:pPr>
        <w:spacing w:after="0" w:line="354" w:lineRule="exact"/>
        <w:rPr>
          <w:sz w:val="24"/>
          <w:szCs w:val="24"/>
          <w:color w:val="auto"/>
        </w:rPr>
      </w:pPr>
    </w:p>
    <w:p>
      <w:pPr>
        <w:jc w:val="center"/>
        <w:ind w:right="-19"/>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90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203" w:lineRule="exact"/>
        <w:rPr>
          <w:sz w:val="24"/>
          <w:szCs w:val="24"/>
          <w:color w:val="auto"/>
        </w:rPr>
      </w:pPr>
    </w:p>
    <w:p>
      <w:pPr>
        <w:ind w:left="8980"/>
        <w:spacing w:after="0" w:line="220" w:lineRule="exact"/>
        <w:tabs>
          <w:tab w:leader="none" w:pos="11060" w:val="left"/>
        </w:tabs>
        <w:rPr>
          <w:sz w:val="20"/>
          <w:szCs w:val="20"/>
          <w:color w:val="auto"/>
        </w:rPr>
      </w:pPr>
      <w:r>
        <w:rPr>
          <w:rFonts w:ascii="Calibri" w:cs="Calibri" w:eastAsia="Calibri" w:hAnsi="Calibri"/>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6"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2.02. Results of Operatons and Financial Conditon.</w:t>
      </w:r>
    </w:p>
    <w:p>
      <w:pPr>
        <w:spacing w:after="0" w:line="96"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On January 29, 2025, Hawkins, Inc. issued a press release announcing fnancial results for its fscal 2025 third quarter ended December 29, 2024. A copy of the press release issued by the Registrant is furnished herewith as Exhibit 99.1 hereto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36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1720" w:type="dxa"/>
            <w:vAlign w:val="bottom"/>
            <w:gridSpan w:val="2"/>
          </w:tcPr>
          <w:p>
            <w:pPr>
              <w:jc w:val="center"/>
              <w:ind w:right="40"/>
              <w:spacing w:after="0"/>
              <w:rPr>
                <w:sz w:val="20"/>
                <w:szCs w:val="20"/>
                <w:color w:val="auto"/>
              </w:rPr>
            </w:pPr>
            <w:r>
              <w:rPr>
                <w:rFonts w:ascii="Calibri" w:cs="Calibri" w:eastAsia="Calibri" w:hAnsi="Calibri"/>
                <w:sz w:val="14"/>
                <w:szCs w:val="14"/>
                <w:color w:val="auto"/>
              </w:rPr>
              <w:t>Method of Filing</w:t>
            </w:r>
          </w:p>
        </w:tc>
      </w:tr>
      <w:tr>
        <w:trPr>
          <w:trHeight w:val="47"/>
        </w:trPr>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660" w:type="dxa"/>
            <w:vAlign w:val="bottom"/>
            <w:gridSpan w:val="3"/>
          </w:tcPr>
          <w:p>
            <w:pPr>
              <w:ind w:left="1320"/>
              <w:spacing w:after="0" w:line="209" w:lineRule="exact"/>
              <w:rPr>
                <w:sz w:val="20"/>
                <w:szCs w:val="20"/>
                <w:color w:val="auto"/>
              </w:rPr>
            </w:pPr>
            <w:r>
              <w:rPr>
                <w:rFonts w:ascii="Calibri" w:cs="Calibri" w:eastAsia="Calibri" w:hAnsi="Calibri"/>
                <w:sz w:val="18"/>
                <w:szCs w:val="18"/>
                <w:color w:val="0000FF"/>
              </w:rPr>
              <w:t>99.</w:t>
            </w:r>
            <w:r>
              <w:rPr>
                <w:rFonts w:ascii="Calibri" w:cs="Calibri" w:eastAsia="Calibri" w:hAnsi="Calibri"/>
                <w:sz w:val="18"/>
                <w:szCs w:val="18"/>
                <w:u w:val="single" w:color="auto"/>
                <w:color w:val="0000FF"/>
              </w:rPr>
              <w:t>1</w:t>
            </w:r>
          </w:p>
        </w:tc>
        <w:tc>
          <w:tcPr>
            <w:tcW w:w="500" w:type="dxa"/>
            <w:vAlign w:val="bottom"/>
          </w:tcPr>
          <w:p>
            <w:pPr>
              <w:spacing w:after="0"/>
              <w:rPr>
                <w:sz w:val="18"/>
                <w:szCs w:val="18"/>
                <w:color w:val="auto"/>
              </w:rPr>
            </w:pPr>
          </w:p>
        </w:tc>
        <w:tc>
          <w:tcPr>
            <w:tcW w:w="73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Press Release, dated January 29, 2025, announcing fnancial results of Hawkins, Inc. for its fscal</w:t>
            </w:r>
          </w:p>
        </w:tc>
        <w:tc>
          <w:tcPr>
            <w:tcW w:w="1720" w:type="dxa"/>
            <w:vAlign w:val="bottom"/>
            <w:gridSpan w:val="2"/>
          </w:tcPr>
          <w:p>
            <w:pPr>
              <w:jc w:val="center"/>
              <w:ind w:right="40"/>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195"/>
        </w:trPr>
        <w:tc>
          <w:tcPr>
            <w:tcW w:w="13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2025 third quarter ended December 29, 2024.</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640" w:type="dxa"/>
            <w:vAlign w:val="bottom"/>
            <w:gridSpan w:val="2"/>
          </w:tcPr>
          <w:p>
            <w:pPr>
              <w:ind w:left="13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720" w:type="dxa"/>
            <w:vAlign w:val="bottom"/>
            <w:gridSpan w:val="2"/>
          </w:tcPr>
          <w:p>
            <w:pPr>
              <w:jc w:val="center"/>
              <w:ind w:right="40"/>
              <w:spacing w:after="0"/>
              <w:rPr>
                <w:sz w:val="20"/>
                <w:szCs w:val="20"/>
                <w:color w:val="auto"/>
              </w:rPr>
            </w:pPr>
            <w:r>
              <w:rPr>
                <w:rFonts w:ascii="Calibri" w:cs="Calibri" w:eastAsia="Calibri" w:hAnsi="Calibri"/>
                <w:sz w:val="18"/>
                <w:szCs w:val="18"/>
                <w:color w:val="auto"/>
                <w:w w:val="96"/>
              </w:rPr>
              <w:t>Filed Electronically</w:t>
            </w:r>
          </w:p>
        </w:tc>
      </w:tr>
      <w:tr>
        <w:trPr>
          <w:trHeight w:val="1246"/>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HAWKINS, INC.</w:t>
            </w:r>
          </w:p>
        </w:tc>
        <w:tc>
          <w:tcPr>
            <w:tcW w:w="5260" w:type="dxa"/>
            <w:vAlign w:val="bottom"/>
          </w:tcPr>
          <w:p>
            <w:pPr>
              <w:spacing w:after="0"/>
              <w:rPr>
                <w:sz w:val="19"/>
                <w:szCs w:val="19"/>
                <w:color w:val="auto"/>
              </w:rPr>
            </w:pPr>
          </w:p>
        </w:tc>
      </w:tr>
      <w:tr>
        <w:trPr>
          <w:trHeight w:val="284"/>
        </w:trPr>
        <w:tc>
          <w:tcPr>
            <w:tcW w:w="3060" w:type="dxa"/>
            <w:vAlign w:val="bottom"/>
          </w:tcPr>
          <w:p>
            <w:pPr>
              <w:spacing w:after="0"/>
              <w:rPr>
                <w:sz w:val="20"/>
                <w:szCs w:val="20"/>
                <w:color w:val="auto"/>
              </w:rPr>
            </w:pPr>
            <w:r>
              <w:rPr>
                <w:rFonts w:ascii="Calibri" w:cs="Calibri" w:eastAsia="Calibri" w:hAnsi="Calibri"/>
                <w:sz w:val="18"/>
                <w:szCs w:val="18"/>
                <w:color w:val="auto"/>
              </w:rPr>
              <w:t>Date: January 29, 2025</w:t>
            </w: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By:</w:t>
            </w: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w w:val="98"/>
              </w:rPr>
              <w:t>/s/ Jefrey P. Oldenkamp</w:t>
            </w:r>
          </w:p>
        </w:tc>
      </w:tr>
      <w:tr>
        <w:trPr>
          <w:trHeight w:val="23"/>
        </w:trPr>
        <w:tc>
          <w:tcPr>
            <w:tcW w:w="3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8"/>
        </w:trPr>
        <w:tc>
          <w:tcPr>
            <w:tcW w:w="3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center"/>
              <w:ind w:right="810"/>
              <w:spacing w:after="0" w:line="208" w:lineRule="exact"/>
              <w:rPr>
                <w:sz w:val="20"/>
                <w:szCs w:val="20"/>
                <w:color w:val="auto"/>
              </w:rPr>
            </w:pPr>
            <w:r>
              <w:rPr>
                <w:rFonts w:ascii="Calibri" w:cs="Calibri" w:eastAsia="Calibri" w:hAnsi="Calibri"/>
                <w:sz w:val="18"/>
                <w:szCs w:val="18"/>
                <w:color w:val="auto"/>
                <w:w w:val="98"/>
              </w:rPr>
              <w:t>Jefrey P. Oldenkamp</w:t>
            </w:r>
          </w:p>
        </w:tc>
      </w:tr>
      <w:tr>
        <w:trPr>
          <w:trHeight w:val="221"/>
        </w:trPr>
        <w:tc>
          <w:tcPr>
            <w:tcW w:w="3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rPr>
              <w:t>Executve Vice President and Chief Financial Ofcer</w:t>
            </w:r>
          </w:p>
        </w:tc>
      </w:tr>
    </w:tbl>
    <w:p>
      <w:pPr>
        <w:sectPr>
          <w:pgSz w:w="11900" w:h="16838" w:orient="portrait"/>
          <w:cols w:equalWidth="0" w:num="1">
            <w:col w:w="11240"/>
          </w:cols>
          <w:pgMar w:left="320" w:top="882" w:right="339" w:bottom="1440" w:gutter="0" w:footer="0" w:header="0"/>
        </w:sectPr>
      </w:pPr>
    </w:p>
    <w:bookmarkStart w:id="3" w:name="page4"/>
    <w:bookmarkEnd w:id="3"/>
    <w:p>
      <w:pPr>
        <w:ind w:left="10360"/>
        <w:spacing w:after="0"/>
        <w:rPr>
          <w:sz w:val="20"/>
          <w:szCs w:val="20"/>
          <w:color w:val="auto"/>
        </w:rPr>
      </w:pPr>
      <w:r>
        <w:rPr>
          <w:rFonts w:ascii="Calibri" w:cs="Calibri" w:eastAsia="Calibri" w:hAnsi="Calibri"/>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Hawkins, Inc. Reports</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Third Quarter Fiscal 2025 Results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Roseville, Minn., January 29, 2025 – Hawkins, Inc. (Nasdaq: HWKN) today announced results for the nine months ended December 29, 2024, its third quarter of fscal 2025.</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Fiscal Year 2025 Highlights:</w:t>
      </w:r>
    </w:p>
    <w:p>
      <w:pPr>
        <w:spacing w:after="0" w:line="231" w:lineRule="exact"/>
        <w:rPr>
          <w:sz w:val="20"/>
          <w:szCs w:val="20"/>
          <w:color w:val="auto"/>
        </w:rPr>
      </w:pPr>
    </w:p>
    <w:p>
      <w:pPr>
        <w:ind w:left="660" w:right="60" w:hanging="328"/>
        <w:spacing w:after="0" w:line="227"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Record third quarter results for revenue, gross proft, operatng income, and adjusted Earnings Before Interest, Taxes, Depreciaton and Amortzaton (“adjusted EBITDA”), a non-GAAP measure.</w:t>
      </w:r>
    </w:p>
    <w:p>
      <w:pPr>
        <w:spacing w:after="0" w:line="1" w:lineRule="exact"/>
        <w:rPr>
          <w:rFonts w:ascii="Calibri" w:cs="Calibri" w:eastAsia="Calibri" w:hAnsi="Calibri"/>
          <w:sz w:val="18"/>
          <w:szCs w:val="18"/>
          <w:color w:val="auto"/>
        </w:rPr>
      </w:pP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Overall revenue growth of 8%, once again driven by the Water Treatment segment growth of 22% over the same period of the prior year.</w:t>
      </w:r>
    </w:p>
    <w:p>
      <w:pPr>
        <w:ind w:left="660" w:right="260" w:hanging="328"/>
        <w:spacing w:after="0" w:line="213"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Gross proft growth of 15% over the same period of the prior year, with double-digit percentage growth for both the Water Treatment and Health and Nutriton segments.</w:t>
      </w:r>
    </w:p>
    <w:p>
      <w:pPr>
        <w:spacing w:after="0" w:line="1" w:lineRule="exact"/>
        <w:rPr>
          <w:rFonts w:ascii="Calibri" w:cs="Calibri" w:eastAsia="Calibri" w:hAnsi="Calibri"/>
          <w:sz w:val="18"/>
          <w:szCs w:val="18"/>
          <w:color w:val="auto"/>
        </w:rPr>
      </w:pP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Third quarter operatng income of $21.1 million, our 27th consecutve quarter of year-over-year operatng income growth.</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Income before income taxes grew 12% over the same period of the prior year.</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Diluted earnings per share (“EPS”) of $0.72 compared to $0.71 in the prior year.</w:t>
      </w:r>
    </w:p>
    <w:p>
      <w:pPr>
        <w:ind w:left="660" w:right="160" w:hanging="328"/>
        <w:spacing w:after="0" w:line="221"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Adjusted EBITDA, a non-GAAP measure, of $33.6 million, a 13% increase over the same period of the prior year. Trailing 12-month adjusted EBITDA was $162 million.</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Year to date, revenue was up 5% over the prior year and EPS was up 11%.</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Commentary – Patrick H. Hawkins, Chief Executve Ofcer and President:</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 each of the last four quarters, we have achieved record year-over-year performance for several of our key metrics. In the third quarter, our record performance was once again driven by the Water Treatment business, as we realized the benefts of the seven acquisitons we have completed over the last 18 months. Within the quarter we saw strong revenue growth of 22% in our Water Treatment business, with this growth driven by both revenue from our recent acquisitons as well as strong organic volume growth of 9%. Revenue in our Industrial segment declined year over year, as expected, due primarily to reduced selling prices driven by lower commodity costs and product mix, ofset slightly by overall volumes being up. Health and Nutriton revenues increased due to growth of our manufactured product sales. Overall, we saw 8% revenue growth with gross proft increasing 15%, operatng income increasing 14% and pretax income increasing 12%.”</w:t>
      </w:r>
    </w:p>
    <w:p>
      <w:pPr>
        <w:spacing w:after="0" w:line="24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Mr. Hawkins contnued, “Our balance sheet contnues to be strong. In the quarter, our net borrowings of $10 million helped fund our acquisiton of Water Guard, our frst water treatment site in North Carolina. Our leverage rato was 0.7x trailing 12-month proforma adjusted EBITDA at the end of the quarter. As we close out our fscal year, we expect contnued growth within the Water Treatment and Health and Nutriton segments. We expect to see our Industrial segment contnue to perform similar to the frst nine months of fscal 2025.”</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Financial Highlights: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INCOME</w:t>
      </w:r>
    </w:p>
    <w:p>
      <w:pPr>
        <w:spacing w:after="0" w:line="10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For the third quarter of fscal 2025, the Company reported net income of $15.0 million, or $0.72 per diluted share, compared to net income for the third quarter of fscal 2024 of $14.9 million, or $0.71 per diluted share. The prior year EPS was positvely impacted by $0.08 per share due to an unusual favorable tax adjustment.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0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Sales were $226.2 million for the third quarter of fscal 2025, an increase of $17.7 million, or 8%, from sales of $208.5 million in the same period a year ago. Water Treatment segment sales increased $17.8 million, or 22%, to $99.8 million for the current quarter, from $82.0 million in the same period a year ago. Water Treatment sales increased as a result of added sales from our acquired businesses as well as increased sales volumes in our legacy business. Despite showing sequental improvement, Industrial segment sales decreased $1.0 million, or 1%, to $92.0 million for the current quarter, from $93.0 million in the same period a year ago. Sales decreased as a result of lower selling prices on certain products, driven by lower raw material costs and product mix changes. Health and Nutriton segment sales increased $1.0 million, or 3%, to $34.5 million for the current quarter, from $33.5 million in the same period a year ago. Health and Nutriton sales increased due to increased sales of our manufactured products.</w:t>
      </w:r>
    </w:p>
    <w:p>
      <w:pPr>
        <w:sectPr>
          <w:pgSz w:w="11900" w:h="16838" w:orient="portrait"/>
          <w:cols w:equalWidth="0" w:num="1">
            <w:col w:w="11240"/>
          </w:cols>
          <w:pgMar w:left="320" w:top="59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GROSS PROFIT</w:t>
      </w:r>
    </w:p>
    <w:p>
      <w:pPr>
        <w:spacing w:after="0" w:line="16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Gross proft increased $6.2 million, or 15%, to $48.4 million, or 21% of sales, for the current quarter, from $42.2 million, or 20% of sales, in the same period a year ago. During the current quarter, the LIFO reserve decreased, and gross proft increased, by $0.8 million, primarily due to lower antcipated year-end prices on certain products. In the same quarter a year ago, the LIFO reserve decreased, and gross proft increased, by $2.5 million.</w:t>
      </w:r>
    </w:p>
    <w:p>
      <w:pPr>
        <w:spacing w:after="0" w:line="16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Gross proft for the Water Treatment segment increased $5.8 million, or 29%, to $26.0 million, or 26% of sales, for the current quarter, from $20.2 million, or 25% of sales, in the same period a year ago. During the current quarter, the LIFO reserve decreased, and gross proft increased, by $0.1 million. In the same quarter a year ago, the LIFO reserve decreased, and gross proft increased, by $0.4 million. Water Treatment segment gross proft increased as a result of increased sales, including the incremental sales from our acquired businesses.</w:t>
      </w:r>
    </w:p>
    <w:p>
      <w:pPr>
        <w:spacing w:after="0" w:line="16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Gross proft for the Industrial segment decreased $1.3 million, or 8%, to $15.2 million, or 17% of sales, for the current quarter, from $16.5 million, or 18% of sales, in the same period a year ago. During the current quarter, the LIFO reserve decreased, and gross proft increased, by $0.6 million. In the same quarter a year ago, the LIFO reserve decreased, and gross proft increased, by $2.1 million. Industrial segment gross proft decreased primarily as a result of product mix changes and the change in the LIFO reserve.</w:t>
      </w:r>
    </w:p>
    <w:p>
      <w:pPr>
        <w:spacing w:after="0" w:line="16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Gross proft for our Health and Nutriton segment increased $1.7 million, or 31%, to $7.2 million, or 21% of sales, for the current quarter, from $5.5 million, or 16% of sales, in the same period a year ago. Health and Nutriton segment gross proft increased as a result of the increased sales.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ADMINISTRATIVE EXPENSES</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Selling, general and administratve expenses increased $3.6 million, or 15%, to $27.4 million, or 12% of sales, for the current quarter, from $23.8 million, or 11% of sales, in the same period a year ago. Expenses increased primarily due to $1.9 million in added costs from the acquired businesses in our Water Treatment segment, including amortzaton of intangibles of $0.8 million, as well as other increased variable costs.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ADJUSTED EBITDA</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Adjusted EBITDA, a non-GAAP fnancial measure, is an important performance indicator and a key compliance measure under the terms of our credit agreement. An explanaton of the computaton of adjusted EBITDA is presented below. Adjusted EBITDA for the three months ended December 29, 2024 was $33.6 million, an increase of $3.9 million, or 13%, from $29.7 million in the same period a year ago.</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Our efectve income tax rate was 26% for the current quarter and 18% for the same period a year ago. The efectve tax rate in the third quarter of both years was impacted by favorable tax provision adjustments recorded, with the prior year being unusually benefcial and the current year being more in line with expectatons. The efectve tax rate is impacted by projected levels of annual taxable income, permanent items, and state taxes. Our efectve tax rate for the full year is currently expected to be approximately 26-27%.</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BALANCE SHEET</w:t>
      </w:r>
    </w:p>
    <w:p>
      <w:pPr>
        <w:spacing w:after="0" w:line="96" w:lineRule="exact"/>
        <w:rPr>
          <w:sz w:val="20"/>
          <w:szCs w:val="20"/>
          <w:color w:val="auto"/>
        </w:rPr>
      </w:pPr>
    </w:p>
    <w:p>
      <w:pPr>
        <w:ind w:right="260"/>
        <w:spacing w:after="0" w:line="224" w:lineRule="auto"/>
        <w:rPr>
          <w:sz w:val="20"/>
          <w:szCs w:val="20"/>
          <w:color w:val="auto"/>
        </w:rPr>
      </w:pPr>
      <w:r>
        <w:rPr>
          <w:rFonts w:ascii="Calibri" w:cs="Calibri" w:eastAsia="Calibri" w:hAnsi="Calibri"/>
          <w:sz w:val="18"/>
          <w:szCs w:val="18"/>
          <w:color w:val="auto"/>
        </w:rPr>
        <w:t>At the end of the third quarter, our working capital was $27 million higher than the end of fscal 2024 due primarily to seasonally lower liabilites as well as increased inventories. During the quarter, we paid down $10 million on our line of credit. Our total debt outstanding at the end of the third quarter was $114.0 million and our leverage rato was 0.70x our trailing 12-month proforma adjusted EBITDA, as compared to 0.66x of trailing twelve-month adjusted EBITDA at the end of fscal 2024.</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About Hawkins, Inc.</w:t>
      </w:r>
    </w:p>
    <w:p>
      <w:pPr>
        <w:spacing w:after="0" w:line="231"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Hawkins, Inc. was founded in 1938 and is a leading water treatment and specialty ingredients company that formulates, distributes, blends, and manufactures products for its Industrial, Water Treatment, and Health &amp; Nutriton customers. Headquartered in Roseville, Minnesota, the Company has 61 facilites in 28 states and creates value for its customers through superb customer service and support, quality products and personalized applicatons. Hawkins, Inc. generated $919 million of revenue in fscal 2024 and has approximately 1,000 employees. For more informaton, including registering to receive email alerts, please visit www.hawkinsinc.com/investors.</w:t>
      </w:r>
    </w:p>
    <w:p>
      <w:pPr>
        <w:sectPr>
          <w:pgSz w:w="11900" w:h="16838" w:orient="portrait"/>
          <w:cols w:equalWidth="0" w:num="1">
            <w:col w:w="11240"/>
          </w:cols>
          <w:pgMar w:left="320" w:top="558"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auto"/>
        </w:rPr>
        <w:t>Reconciliaton of Non-GAAP Financial Measures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report our consolidated fnancial results in accordance with U.S. generally accepted accountng principles (GAAP). To assist investors in understanding our fnancial performance between periods, we have provided certain fnancial measures not computed according to GAAP, including adjusted EBITDA. This non-GAAP fnancial measure is not meant to be considered in isolaton or as a substtute for comparable GAAP measures. The method we use to produce non-GAAP results is not computed according to GAAP and may difer from the methods used by other companies.</w:t>
      </w:r>
    </w:p>
    <w:p>
      <w:pPr>
        <w:spacing w:after="0" w:line="19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Management uses this non-GAAP fnancial measure internally to understand, manage and evaluate our business and to make operatng decisions. Management believes that this non-GAAP fnancial measure refects an additonal way of viewing aspects of our operatons that, when viewed with our GAAP results, provides a more complete understanding of the factors and trends afectng our fnancial conditon and results of operatons.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defne adjusted EBITDA as GAAP net income adjusted for the impact of the following: net interest expense resultng from our net borrowing positon; income tax expense; non-cash expenses including amortzaton of intangibles, depreciaton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Calibri" w:cs="Calibri" w:eastAsia="Calibri" w:hAnsi="Calibri"/>
                <w:sz w:val="18"/>
                <w:szCs w:val="18"/>
                <w:b w:val="1"/>
                <w:bCs w:val="1"/>
                <w:color w:val="auto"/>
                <w:w w:val="95"/>
              </w:rPr>
              <w:t>Trailing 12-months</w:t>
            </w:r>
          </w:p>
        </w:tc>
        <w:tc>
          <w:tcPr>
            <w:tcW w:w="0" w:type="dxa"/>
            <w:vAlign w:val="bottom"/>
          </w:tcPr>
          <w:p>
            <w:pPr>
              <w:spacing w:after="0"/>
              <w:rPr>
                <w:sz w:val="1"/>
                <w:szCs w:val="1"/>
                <w:color w:val="auto"/>
              </w:rPr>
            </w:pPr>
          </w:p>
        </w:tc>
      </w:tr>
      <w:tr>
        <w:trPr>
          <w:trHeight w:val="228"/>
        </w:trPr>
        <w:tc>
          <w:tcPr>
            <w:tcW w:w="318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440" w:type="dxa"/>
            <w:vAlign w:val="bottom"/>
          </w:tcPr>
          <w:p>
            <w:pPr>
              <w:spacing w:after="0"/>
              <w:rPr>
                <w:sz w:val="19"/>
                <w:szCs w:val="19"/>
                <w:color w:val="auto"/>
              </w:rPr>
            </w:pPr>
          </w:p>
        </w:tc>
        <w:tc>
          <w:tcPr>
            <w:tcW w:w="1980" w:type="dxa"/>
            <w:vAlign w:val="bottom"/>
            <w:gridSpan w:val="3"/>
          </w:tcPr>
          <w:p>
            <w:pPr>
              <w:ind w:left="340"/>
              <w:spacing w:after="0"/>
              <w:rPr>
                <w:sz w:val="20"/>
                <w:szCs w:val="20"/>
                <w:color w:val="auto"/>
              </w:rPr>
            </w:pPr>
            <w:r>
              <w:rPr>
                <w:rFonts w:ascii="Calibri" w:cs="Calibri" w:eastAsia="Calibri" w:hAnsi="Calibri"/>
                <w:sz w:val="18"/>
                <w:szCs w:val="18"/>
                <w:b w:val="1"/>
                <w:bCs w:val="1"/>
                <w:color w:val="auto"/>
              </w:rPr>
              <w:t>Three Months Ended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Nine months ended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30"/>
              <w:spacing w:after="0" w:line="215" w:lineRule="exact"/>
              <w:rPr>
                <w:sz w:val="20"/>
                <w:szCs w:val="20"/>
                <w:color w:val="auto"/>
              </w:rPr>
            </w:pPr>
            <w:r>
              <w:rPr>
                <w:rFonts w:ascii="Calibri" w:cs="Calibri" w:eastAsia="Calibri" w:hAnsi="Calibri"/>
                <w:sz w:val="18"/>
                <w:szCs w:val="18"/>
                <w:b w:val="1"/>
                <w:bCs w:val="1"/>
                <w:color w:val="auto"/>
                <w:w w:val="97"/>
              </w:rPr>
              <w:t>ended</w:t>
            </w: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Calibri" w:cs="Calibri" w:eastAsia="Calibri" w:hAnsi="Calibri"/>
                <w:sz w:val="18"/>
                <w:szCs w:val="18"/>
                <w:color w:val="auto"/>
              </w:rPr>
              <w:t>(In thousands)</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80" w:type="dxa"/>
            <w:vAlign w:val="bottom"/>
            <w:vMerge w:val="continue"/>
          </w:tcPr>
          <w:p>
            <w:pPr>
              <w:spacing w:after="0"/>
              <w:rPr>
                <w:sz w:val="18"/>
                <w:szCs w:val="18"/>
                <w:color w:val="auto"/>
              </w:rPr>
            </w:pPr>
          </w:p>
        </w:tc>
        <w:tc>
          <w:tcPr>
            <w:tcW w:w="1600" w:type="dxa"/>
            <w:vAlign w:val="bottom"/>
            <w:tcBorders>
              <w:top w:val="single" w:sz="8" w:color="auto"/>
            </w:tcBorders>
            <w:gridSpan w:val="3"/>
          </w:tcPr>
          <w:p>
            <w:pPr>
              <w:ind w:left="40"/>
              <w:spacing w:after="0" w:line="215" w:lineRule="exact"/>
              <w:rPr>
                <w:sz w:val="20"/>
                <w:szCs w:val="20"/>
                <w:color w:val="auto"/>
              </w:rPr>
            </w:pPr>
            <w:r>
              <w:rPr>
                <w:rFonts w:ascii="Calibri" w:cs="Calibri" w:eastAsia="Calibri" w:hAnsi="Calibri"/>
                <w:sz w:val="18"/>
                <w:szCs w:val="18"/>
                <w:b w:val="1"/>
                <w:bCs w:val="1"/>
                <w:color w:val="auto"/>
              </w:rPr>
              <w:t>December 29, 2024</w:t>
            </w:r>
          </w:p>
        </w:tc>
        <w:tc>
          <w:tcPr>
            <w:tcW w:w="1480" w:type="dxa"/>
            <w:vAlign w:val="bottom"/>
            <w:tcBorders>
              <w:top w:val="single" w:sz="8" w:color="auto"/>
            </w:tcBorders>
            <w:gridSpan w:val="2"/>
          </w:tcPr>
          <w:p>
            <w:pPr>
              <w:ind w:left="40"/>
              <w:spacing w:after="0" w:line="215" w:lineRule="exact"/>
              <w:rPr>
                <w:sz w:val="20"/>
                <w:szCs w:val="20"/>
                <w:color w:val="auto"/>
              </w:rPr>
            </w:pPr>
            <w:r>
              <w:rPr>
                <w:rFonts w:ascii="Calibri" w:cs="Calibri" w:eastAsia="Calibri" w:hAnsi="Calibri"/>
                <w:sz w:val="18"/>
                <w:szCs w:val="18"/>
                <w:b w:val="1"/>
                <w:bCs w:val="1"/>
                <w:color w:val="auto"/>
                <w:w w:val="98"/>
              </w:rPr>
              <w:t>December 31, 2023</w:t>
            </w:r>
          </w:p>
        </w:tc>
        <w:tc>
          <w:tcPr>
            <w:tcW w:w="140" w:type="dxa"/>
            <w:vAlign w:val="bottom"/>
          </w:tcPr>
          <w:p>
            <w:pPr>
              <w:spacing w:after="0"/>
              <w:rPr>
                <w:sz w:val="18"/>
                <w:szCs w:val="18"/>
                <w:color w:val="auto"/>
              </w:rPr>
            </w:pPr>
          </w:p>
        </w:tc>
        <w:tc>
          <w:tcPr>
            <w:tcW w:w="1620" w:type="dxa"/>
            <w:vAlign w:val="bottom"/>
            <w:tcBorders>
              <w:top w:val="single" w:sz="8" w:color="auto"/>
            </w:tcBorders>
            <w:gridSpan w:val="3"/>
          </w:tcPr>
          <w:p>
            <w:pPr>
              <w:ind w:left="40"/>
              <w:spacing w:after="0" w:line="215" w:lineRule="exact"/>
              <w:rPr>
                <w:sz w:val="20"/>
                <w:szCs w:val="20"/>
                <w:color w:val="auto"/>
              </w:rPr>
            </w:pPr>
            <w:r>
              <w:rPr>
                <w:rFonts w:ascii="Calibri" w:cs="Calibri" w:eastAsia="Calibri" w:hAnsi="Calibri"/>
                <w:sz w:val="18"/>
                <w:szCs w:val="18"/>
                <w:b w:val="1"/>
                <w:bCs w:val="1"/>
                <w:color w:val="auto"/>
              </w:rPr>
              <w:t>December 29, 2024</w:t>
            </w:r>
          </w:p>
        </w:tc>
        <w:tc>
          <w:tcPr>
            <w:tcW w:w="1500" w:type="dxa"/>
            <w:vAlign w:val="bottom"/>
            <w:tcBorders>
              <w:top w:val="single" w:sz="8" w:color="auto"/>
            </w:tcBorders>
            <w:gridSpan w:val="2"/>
          </w:tcPr>
          <w:p>
            <w:pPr>
              <w:jc w:val="right"/>
              <w:spacing w:after="0" w:line="215" w:lineRule="exact"/>
              <w:rPr>
                <w:sz w:val="20"/>
                <w:szCs w:val="20"/>
                <w:color w:val="auto"/>
              </w:rPr>
            </w:pPr>
            <w:r>
              <w:rPr>
                <w:rFonts w:ascii="Calibri" w:cs="Calibri" w:eastAsia="Calibri" w:hAnsi="Calibri"/>
                <w:sz w:val="18"/>
                <w:szCs w:val="18"/>
                <w:b w:val="1"/>
                <w:bCs w:val="1"/>
                <w:color w:val="auto"/>
                <w:w w:val="99"/>
              </w:rPr>
              <w:t>December 31, 2023</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8"/>
              </w:rPr>
              <w:t>December 29, 2024</w:t>
            </w:r>
          </w:p>
        </w:tc>
        <w:tc>
          <w:tcPr>
            <w:tcW w:w="0" w:type="dxa"/>
            <w:vAlign w:val="bottom"/>
          </w:tcPr>
          <w:p>
            <w:pPr>
              <w:spacing w:after="0"/>
              <w:rPr>
                <w:sz w:val="1"/>
                <w:szCs w:val="1"/>
                <w:color w:val="auto"/>
              </w:rPr>
            </w:pPr>
          </w:p>
        </w:tc>
      </w:tr>
      <w:tr>
        <w:trPr>
          <w:trHeight w:val="230"/>
        </w:trPr>
        <w:tc>
          <w:tcPr>
            <w:tcW w:w="318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Net Income (GAAP)</w:t>
            </w:r>
          </w:p>
        </w:tc>
        <w:tc>
          <w:tcPr>
            <w:tcW w:w="440" w:type="dxa"/>
            <w:vAlign w:val="bottom"/>
            <w:tcBorders>
              <w:top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15,021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14,885</w:t>
            </w: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68,018</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61,531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81,851</w:t>
            </w:r>
          </w:p>
        </w:tc>
        <w:tc>
          <w:tcPr>
            <w:tcW w:w="0" w:type="dxa"/>
            <w:vAlign w:val="bottom"/>
          </w:tcPr>
          <w:p>
            <w:pPr>
              <w:spacing w:after="0"/>
              <w:rPr>
                <w:sz w:val="1"/>
                <w:szCs w:val="1"/>
                <w:color w:val="auto"/>
              </w:rPr>
            </w:pP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 net</w:t>
            </w:r>
          </w:p>
        </w:tc>
        <w:tc>
          <w:tcPr>
            <w:tcW w:w="4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1,168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3,033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5,155</w:t>
            </w: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tax expense</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5,262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3,274</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23,943</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20,289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29,435</w:t>
            </w:r>
          </w:p>
        </w:tc>
        <w:tc>
          <w:tcPr>
            <w:tcW w:w="0" w:type="dxa"/>
            <w:vAlign w:val="bottom"/>
          </w:tcPr>
          <w:p>
            <w:pPr>
              <w:spacing w:after="0"/>
              <w:rPr>
                <w:sz w:val="1"/>
                <w:szCs w:val="1"/>
                <w:color w:val="auto"/>
              </w:rPr>
            </w:pP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intangibles</w:t>
            </w:r>
          </w:p>
        </w:tc>
        <w:tc>
          <w:tcPr>
            <w:tcW w:w="4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3,213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2,392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9,211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5,786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11,963</w:t>
            </w: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expense</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6,899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5,951</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20,157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26,358</w:t>
            </w:r>
          </w:p>
        </w:tc>
        <w:tc>
          <w:tcPr>
            <w:tcW w:w="0" w:type="dxa"/>
            <w:vAlign w:val="bottom"/>
          </w:tcPr>
          <w:p>
            <w:pPr>
              <w:spacing w:after="0"/>
              <w:rPr>
                <w:sz w:val="1"/>
                <w:szCs w:val="1"/>
                <w:color w:val="auto"/>
              </w:rPr>
            </w:pP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Non-cash compensaton expense</w:t>
            </w:r>
          </w:p>
        </w:tc>
        <w:tc>
          <w:tcPr>
            <w:tcW w:w="4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1,287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5,022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6,396</w:t>
            </w: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Non-recurring acquisiton expenses</w:t>
            </w:r>
          </w:p>
        </w:tc>
        <w:tc>
          <w:tcPr>
            <w:tcW w:w="4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298</w:t>
            </w:r>
          </w:p>
        </w:tc>
        <w:tc>
          <w:tcPr>
            <w:tcW w:w="1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710</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580</w:t>
            </w: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664</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4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33,632</w:t>
            </w:r>
          </w:p>
        </w:tc>
        <w:tc>
          <w:tcPr>
            <w:tcW w:w="120" w:type="dxa"/>
            <w:vAlign w:val="bottom"/>
          </w:tcPr>
          <w:p>
            <w:pPr>
              <w:spacing w:after="0"/>
              <w:rPr>
                <w:sz w:val="19"/>
                <w:szCs w:val="19"/>
                <w:color w:val="auto"/>
              </w:rPr>
            </w:pPr>
          </w:p>
        </w:tc>
        <w:tc>
          <w:tcPr>
            <w:tcW w:w="8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29,667</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130,837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112,040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161,822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8"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INCOME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and per-share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560"/>
              <w:spacing w:after="0"/>
              <w:rPr>
                <w:sz w:val="20"/>
                <w:szCs w:val="20"/>
                <w:color w:val="auto"/>
              </w:rPr>
            </w:pPr>
            <w:r>
              <w:rPr>
                <w:rFonts w:ascii="Calibri" w:cs="Calibri" w:eastAsia="Calibri" w:hAnsi="Calibri"/>
                <w:sz w:val="18"/>
                <w:szCs w:val="18"/>
                <w:b w:val="1"/>
                <w:bCs w:val="1"/>
                <w:color w:val="auto"/>
              </w:rPr>
              <w:t>Three Months Ended</w:t>
            </w:r>
          </w:p>
        </w:tc>
        <w:tc>
          <w:tcPr>
            <w:tcW w:w="160" w:type="dxa"/>
            <w:vAlign w:val="bottom"/>
          </w:tcPr>
          <w:p>
            <w:pPr>
              <w:spacing w:after="0"/>
              <w:rPr>
                <w:sz w:val="19"/>
                <w:szCs w:val="19"/>
                <w:color w:val="auto"/>
              </w:rPr>
            </w:pPr>
          </w:p>
        </w:tc>
        <w:tc>
          <w:tcPr>
            <w:tcW w:w="2720" w:type="dxa"/>
            <w:vAlign w:val="bottom"/>
            <w:gridSpan w:val="4"/>
          </w:tcPr>
          <w:p>
            <w:pPr>
              <w:jc w:val="right"/>
              <w:ind w:right="630"/>
              <w:spacing w:after="0"/>
              <w:rPr>
                <w:sz w:val="20"/>
                <w:szCs w:val="20"/>
                <w:color w:val="auto"/>
              </w:rPr>
            </w:pPr>
            <w:r>
              <w:rPr>
                <w:rFonts w:ascii="Calibri" w:cs="Calibri" w:eastAsia="Calibri" w:hAnsi="Calibri"/>
                <w:sz w:val="18"/>
                <w:szCs w:val="18"/>
                <w:b w:val="1"/>
                <w:bCs w:val="1"/>
                <w:color w:val="auto"/>
              </w:rPr>
              <w:t>Nine Months Ended</w:t>
            </w:r>
          </w:p>
        </w:tc>
      </w:tr>
      <w:tr>
        <w:trPr>
          <w:trHeight w:val="23"/>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5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40"/>
              <w:spacing w:after="0" w:line="160" w:lineRule="exact"/>
              <w:rPr>
                <w:sz w:val="20"/>
                <w:szCs w:val="20"/>
                <w:color w:val="auto"/>
              </w:rPr>
            </w:pPr>
            <w:r>
              <w:rPr>
                <w:rFonts w:ascii="Calibri" w:cs="Calibri" w:eastAsia="Calibri" w:hAnsi="Calibri"/>
                <w:sz w:val="17"/>
                <w:szCs w:val="17"/>
                <w:b w:val="1"/>
                <w:bCs w:val="1"/>
                <w:color w:val="auto"/>
              </w:rPr>
              <w:t>December 29,</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10"/>
              <w:spacing w:after="0" w:line="160" w:lineRule="exact"/>
              <w:rPr>
                <w:sz w:val="20"/>
                <w:szCs w:val="20"/>
                <w:color w:val="auto"/>
              </w:rPr>
            </w:pPr>
            <w:r>
              <w:rPr>
                <w:rFonts w:ascii="Calibri" w:cs="Calibri" w:eastAsia="Calibri" w:hAnsi="Calibri"/>
                <w:sz w:val="17"/>
                <w:szCs w:val="17"/>
                <w:b w:val="1"/>
                <w:bCs w:val="1"/>
                <w:color w:val="auto"/>
              </w:rPr>
              <w:t>December 31,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40"/>
              <w:spacing w:after="0" w:line="160" w:lineRule="exact"/>
              <w:rPr>
                <w:sz w:val="20"/>
                <w:szCs w:val="20"/>
                <w:color w:val="auto"/>
              </w:rPr>
            </w:pPr>
            <w:r>
              <w:rPr>
                <w:rFonts w:ascii="Calibri" w:cs="Calibri" w:eastAsia="Calibri" w:hAnsi="Calibri"/>
                <w:sz w:val="17"/>
                <w:szCs w:val="17"/>
                <w:b w:val="1"/>
                <w:bCs w:val="1"/>
                <w:color w:val="auto"/>
              </w:rPr>
              <w:t>December 29,</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70"/>
              <w:spacing w:after="0" w:line="160" w:lineRule="exact"/>
              <w:rPr>
                <w:sz w:val="20"/>
                <w:szCs w:val="20"/>
                <w:color w:val="auto"/>
              </w:rPr>
            </w:pPr>
            <w:r>
              <w:rPr>
                <w:rFonts w:ascii="Calibri" w:cs="Calibri" w:eastAsia="Calibri" w:hAnsi="Calibri"/>
                <w:sz w:val="17"/>
                <w:szCs w:val="17"/>
                <w:b w:val="1"/>
                <w:bCs w:val="1"/>
                <w:color w:val="auto"/>
              </w:rPr>
              <w:t>December 31,</w:t>
            </w:r>
          </w:p>
        </w:tc>
      </w:tr>
      <w:tr>
        <w:trPr>
          <w:trHeight w:val="215"/>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2023</w:t>
            </w:r>
          </w:p>
        </w:tc>
      </w:tr>
      <w:tr>
        <w:trPr>
          <w:trHeight w:val="37"/>
        </w:trPr>
        <w:tc>
          <w:tcPr>
            <w:tcW w:w="5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52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226,205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729,113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696,142</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(177,781)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(166,248)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(555,812)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(548,017)</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173,301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148,125</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(23,774)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(78,702)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(64,173)</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83,952</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(3,033)</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436</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853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1,268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901</w:t>
            </w:r>
          </w:p>
        </w:tc>
      </w:tr>
      <w:tr>
        <w:trPr>
          <w:trHeight w:val="216"/>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20,283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18,159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91,961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81,820</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(5,262)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(3,274)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(23,943)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(20,289)</w:t>
            </w:r>
          </w:p>
        </w:tc>
      </w:tr>
      <w:tr>
        <w:trPr>
          <w:trHeight w:val="217"/>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14,885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61,531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3"/>
        </w:trPr>
        <w:tc>
          <w:tcPr>
            <w:tcW w:w="5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20,766,764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20,781,632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20,780,213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20,864,349</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20,875,387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20,907,321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20,902,456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21,004,077</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0.72</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0.72</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3.27</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2.95</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2.93</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0.18</w:t>
            </w:r>
          </w:p>
        </w:tc>
        <w:tc>
          <w:tcPr>
            <w:tcW w:w="1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0.52</w:t>
            </w:r>
          </w:p>
        </w:tc>
        <w:tc>
          <w:tcPr>
            <w:tcW w:w="10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0.47</w:t>
            </w:r>
          </w:p>
        </w:tc>
      </w:tr>
    </w:tbl>
    <w:p>
      <w:pPr>
        <w:sectPr>
          <w:pgSz w:w="11900" w:h="16838" w:orient="portrait"/>
          <w:cols w:equalWidth="0" w:num="1">
            <w:col w:w="11240"/>
          </w:cols>
          <w:pgMar w:left="320" w:top="1017"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December 29,</w:t>
            </w:r>
          </w:p>
        </w:tc>
        <w:tc>
          <w:tcPr>
            <w:tcW w:w="24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Cash and cash equivalents</w:t>
            </w: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8,305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Trade accounts receivables, net</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111,521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Inventories</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81,634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8,895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210,355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410,427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Less accumulated depreciaton</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189,984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Net property, plant, and equipment</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220,443</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Right-of-use assets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13,096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116,738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130,474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Deferred compensaton plan asset</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11,892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4,242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other assets</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276,442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780"/>
              <w:spacing w:after="0" w:line="182" w:lineRule="exact"/>
              <w:rPr>
                <w:sz w:val="20"/>
                <w:szCs w:val="20"/>
                <w:color w:val="auto"/>
              </w:rPr>
            </w:pPr>
            <w:r>
              <w:rPr>
                <w:rFonts w:ascii="Calibri" w:cs="Calibri" w:eastAsia="Calibri" w:hAnsi="Calibri"/>
                <w:sz w:val="16"/>
                <w:szCs w:val="16"/>
                <w:color w:val="auto"/>
              </w:rPr>
              <w:t>Total assets</w:t>
            </w: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707,240</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Accounts payable — trade</w:t>
            </w: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39,891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18,371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Income tax payable</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Current porton of long-term debt</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Environmental remediaton</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 current liabilites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8,379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liabilites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84,254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LIABILITIES: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Long-term debt, less current porton</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103,884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Long-term lease liability</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10,613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22"/>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Pension withdrawal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3,252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Deferred income taxes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22,120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Deferred compensaton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13,413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Earnout liability</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12,262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Other long-term liabilites</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Total long-term liabilites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166,005</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148,601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liabilites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250,259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40"/>
              <w:spacing w:after="0" w:line="157" w:lineRule="exact"/>
              <w:rPr>
                <w:sz w:val="20"/>
                <w:szCs w:val="20"/>
                <w:color w:val="auto"/>
              </w:rPr>
            </w:pPr>
            <w:r>
              <w:rPr>
                <w:rFonts w:ascii="Calibri" w:cs="Calibri" w:eastAsia="Calibri" w:hAnsi="Calibri"/>
                <w:sz w:val="16"/>
                <w:szCs w:val="16"/>
                <w:color w:val="auto"/>
              </w:rPr>
              <w:t>Common stock; authorized: 60,000,000 shares of $0.01 par value; 20,766,764 and 20,790,261 shares issued and</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outstanding as of December 29, 2024 and March 31, 2024, respectvely</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Additonal paid-in capital</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32,783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Retained earnings</w:t>
            </w:r>
          </w:p>
        </w:tc>
        <w:tc>
          <w:tcPr>
            <w:tcW w:w="18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421,682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2,308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Total shareholders’ equity</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456,981</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4"/>
        </w:trPr>
        <w:tc>
          <w:tcPr>
            <w:tcW w:w="8240" w:type="dxa"/>
            <w:vAlign w:val="bottom"/>
            <w:tcBorders>
              <w:bottom w:val="single" w:sz="8" w:color="CCEEFF"/>
            </w:tcBorders>
            <w:shd w:val="clear" w:color="auto" w:fill="CCEEFF"/>
          </w:tcPr>
          <w:p>
            <w:pPr>
              <w:ind w:left="78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707,240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4" w:right="35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839"/>
              <w:spacing w:after="0"/>
              <w:rPr>
                <w:sz w:val="20"/>
                <w:szCs w:val="20"/>
                <w:color w:val="auto"/>
              </w:rPr>
            </w:pPr>
            <w:r>
              <w:rPr>
                <w:rFonts w:ascii="Calibri" w:cs="Calibri" w:eastAsia="Calibri" w:hAnsi="Calibri"/>
                <w:sz w:val="16"/>
                <w:szCs w:val="16"/>
                <w:b w:val="1"/>
                <w:bCs w:val="1"/>
                <w:color w:val="auto"/>
              </w:rPr>
              <w:t>Nine Months Ended</w:t>
            </w:r>
          </w:p>
        </w:tc>
      </w:tr>
      <w:tr>
        <w:trPr>
          <w:trHeight w:val="28"/>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00"/>
              <w:spacing w:after="0" w:line="150" w:lineRule="exact"/>
              <w:rPr>
                <w:sz w:val="20"/>
                <w:szCs w:val="20"/>
                <w:color w:val="auto"/>
              </w:rPr>
            </w:pPr>
            <w:r>
              <w:rPr>
                <w:rFonts w:ascii="Calibri" w:cs="Calibri" w:eastAsia="Calibri" w:hAnsi="Calibri"/>
                <w:sz w:val="16"/>
                <w:szCs w:val="16"/>
                <w:b w:val="1"/>
                <w:bCs w:val="1"/>
                <w:color w:val="auto"/>
              </w:rPr>
              <w:t>December 29,</w:t>
            </w:r>
          </w:p>
        </w:tc>
        <w:tc>
          <w:tcPr>
            <w:tcW w:w="200" w:type="dxa"/>
            <w:vAlign w:val="bottom"/>
          </w:tcPr>
          <w:p>
            <w:pPr>
              <w:spacing w:after="0"/>
              <w:rPr>
                <w:sz w:val="13"/>
                <w:szCs w:val="13"/>
                <w:color w:val="auto"/>
              </w:rPr>
            </w:pPr>
          </w:p>
        </w:tc>
        <w:tc>
          <w:tcPr>
            <w:tcW w:w="1280" w:type="dxa"/>
            <w:vAlign w:val="bottom"/>
          </w:tcPr>
          <w:p>
            <w:pPr>
              <w:jc w:val="right"/>
              <w:ind w:right="179"/>
              <w:spacing w:after="0" w:line="150" w:lineRule="exact"/>
              <w:rPr>
                <w:sz w:val="20"/>
                <w:szCs w:val="20"/>
                <w:color w:val="auto"/>
              </w:rPr>
            </w:pPr>
            <w:r>
              <w:rPr>
                <w:rFonts w:ascii="Calibri" w:cs="Calibri" w:eastAsia="Calibri" w:hAnsi="Calibri"/>
                <w:sz w:val="16"/>
                <w:szCs w:val="16"/>
                <w:b w:val="1"/>
                <w:bCs w:val="1"/>
                <w:color w:val="auto"/>
              </w:rPr>
              <w:t>December 31,</w:t>
            </w:r>
          </w:p>
        </w:tc>
      </w:tr>
      <w:tr>
        <w:trPr>
          <w:trHeight w:val="193"/>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68,018</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61,531</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29,368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22,849</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1,884</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(901)</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3,506</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70</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22,500</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(5,682)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25,665</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(16,026)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(14,334)</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(1,698)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(610)</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(1,804)</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(1,824)</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(922)</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80,252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117,610</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(30,008)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(28,248)</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(43,400)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(78,855)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723</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(72,822)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(106,380)</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(10,885)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(9,886)</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2,243</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(11,272)</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(67,000)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75,000</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(6,278)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(13,055)</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(DECREASE) IN CASH AND CASH EQUIVALENTS</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1,152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(1,825)</w:t>
            </w:r>
          </w:p>
        </w:tc>
      </w:tr>
      <w:tr>
        <w:trPr>
          <w:trHeight w:val="22"/>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2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8,305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5,741</w:t>
            </w:r>
          </w:p>
        </w:tc>
      </w:tr>
      <w:tr>
        <w:trPr>
          <w:trHeight w:val="23"/>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income taxes</w:t>
            </w: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26,566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22,125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4,208</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3,252</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808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20" w:type="dxa"/>
            <w:vAlign w:val="bottom"/>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2,887</w:t>
            </w:r>
          </w:p>
        </w:tc>
      </w:tr>
      <w:tr>
        <w:trPr>
          <w:trHeight w:val="23"/>
        </w:trPr>
        <w:tc>
          <w:tcPr>
            <w:tcW w:w="8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ind w:right="20"/>
        <w:spacing w:after="0"/>
        <w:rPr>
          <w:sz w:val="20"/>
          <w:szCs w:val="20"/>
          <w:color w:val="auto"/>
        </w:rPr>
      </w:pPr>
      <w:r>
        <w:rPr>
          <w:rFonts w:ascii="Calibri" w:cs="Calibri" w:eastAsia="Calibri" w:hAnsi="Calibri"/>
          <w:sz w:val="18"/>
          <w:szCs w:val="18"/>
          <w:b w:val="1"/>
          <w:bCs w:val="1"/>
          <w:color w:val="auto"/>
        </w:rPr>
        <w:t>HAWKINS,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REPORTABLE SEGMENTS (UNAUDITED)</w:t>
      </w:r>
    </w:p>
    <w:p>
      <w:pPr>
        <w:jc w:val="center"/>
        <w:ind w:right="20"/>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line="215" w:lineRule="exact"/>
              <w:rPr>
                <w:sz w:val="20"/>
                <w:szCs w:val="20"/>
                <w:color w:val="auto"/>
              </w:rPr>
            </w:pPr>
            <w:r>
              <w:rPr>
                <w:rFonts w:ascii="Calibri" w:cs="Calibri" w:eastAsia="Calibri" w:hAnsi="Calibri"/>
                <w:sz w:val="18"/>
                <w:szCs w:val="18"/>
                <w:b w:val="1"/>
                <w:bCs w:val="1"/>
                <w:color w:val="auto"/>
                <w:w w:val="93"/>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24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Three months ended December 29, 2024: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99,752</w:t>
            </w:r>
          </w:p>
        </w:tc>
        <w:tc>
          <w:tcPr>
            <w:tcW w:w="14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91,997</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34,456</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226,205</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26,027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15,180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7,217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48,424</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16,054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4,249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27,361</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9,973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2,968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21,063</w:t>
            </w:r>
          </w:p>
        </w:tc>
      </w:tr>
      <w:tr>
        <w:trPr>
          <w:trHeight w:val="222"/>
        </w:trPr>
        <w:tc>
          <w:tcPr>
            <w:tcW w:w="5240" w:type="dxa"/>
            <w:vAlign w:val="bottom"/>
          </w:tcPr>
          <w:p>
            <w:pPr>
              <w:spacing w:after="0" w:line="215" w:lineRule="exact"/>
              <w:rPr>
                <w:sz w:val="20"/>
                <w:szCs w:val="20"/>
                <w:color w:val="auto"/>
              </w:rPr>
            </w:pPr>
            <w:r>
              <w:rPr>
                <w:rFonts w:ascii="Calibri" w:cs="Calibri" w:eastAsia="Calibri" w:hAnsi="Calibri"/>
                <w:sz w:val="18"/>
                <w:szCs w:val="18"/>
                <w:color w:val="auto"/>
              </w:rPr>
              <w:t>Three months ended December 31, 2023: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82,019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92,990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33,487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208,496</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20,241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5,512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42,248</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12,470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4,012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23,774</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7,771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1,500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18,474</w:t>
            </w:r>
          </w:p>
        </w:tc>
      </w:tr>
      <w:tr>
        <w:trPr>
          <w:trHeight w:val="237"/>
        </w:trPr>
        <w:tc>
          <w:tcPr>
            <w:tcW w:w="5240" w:type="dxa"/>
            <w:vAlign w:val="bottom"/>
            <w:shd w:val="clear" w:color="auto" w:fill="CCEEFF"/>
          </w:tcPr>
          <w:p>
            <w:pPr>
              <w:spacing w:after="0"/>
              <w:rPr>
                <w:sz w:val="20"/>
                <w:szCs w:val="20"/>
                <w:color w:val="auto"/>
              </w:rPr>
            </w:pPr>
            <w:r>
              <w:rPr>
                <w:rFonts w:ascii="Calibri" w:cs="Calibri" w:eastAsia="Calibri" w:hAnsi="Calibri"/>
                <w:sz w:val="18"/>
                <w:szCs w:val="18"/>
                <w:color w:val="auto"/>
              </w:rPr>
              <w:t>Nine months ended December 29, 2024:</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341,456</w:t>
            </w:r>
          </w:p>
        </w:tc>
        <w:tc>
          <w:tcPr>
            <w:tcW w:w="14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285,135</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102,522</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729,113</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96,572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55,324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21,405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173,301</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45,732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12,321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78,702</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50,840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9,084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94,599</w:t>
            </w:r>
          </w:p>
        </w:tc>
      </w:tr>
      <w:tr>
        <w:trPr>
          <w:trHeight w:val="222"/>
        </w:trPr>
        <w:tc>
          <w:tcPr>
            <w:tcW w:w="5240" w:type="dxa"/>
            <w:vAlign w:val="bottom"/>
          </w:tcPr>
          <w:p>
            <w:pPr>
              <w:spacing w:after="0" w:line="215" w:lineRule="exact"/>
              <w:rPr>
                <w:sz w:val="20"/>
                <w:szCs w:val="20"/>
                <w:color w:val="auto"/>
              </w:rPr>
            </w:pPr>
            <w:r>
              <w:rPr>
                <w:rFonts w:ascii="Calibri" w:cs="Calibri" w:eastAsia="Calibri" w:hAnsi="Calibri"/>
                <w:sz w:val="18"/>
                <w:szCs w:val="18"/>
                <w:color w:val="auto"/>
              </w:rPr>
              <w:t>Nine months ended December 31, 2023: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276,595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312,398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107,149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696,142</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75,957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53,645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18,523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148,125</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31,741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20,673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11,759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64,173</w:t>
            </w:r>
          </w:p>
        </w:tc>
      </w:tr>
      <w:tr>
        <w:trPr>
          <w:trHeight w:val="215"/>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44,216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32,972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6,764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83,952</w:t>
            </w:r>
          </w:p>
        </w:tc>
      </w:tr>
    </w:tbl>
    <w:p>
      <w:pPr>
        <w:sectPr>
          <w:pgSz w:w="11900" w:h="16838" w:orient="portrait"/>
          <w:cols w:equalWidth="0" w:num="1">
            <w:col w:w="10940"/>
          </w:cols>
          <w:pgMar w:left="480" w:top="882" w:right="479" w:bottom="1440" w:gutter="0" w:footer="0" w:header="0"/>
        </w:sectPr>
      </w:pPr>
    </w:p>
    <w:bookmarkStart w:id="10" w:name="page11"/>
    <w:bookmarkEnd w:id="10"/>
    <w:p>
      <w:pPr>
        <w:spacing w:after="0" w:line="230" w:lineRule="auto"/>
        <w:rPr>
          <w:rFonts w:ascii="Calibri" w:cs="Calibri" w:eastAsia="Calibri" w:hAnsi="Calibri"/>
          <w:sz w:val="17"/>
          <w:szCs w:val="17"/>
          <w:color w:val="0000FF"/>
        </w:rPr>
      </w:pPr>
      <w:r>
        <w:rPr>
          <w:rFonts w:ascii="Calibri" w:cs="Calibri" w:eastAsia="Calibri" w:hAnsi="Calibri"/>
          <w:sz w:val="17"/>
          <w:szCs w:val="17"/>
          <w:u w:val="single" w:color="auto"/>
          <w:color w:val="auto"/>
        </w:rPr>
        <w:t>Forward-Looking Statements</w:t>
      </w:r>
      <w:r>
        <w:rPr>
          <w:rFonts w:ascii="Calibri" w:cs="Calibri" w:eastAsia="Calibri" w:hAnsi="Calibri"/>
          <w:sz w:val="17"/>
          <w:szCs w:val="17"/>
          <w:color w:val="auto"/>
        </w:rPr>
        <w:t xml:space="preserve">. Various remarks in this press release consttute forward-looking statements within the meaning of Secton 27A of the Securites Act of 1933, as amended, and Secton 21E of the Securites Exchange Act of 1934, as amended. These statements include those relatng to consumer demand for products containing our ingredients and the impacts of those demands, expectatons for results in our business segments and the tming of our flings with the Securites and Exchange Commission. These statements are not historical facts, but rather are based on our current expectatons, estmates and projectons, and our beliefs and assumptons. Forward-looking statements may be identfed by terms, including “antcipate,” “believe,” “can,” “could,” “expect,” “intend,” “may,” “predict,” “should,” or “will” or the negatve of these terms or other comparable terms. These statements are not guarantees of future performance and are subject to certain risks, uncertaintes and other factors, some of which are beyond our control and are difcult to predict. Actual results may vary materially from those contained in forward looking statements based on a number of factors, including, but not limited to, changes in competton and price pressures, changes in demand and customer requirements or processes for our products, availability of product and disruptons to supplies, interruptons in producton resultng from hazards, transportaton limitatons or other extraordinary events outside our control that may negatvely impact our business or the supply chains in which we partcipate, changes in imported products and tarif levels, the availability of products and the prices at which they are available, the acceptance of new products by our customers and the tming of any such acceptance, and changes in product supplies. </w:t>
      </w:r>
      <w:hyperlink r:id="rId11">
        <w:r>
          <w:rPr>
            <w:rFonts w:ascii="Calibri" w:cs="Calibri" w:eastAsia="Calibri" w:hAnsi="Calibri"/>
            <w:sz w:val="17"/>
            <w:szCs w:val="17"/>
            <w:color w:val="auto"/>
          </w:rPr>
          <w:t xml:space="preserve">Additonal informaton concerning potental factors that could afect future fnancial results is included in our </w:t>
        </w:r>
        <w:r>
          <w:rPr>
            <w:rFonts w:ascii="Calibri" w:cs="Calibri" w:eastAsia="Calibri" w:hAnsi="Calibri"/>
            <w:sz w:val="17"/>
            <w:szCs w:val="17"/>
            <w:u w:val="single" w:color="auto"/>
            <w:color w:val="0000FF"/>
          </w:rPr>
          <w:t>Annual Report on Form 10-K for the fscal year</w:t>
        </w:r>
      </w:hyperlink>
      <w:r>
        <w:rPr>
          <w:rFonts w:ascii="Calibri" w:cs="Calibri" w:eastAsia="Calibri" w:hAnsi="Calibri"/>
          <w:sz w:val="17"/>
          <w:szCs w:val="17"/>
          <w:color w:val="auto"/>
        </w:rPr>
        <w:t xml:space="preserve"> </w:t>
      </w:r>
      <w:hyperlink r:id="rId11">
        <w:r>
          <w:rPr>
            <w:rFonts w:ascii="Calibri" w:cs="Calibri" w:eastAsia="Calibri" w:hAnsi="Calibri"/>
            <w:sz w:val="17"/>
            <w:szCs w:val="17"/>
            <w:u w:val="single" w:color="auto"/>
            <w:color w:val="0000FF"/>
          </w:rPr>
          <w:t>ended March 31, 2024</w:t>
        </w:r>
        <w:r>
          <w:rPr>
            <w:rFonts w:ascii="Calibri" w:cs="Calibri" w:eastAsia="Calibri" w:hAnsi="Calibri"/>
            <w:sz w:val="17"/>
            <w:szCs w:val="17"/>
            <w:color w:val="000000"/>
          </w:rPr>
          <w:t>, as updated from tme to tme in amendments and subsequent reports fled with the SEC. Investors should take such risks into account</w:t>
        </w:r>
      </w:hyperlink>
      <w:r>
        <w:rPr>
          <w:rFonts w:ascii="Calibri" w:cs="Calibri" w:eastAsia="Calibri" w:hAnsi="Calibri"/>
          <w:sz w:val="17"/>
          <w:szCs w:val="17"/>
          <w:color w:val="0000FF"/>
        </w:rPr>
        <w:t xml:space="preserve"> </w:t>
      </w:r>
      <w:r>
        <w:rPr>
          <w:rFonts w:ascii="Calibri" w:cs="Calibri" w:eastAsia="Calibri" w:hAnsi="Calibri"/>
          <w:sz w:val="17"/>
          <w:szCs w:val="17"/>
          <w:color w:val="000000"/>
        </w:rPr>
        <w:t>when making investment decisions. Shareholders and other readers are cautoned not to place undue reliance on forward-looking statements, which refect our management’s view only as of the date hereof. We do not undertake any obligaton to update any forward-looking statements.</w:t>
      </w:r>
    </w:p>
    <w:p>
      <w:pPr>
        <w:spacing w:after="0" w:line="242"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Contacts:</w:t>
      </w:r>
      <w:r>
        <w:rPr>
          <w:sz w:val="20"/>
          <w:szCs w:val="20"/>
          <w:color w:val="auto"/>
        </w:rPr>
        <w:tab/>
      </w:r>
      <w:r>
        <w:rPr>
          <w:rFonts w:ascii="Calibri" w:cs="Calibri" w:eastAsia="Calibri" w:hAnsi="Calibri"/>
          <w:sz w:val="17"/>
          <w:szCs w:val="17"/>
          <w:color w:val="auto"/>
        </w:rPr>
        <w:t>Jefrey P. Oldenkamp</w:t>
      </w:r>
    </w:p>
    <w:p>
      <w:pPr>
        <w:ind w:left="1300"/>
        <w:spacing w:after="0" w:line="221" w:lineRule="auto"/>
        <w:rPr>
          <w:sz w:val="20"/>
          <w:szCs w:val="20"/>
          <w:color w:val="auto"/>
        </w:rPr>
      </w:pPr>
      <w:r>
        <w:rPr>
          <w:rFonts w:ascii="Calibri" w:cs="Calibri" w:eastAsia="Calibri" w:hAnsi="Calibri"/>
          <w:sz w:val="18"/>
          <w:szCs w:val="18"/>
          <w:color w:val="auto"/>
        </w:rPr>
        <w:t>Executve Vice President and Chief Financial Ofcer</w:t>
      </w:r>
    </w:p>
    <w:p>
      <w:pPr>
        <w:ind w:left="1300"/>
        <w:spacing w:after="0" w:line="221" w:lineRule="auto"/>
        <w:rPr>
          <w:sz w:val="20"/>
          <w:szCs w:val="20"/>
          <w:color w:val="auto"/>
        </w:rPr>
      </w:pPr>
      <w:r>
        <w:rPr>
          <w:rFonts w:ascii="Calibri" w:cs="Calibri" w:eastAsia="Calibri" w:hAnsi="Calibri"/>
          <w:sz w:val="18"/>
          <w:szCs w:val="18"/>
          <w:color w:val="auto"/>
        </w:rPr>
        <w:t>612/331-6910</w:t>
      </w:r>
    </w:p>
    <w:p>
      <w:pPr>
        <w:ind w:left="1300"/>
        <w:spacing w:after="0" w:line="221" w:lineRule="auto"/>
        <w:rPr>
          <w:sz w:val="20"/>
          <w:szCs w:val="20"/>
          <w:color w:val="auto"/>
        </w:rPr>
      </w:pPr>
      <w:r>
        <w:rPr>
          <w:rFonts w:ascii="Calibri" w:cs="Calibri" w:eastAsia="Calibri" w:hAnsi="Calibri"/>
          <w:sz w:val="18"/>
          <w:szCs w:val="18"/>
          <w:u w:val="single" w:color="auto"/>
          <w:color w:val="auto"/>
        </w:rPr>
        <w:t>ir@HawkinsInc.com</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s://www.sec.gov/ix?doc=/Archives/edgar/data/46250/000004625024000013/hwkn-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2025-01-29T15:29:39Z</dcterms:created>
  <dcterms:modified xsi:type="dcterms:W3CDTF">2025-01-29T15:29:39Z</dcterms:modified>
</cp:coreProperties>
</file>