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August 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40"/>
          </w:cols>
          <w:pgMar w:left="240" w:top="1029" w:right="519" w:bottom="1440" w:gutter="0" w:footer="0" w:header="0"/>
        </w:sectPr>
      </w:pPr>
    </w:p>
    <w:p>
      <w:pPr>
        <w:spacing w:after="0" w:line="192" w:lineRule="exact"/>
        <w:rPr>
          <w:sz w:val="24"/>
          <w:szCs w:val="24"/>
          <w:color w:val="auto"/>
        </w:rPr>
      </w:pPr>
    </w:p>
    <w:p>
      <w:pPr>
        <w:ind w:left="140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8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700" w:space="720"/>
            <w:col w:w="2880" w:space="720"/>
            <w:col w:w="2120"/>
          </w:cols>
          <w:pgMar w:left="240" w:top="1029" w:right="51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40" w:space="720"/>
            <w:col w:w="3400" w:space="720"/>
            <w:col w:w="2260"/>
          </w:cols>
          <w:pgMar w:left="240" w:top="1029" w:right="519" w:bottom="1440" w:gutter="0" w:footer="0" w:header="0"/>
          <w:type w:val="continuous"/>
        </w:sectPr>
      </w:pPr>
    </w:p>
    <w:p>
      <w:pPr>
        <w:spacing w:after="0" w:line="239" w:lineRule="exact"/>
        <w:rPr>
          <w:sz w:val="24"/>
          <w:szCs w:val="24"/>
          <w:color w:val="auto"/>
        </w:rPr>
      </w:pPr>
    </w:p>
    <w:p>
      <w:pPr>
        <w:jc w:val="center"/>
        <w:ind w:right="900"/>
        <w:spacing w:after="0"/>
        <w:rPr>
          <w:sz w:val="20"/>
          <w:szCs w:val="20"/>
          <w:color w:val="auto"/>
        </w:rPr>
      </w:pPr>
      <w:r>
        <w:rPr>
          <w:rFonts w:ascii="Arial" w:cs="Arial" w:eastAsia="Arial" w:hAnsi="Arial"/>
          <w:sz w:val="19"/>
          <w:szCs w:val="19"/>
          <w:b w:val="1"/>
          <w:bCs w:val="1"/>
          <w:color w:val="auto"/>
        </w:rPr>
        <w:t>3100 East Hennepin Ave.</w:t>
      </w:r>
    </w:p>
    <w:p>
      <w:pPr>
        <w:spacing w:after="0" w:line="49" w:lineRule="exact"/>
        <w:rPr>
          <w:sz w:val="24"/>
          <w:szCs w:val="24"/>
          <w:color w:val="auto"/>
        </w:rPr>
      </w:pPr>
    </w:p>
    <w:p>
      <w:pPr>
        <w:jc w:val="center"/>
        <w:ind w:right="9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560" w:space="720"/>
            <w:col w:w="1860"/>
          </w:cols>
          <w:pgMar w:left="240" w:top="1029" w:right="51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40" w:space="720"/>
            <w:col w:w="1980"/>
          </w:cols>
          <w:pgMar w:left="240" w:top="1029" w:right="519" w:bottom="1440" w:gutter="0" w:footer="0" w:header="0"/>
          <w:type w:val="continuous"/>
        </w:sectPr>
      </w:pPr>
    </w:p>
    <w:p>
      <w:pPr>
        <w:spacing w:after="0" w:line="233" w:lineRule="exact"/>
        <w:rPr>
          <w:sz w:val="24"/>
          <w:szCs w:val="24"/>
          <w:color w:val="auto"/>
        </w:rPr>
      </w:pPr>
    </w:p>
    <w:p>
      <w:pPr>
        <w:ind w:left="262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233045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38" w:orient="portrait"/>
          <w:cols w:equalWidth="0" w:num="2">
            <w:col w:w="7280" w:space="160"/>
            <w:col w:w="3700"/>
          </w:cols>
          <w:pgMar w:left="240" w:top="1029" w:right="519" w:bottom="1440" w:gutter="0" w:footer="0" w:header="0"/>
          <w:type w:val="continuous"/>
        </w:sectPr>
      </w:pPr>
    </w:p>
    <w:p>
      <w:pPr>
        <w:spacing w:after="0" w:line="284" w:lineRule="exact"/>
        <w:rPr>
          <w:sz w:val="24"/>
          <w:szCs w:val="24"/>
          <w:color w:val="auto"/>
        </w:rPr>
      </w:pPr>
    </w:p>
    <w:p>
      <w:pPr>
        <w:ind w:right="480"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5" w:lineRule="exact"/>
        <w:rPr>
          <w:sz w:val="24"/>
          <w:szCs w:val="24"/>
          <w:color w:val="auto"/>
        </w:rPr>
      </w:pPr>
    </w:p>
    <w:p>
      <w:pPr>
        <w:ind w:firstLine="877"/>
        <w:spacing w:after="0" w:line="332" w:lineRule="auto"/>
        <w:rPr>
          <w:sz w:val="20"/>
          <w:szCs w:val="20"/>
          <w:color w:val="auto"/>
        </w:rPr>
      </w:pPr>
      <w:r>
        <w:rPr>
          <w:rFonts w:ascii="Arial" w:cs="Arial" w:eastAsia="Arial" w:hAnsi="Arial"/>
          <w:sz w:val="16"/>
          <w:szCs w:val="16"/>
          <w:color w:val="auto"/>
        </w:rPr>
        <w:t>On August 7, 2007, Hawkins, Inc. issued a press release announcing financial results for its fiscal first quarter ended June 30, 2007. A copy of the press release issued by the Registrant is furnished herewith as Exhibit 99 hereto and is incorporated herein by reference.</w:t>
      </w:r>
    </w:p>
    <w:p>
      <w:pPr>
        <w:spacing w:after="0" w:line="120"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680" w:hanging="440"/>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Exhibit 99 – Press Release, dated August 7, 2007, announcing financial results of Hawkins, Inc. for its fiscal first quarter ended June 30, 2007.</w:t>
      </w:r>
    </w:p>
    <w:p>
      <w:pPr>
        <w:sectPr>
          <w:pgSz w:w="11900" w:h="16838" w:orient="portrait"/>
          <w:cols w:equalWidth="0" w:num="1">
            <w:col w:w="11140"/>
          </w:cols>
          <w:pgMar w:left="240" w:top="1029" w:right="51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1081405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89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6500" w:val="left"/>
          <w:tab w:leader="none" w:pos="7900" w:val="left"/>
        </w:tabs>
        <w:rPr>
          <w:sz w:val="20"/>
          <w:szCs w:val="20"/>
          <w:color w:val="auto"/>
        </w:rPr>
      </w:pPr>
      <w:r>
        <w:rPr>
          <w:rFonts w:ascii="Arial" w:cs="Arial" w:eastAsia="Arial" w:hAnsi="Arial"/>
          <w:sz w:val="18"/>
          <w:szCs w:val="18"/>
          <w:color w:val="auto"/>
        </w:rPr>
        <w:t>Date:  August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1355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5"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marvin.dee@HawkinsInc.com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JWeichert@Comcast.net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2008 FIRST QUARTER RESULTS</w:t>
      </w:r>
    </w:p>
    <w:p>
      <w:pPr>
        <w:spacing w:after="0" w:line="211" w:lineRule="exact"/>
        <w:rPr>
          <w:sz w:val="20"/>
          <w:szCs w:val="20"/>
          <w:color w:val="auto"/>
        </w:rPr>
      </w:pPr>
    </w:p>
    <w:p>
      <w:pPr>
        <w:ind w:left="3480" w:hanging="210"/>
        <w:spacing w:after="0"/>
        <w:tabs>
          <w:tab w:leader="none" w:pos="3480" w:val="left"/>
        </w:tabs>
        <w:numPr>
          <w:ilvl w:val="0"/>
          <w:numId w:val="3"/>
        </w:numPr>
        <w:rPr>
          <w:rFonts w:ascii="Arial" w:cs="Arial" w:eastAsia="Arial" w:hAnsi="Arial"/>
          <w:sz w:val="24"/>
          <w:szCs w:val="24"/>
          <w:b w:val="1"/>
          <w:bCs w:val="1"/>
          <w:color w:val="auto"/>
        </w:rPr>
      </w:pPr>
      <w:r>
        <w:rPr>
          <w:rFonts w:ascii="Arial" w:cs="Arial" w:eastAsia="Arial" w:hAnsi="Arial"/>
          <w:sz w:val="22"/>
          <w:szCs w:val="22"/>
          <w:color w:val="auto"/>
        </w:rPr>
        <w:t>Sales Grow by 17.3%</w:t>
      </w:r>
    </w:p>
    <w:p>
      <w:pPr>
        <w:spacing w:after="0" w:line="27" w:lineRule="exact"/>
        <w:rPr>
          <w:rFonts w:ascii="Arial" w:cs="Arial" w:eastAsia="Arial" w:hAnsi="Arial"/>
          <w:sz w:val="24"/>
          <w:szCs w:val="24"/>
          <w:b w:val="1"/>
          <w:bCs w:val="1"/>
          <w:color w:val="auto"/>
        </w:rPr>
      </w:pPr>
    </w:p>
    <w:p>
      <w:pPr>
        <w:ind w:left="3480" w:hanging="210"/>
        <w:spacing w:after="0" w:line="223" w:lineRule="auto"/>
        <w:tabs>
          <w:tab w:leader="none" w:pos="3480" w:val="left"/>
        </w:tabs>
        <w:numPr>
          <w:ilvl w:val="0"/>
          <w:numId w:val="3"/>
        </w:numPr>
        <w:rPr>
          <w:rFonts w:ascii="Arial" w:cs="Arial" w:eastAsia="Arial" w:hAnsi="Arial"/>
          <w:sz w:val="24"/>
          <w:szCs w:val="24"/>
          <w:b w:val="1"/>
          <w:bCs w:val="1"/>
          <w:color w:val="auto"/>
        </w:rPr>
      </w:pPr>
      <w:r>
        <w:rPr>
          <w:rFonts w:ascii="Arial" w:cs="Arial" w:eastAsia="Arial" w:hAnsi="Arial"/>
          <w:sz w:val="22"/>
          <w:szCs w:val="22"/>
          <w:color w:val="auto"/>
        </w:rPr>
        <w:t>Net Income climbs to $3.0 million</w:t>
      </w:r>
    </w:p>
    <w:p>
      <w:pPr>
        <w:spacing w:after="0" w:line="27" w:lineRule="exact"/>
        <w:rPr>
          <w:rFonts w:ascii="Arial" w:cs="Arial" w:eastAsia="Arial" w:hAnsi="Arial"/>
          <w:sz w:val="24"/>
          <w:szCs w:val="24"/>
          <w:b w:val="1"/>
          <w:bCs w:val="1"/>
          <w:color w:val="auto"/>
        </w:rPr>
      </w:pPr>
    </w:p>
    <w:p>
      <w:pPr>
        <w:ind w:left="3480" w:hanging="210"/>
        <w:spacing w:after="0" w:line="223" w:lineRule="auto"/>
        <w:tabs>
          <w:tab w:leader="none" w:pos="3480" w:val="left"/>
        </w:tabs>
        <w:numPr>
          <w:ilvl w:val="0"/>
          <w:numId w:val="3"/>
        </w:numPr>
        <w:rPr>
          <w:rFonts w:ascii="Arial" w:cs="Arial" w:eastAsia="Arial" w:hAnsi="Arial"/>
          <w:sz w:val="24"/>
          <w:szCs w:val="24"/>
          <w:b w:val="1"/>
          <w:bCs w:val="1"/>
          <w:color w:val="auto"/>
        </w:rPr>
      </w:pPr>
      <w:r>
        <w:rPr>
          <w:rFonts w:ascii="Arial" w:cs="Arial" w:eastAsia="Arial" w:hAnsi="Arial"/>
          <w:sz w:val="22"/>
          <w:szCs w:val="22"/>
          <w:color w:val="auto"/>
        </w:rPr>
        <w:t>Quarter Ended Cash and Investments of $23.3 million</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Minneapolis, MN, August 7, 2007 – Hawkins, Inc. (Nasdaq: HWKN) today announced results for its first quarter ended June 30, 2007. Sales of $48.6 million represent an increase of 17.3% over the $41.5 million in sales for last year’s first quarter. Net income for the first quarter of fiscal 2008 was $3.0 million, or $0.29 per share, compared to net income of $2.8 million, or $0.28 per share, for the same period of fiscal 2007.</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Chief Executive Officer, John R. Hawkins, commented, “We are pleased with the healthy first quarter sales growth. It was driven primarily by volume increases along several product lines, which was partially attributable to favorable weather conditions. The Industrial segment experienced a 25.2% increase in sales, driven largely by sales of blended and bulk products. The Water Treatment segment sales grew 8.0% and the Pharmaceutical segment sales were up slightly.”</w:t>
      </w:r>
    </w:p>
    <w:p>
      <w:pPr>
        <w:spacing w:after="0" w:line="1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Gross margin, as a percentage of sales, was 24.3% for the first quarter of fiscal 2008 compared to 26.1% in the same period a year ago primarily as a result of changes in product mix.</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provided by operations was $3.5 million and Hawkins ended the first quarter of fiscal 2008 with approximately $23.3 million in cash and investments and no debt. The Company believes that its cash and securities balance is sufficient to meet anticipated needs for the foreseeable future,” Hawkins stated. “The Company completed the previously announced acquisition of Trumark, a producer of antimicrobial products for the food industry, for approximately $6.0 million in cash and stock consideration. The acquisition of Trumark during the first quarter fits well with our strategy for capturing the strong growth potential in the food preservation and lactates market. The strategic value of this acquisition provides Hawkins with greater scale, an expanded customer base and distribution channels, and innovations to drive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competence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sixteen facilities in Iowa, Illinois, Minnesota, Montana, Nebraska, New Jersey, South and North Dakota and Wisconsin and services customers in Upper Michigan, Kansas and Wyoming as well.</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1, 2007, as updated by subsequent SEC filings.</w:t>
      </w:r>
    </w:p>
    <w:p>
      <w:pPr>
        <w:sectPr>
          <w:pgSz w:w="11900" w:h="16838" w:orient="portrait"/>
          <w:cols w:equalWidth="0" w:num="1">
            <w:col w:w="11420"/>
          </w:cols>
          <w:pgMar w:left="240" w:top="59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Quarters Ended</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June 30, 2007</w:t>
            </w:r>
          </w:p>
        </w:tc>
        <w:tc>
          <w:tcPr>
            <w:tcW w:w="18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2006</w:t>
            </w:r>
          </w:p>
        </w:tc>
        <w:tc>
          <w:tcPr>
            <w:tcW w:w="0" w:type="dxa"/>
            <w:vAlign w:val="bottom"/>
          </w:tcPr>
          <w:p>
            <w:pPr>
              <w:spacing w:after="0"/>
              <w:rPr>
                <w:sz w:val="1"/>
                <w:szCs w:val="1"/>
                <w:color w:val="auto"/>
              </w:rPr>
            </w:pPr>
          </w:p>
        </w:tc>
      </w:tr>
      <w:tr>
        <w:trPr>
          <w:trHeight w:val="183"/>
        </w:trPr>
        <w:tc>
          <w:tcPr>
            <w:tcW w:w="8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48,622,725</w:t>
            </w:r>
          </w:p>
        </w:tc>
        <w:tc>
          <w:tcPr>
            <w:tcW w:w="680" w:type="dxa"/>
            <w:vAlign w:val="bottom"/>
            <w:shd w:val="clear" w:color="auto" w:fill="D6F3E8"/>
          </w:tcPr>
          <w:p>
            <w:pPr>
              <w:spacing w:after="0"/>
              <w:rPr>
                <w:sz w:val="22"/>
                <w:szCs w:val="22"/>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41,460,663</w:t>
            </w:r>
          </w:p>
        </w:tc>
        <w:tc>
          <w:tcPr>
            <w:tcW w:w="0" w:type="dxa"/>
            <w:vAlign w:val="bottom"/>
          </w:tcPr>
          <w:p>
            <w:pPr>
              <w:spacing w:after="0"/>
              <w:rPr>
                <w:sz w:val="1"/>
                <w:szCs w:val="1"/>
                <w:color w:val="auto"/>
              </w:rPr>
            </w:pPr>
          </w:p>
        </w:tc>
      </w:tr>
      <w:tr>
        <w:trPr>
          <w:trHeight w:val="445"/>
        </w:trPr>
        <w:tc>
          <w:tcPr>
            <w:tcW w:w="81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36,792,174</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30,637,578</w:t>
            </w:r>
          </w:p>
        </w:tc>
        <w:tc>
          <w:tcPr>
            <w:tcW w:w="0" w:type="dxa"/>
            <w:vAlign w:val="bottom"/>
          </w:tcPr>
          <w:p>
            <w:pPr>
              <w:spacing w:after="0"/>
              <w:rPr>
                <w:sz w:val="1"/>
                <w:szCs w:val="1"/>
                <w:color w:val="auto"/>
              </w:rPr>
            </w:pPr>
          </w:p>
        </w:tc>
      </w:tr>
      <w:tr>
        <w:trPr>
          <w:trHeight w:val="184"/>
        </w:trPr>
        <w:tc>
          <w:tcPr>
            <w:tcW w:w="8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6F3E8"/>
          </w:tcPr>
          <w:p>
            <w:pPr>
              <w:spacing w:after="0"/>
              <w:rPr>
                <w:sz w:val="22"/>
                <w:szCs w:val="22"/>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11,830,551</w:t>
            </w:r>
          </w:p>
        </w:tc>
        <w:tc>
          <w:tcPr>
            <w:tcW w:w="6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10,823,085</w:t>
            </w:r>
          </w:p>
        </w:tc>
        <w:tc>
          <w:tcPr>
            <w:tcW w:w="0" w:type="dxa"/>
            <w:vAlign w:val="bottom"/>
          </w:tcPr>
          <w:p>
            <w:pPr>
              <w:spacing w:after="0"/>
              <w:rPr>
                <w:sz w:val="1"/>
                <w:szCs w:val="1"/>
                <w:color w:val="auto"/>
              </w:rPr>
            </w:pPr>
          </w:p>
        </w:tc>
      </w:tr>
      <w:tr>
        <w:trPr>
          <w:trHeight w:val="445"/>
        </w:trPr>
        <w:tc>
          <w:tcPr>
            <w:tcW w:w="8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7,495,284</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6,636,865</w:t>
            </w:r>
          </w:p>
        </w:tc>
        <w:tc>
          <w:tcPr>
            <w:tcW w:w="0" w:type="dxa"/>
            <w:vAlign w:val="bottom"/>
          </w:tcPr>
          <w:p>
            <w:pPr>
              <w:spacing w:after="0"/>
              <w:rPr>
                <w:sz w:val="1"/>
                <w:szCs w:val="1"/>
                <w:color w:val="auto"/>
              </w:rPr>
            </w:pPr>
          </w:p>
        </w:tc>
      </w:tr>
      <w:tr>
        <w:trPr>
          <w:trHeight w:val="184"/>
        </w:trPr>
        <w:tc>
          <w:tcPr>
            <w:tcW w:w="8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D6F3E8"/>
          </w:tcPr>
          <w:p>
            <w:pPr>
              <w:spacing w:after="0"/>
              <w:rPr>
                <w:sz w:val="22"/>
                <w:szCs w:val="22"/>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4,335,267</w:t>
            </w:r>
          </w:p>
        </w:tc>
        <w:tc>
          <w:tcPr>
            <w:tcW w:w="6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4,186,220</w:t>
            </w:r>
          </w:p>
        </w:tc>
        <w:tc>
          <w:tcPr>
            <w:tcW w:w="0" w:type="dxa"/>
            <w:vAlign w:val="bottom"/>
          </w:tcPr>
          <w:p>
            <w:pPr>
              <w:spacing w:after="0"/>
              <w:rPr>
                <w:sz w:val="1"/>
                <w:szCs w:val="1"/>
                <w:color w:val="auto"/>
              </w:rPr>
            </w:pPr>
          </w:p>
        </w:tc>
      </w:tr>
      <w:tr>
        <w:trPr>
          <w:trHeight w:val="445"/>
        </w:trPr>
        <w:tc>
          <w:tcPr>
            <w:tcW w:w="8120" w:type="dxa"/>
            <w:vAlign w:val="bottom"/>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302,303</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301,247</w:t>
            </w:r>
          </w:p>
        </w:tc>
        <w:tc>
          <w:tcPr>
            <w:tcW w:w="0" w:type="dxa"/>
            <w:vAlign w:val="bottom"/>
          </w:tcPr>
          <w:p>
            <w:pPr>
              <w:spacing w:after="0"/>
              <w:rPr>
                <w:sz w:val="1"/>
                <w:szCs w:val="1"/>
                <w:color w:val="auto"/>
              </w:rPr>
            </w:pPr>
          </w:p>
        </w:tc>
      </w:tr>
      <w:tr>
        <w:trPr>
          <w:trHeight w:val="184"/>
        </w:trPr>
        <w:tc>
          <w:tcPr>
            <w:tcW w:w="8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D6F3E8"/>
          </w:tcPr>
          <w:p>
            <w:pPr>
              <w:spacing w:after="0"/>
              <w:rPr>
                <w:sz w:val="22"/>
                <w:szCs w:val="22"/>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4,637,570</w:t>
            </w:r>
          </w:p>
        </w:tc>
        <w:tc>
          <w:tcPr>
            <w:tcW w:w="6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4,487,467</w:t>
            </w:r>
          </w:p>
        </w:tc>
        <w:tc>
          <w:tcPr>
            <w:tcW w:w="0" w:type="dxa"/>
            <w:vAlign w:val="bottom"/>
          </w:tcPr>
          <w:p>
            <w:pPr>
              <w:spacing w:after="0"/>
              <w:rPr>
                <w:sz w:val="1"/>
                <w:szCs w:val="1"/>
                <w:color w:val="auto"/>
              </w:rPr>
            </w:pPr>
          </w:p>
        </w:tc>
      </w:tr>
      <w:tr>
        <w:trPr>
          <w:trHeight w:val="445"/>
        </w:trPr>
        <w:tc>
          <w:tcPr>
            <w:tcW w:w="8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1,686,500</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1,687,500</w:t>
            </w:r>
          </w:p>
        </w:tc>
        <w:tc>
          <w:tcPr>
            <w:tcW w:w="0" w:type="dxa"/>
            <w:vAlign w:val="bottom"/>
          </w:tcPr>
          <w:p>
            <w:pPr>
              <w:spacing w:after="0"/>
              <w:rPr>
                <w:sz w:val="1"/>
                <w:szCs w:val="1"/>
                <w:color w:val="auto"/>
              </w:rPr>
            </w:pPr>
          </w:p>
        </w:tc>
      </w:tr>
      <w:tr>
        <w:trPr>
          <w:trHeight w:val="184"/>
        </w:trPr>
        <w:tc>
          <w:tcPr>
            <w:tcW w:w="8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2,951,070</w:t>
            </w:r>
          </w:p>
        </w:tc>
        <w:tc>
          <w:tcPr>
            <w:tcW w:w="680" w:type="dxa"/>
            <w:vAlign w:val="bottom"/>
            <w:tcBorders>
              <w:bottom w:val="single" w:sz="8" w:color="D6F3E8"/>
            </w:tcBorders>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2,799,967</w:t>
            </w:r>
          </w:p>
        </w:tc>
        <w:tc>
          <w:tcPr>
            <w:tcW w:w="20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10,184,940</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10,171,496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40" w:type="dxa"/>
            <w:vAlign w:val="bottom"/>
            <w:tcBorders>
              <w:bottom w:val="single" w:sz="8" w:color="auto"/>
            </w:tcBorders>
            <w:shd w:val="clear" w:color="auto" w:fill="D6F3E8"/>
          </w:tcPr>
          <w:p>
            <w:pPr>
              <w:spacing w:after="0"/>
              <w:rPr>
                <w:sz w:val="22"/>
                <w:szCs w:val="22"/>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10,204,262</w:t>
            </w:r>
          </w:p>
        </w:tc>
        <w:tc>
          <w:tcPr>
            <w:tcW w:w="680" w:type="dxa"/>
            <w:vAlign w:val="bottom"/>
            <w:tcBorders>
              <w:bottom w:val="single" w:sz="8" w:color="D6F3E8"/>
            </w:tcBorders>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20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Earnings per share - basic and diluted</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0.29</w:t>
            </w:r>
          </w:p>
        </w:tc>
        <w:tc>
          <w:tcPr>
            <w:tcW w:w="68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12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D6F3E8"/>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1463040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2019-12-13T01:49:43Z</dcterms:created>
  <dcterms:modified xsi:type="dcterms:W3CDTF">2019-12-13T01:49:43Z</dcterms:modified>
</cp:coreProperties>
</file>