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225425</wp:posOffset>
            </wp:positionV>
            <wp:extent cx="147066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93980</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221" w:lineRule="exact"/>
        <w:rPr>
          <w:sz w:val="24"/>
          <w:szCs w:val="24"/>
          <w:color w:val="auto"/>
        </w:rPr>
      </w:pPr>
    </w:p>
    <w:p>
      <w:pPr>
        <w:jc w:val="center"/>
        <w:ind w:right="-19"/>
        <w:spacing w:after="0"/>
        <w:tabs>
          <w:tab w:leader="none" w:pos="240" w:val="left"/>
        </w:tabs>
        <w:rPr>
          <w:sz w:val="20"/>
          <w:szCs w:val="20"/>
          <w:color w:val="auto"/>
        </w:rPr>
      </w:pPr>
      <w:r>
        <w:rPr>
          <w:rFonts w:ascii="Arial" w:cs="Arial" w:eastAsia="Arial" w:hAnsi="Arial"/>
          <w:sz w:val="20"/>
          <w:szCs w:val="20"/>
          <w:color w:val="auto"/>
        </w:rPr>
        <w:t>Date of Report (Date of earliest event reported)</w:t>
      </w:r>
      <w:r>
        <w:rPr>
          <w:sz w:val="20"/>
          <w:szCs w:val="20"/>
          <w:color w:val="auto"/>
        </w:rPr>
        <w:tab/>
      </w:r>
      <w:r>
        <w:rPr>
          <w:rFonts w:ascii="Arial" w:cs="Arial" w:eastAsia="Arial" w:hAnsi="Arial"/>
          <w:sz w:val="16"/>
          <w:szCs w:val="16"/>
          <w:b w:val="1"/>
          <w:bCs w:val="1"/>
          <w:color w:val="auto"/>
        </w:rPr>
        <w:t>January 26,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234950</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Hawkins, Inc.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23" w:lineRule="exact"/>
        <w:rPr>
          <w:sz w:val="24"/>
          <w:szCs w:val="24"/>
          <w:color w:val="auto"/>
        </w:rPr>
      </w:pPr>
    </w:p>
    <w:tbl>
      <w:tblPr>
        <w:tblLayout w:type="fixed"/>
        <w:tblInd w:w="420" w:type="dxa"/>
        <w:tblCellMar>
          <w:top w:w="0" w:type="dxa"/>
          <w:left w:w="0" w:type="dxa"/>
          <w:bottom w:w="0" w:type="dxa"/>
          <w:right w:w="0" w:type="dxa"/>
        </w:tblCellMar>
      </w:tblPr>
      <w:tr>
        <w:trPr>
          <w:trHeight w:val="256"/>
        </w:trPr>
        <w:tc>
          <w:tcPr>
            <w:tcW w:w="3600" w:type="dxa"/>
            <w:vAlign w:val="bottom"/>
          </w:tcPr>
          <w:p>
            <w:pPr>
              <w:jc w:val="center"/>
              <w:ind w:right="558"/>
              <w:spacing w:after="0"/>
              <w:rPr>
                <w:sz w:val="20"/>
                <w:szCs w:val="20"/>
                <w:color w:val="auto"/>
              </w:rPr>
            </w:pPr>
            <w:r>
              <w:rPr>
                <w:rFonts w:ascii="Arial" w:cs="Arial" w:eastAsia="Arial" w:hAnsi="Arial"/>
                <w:sz w:val="22"/>
                <w:szCs w:val="22"/>
                <w:b w:val="1"/>
                <w:bCs w:val="1"/>
                <w:color w:val="auto"/>
                <w:w w:val="90"/>
              </w:rPr>
              <w:t>Minnesota</w:t>
            </w:r>
          </w:p>
        </w:tc>
        <w:tc>
          <w:tcPr>
            <w:tcW w:w="3340" w:type="dxa"/>
            <w:vAlign w:val="bottom"/>
          </w:tcPr>
          <w:p>
            <w:pPr>
              <w:jc w:val="right"/>
              <w:ind w:right="1301"/>
              <w:spacing w:after="0"/>
              <w:rPr>
                <w:sz w:val="20"/>
                <w:szCs w:val="20"/>
                <w:color w:val="auto"/>
              </w:rPr>
            </w:pPr>
            <w:r>
              <w:rPr>
                <w:rFonts w:ascii="Arial" w:cs="Arial" w:eastAsia="Arial" w:hAnsi="Arial"/>
                <w:sz w:val="22"/>
                <w:szCs w:val="22"/>
                <w:b w:val="1"/>
                <w:bCs w:val="1"/>
                <w:color w:val="auto"/>
              </w:rPr>
              <w:t>0-7647</w:t>
            </w:r>
          </w:p>
        </w:tc>
        <w:tc>
          <w:tcPr>
            <w:tcW w:w="3360" w:type="dxa"/>
            <w:vAlign w:val="bottom"/>
          </w:tcPr>
          <w:p>
            <w:pPr>
              <w:jc w:val="right"/>
              <w:ind w:right="619"/>
              <w:spacing w:after="0"/>
              <w:rPr>
                <w:sz w:val="20"/>
                <w:szCs w:val="20"/>
                <w:color w:val="auto"/>
              </w:rPr>
            </w:pPr>
            <w:r>
              <w:rPr>
                <w:rFonts w:ascii="Arial" w:cs="Arial" w:eastAsia="Arial" w:hAnsi="Arial"/>
                <w:sz w:val="22"/>
                <w:szCs w:val="22"/>
                <w:b w:val="1"/>
                <w:bCs w:val="1"/>
                <w:color w:val="auto"/>
              </w:rPr>
              <w:t>41-0771293</w:t>
            </w:r>
          </w:p>
        </w:tc>
      </w:tr>
      <w:tr>
        <w:trPr>
          <w:trHeight w:val="230"/>
        </w:trPr>
        <w:tc>
          <w:tcPr>
            <w:tcW w:w="3600" w:type="dxa"/>
            <w:vAlign w:val="bottom"/>
          </w:tcPr>
          <w:p>
            <w:pPr>
              <w:jc w:val="center"/>
              <w:ind w:right="558"/>
              <w:spacing w:after="0"/>
              <w:rPr>
                <w:sz w:val="20"/>
                <w:szCs w:val="20"/>
                <w:color w:val="auto"/>
              </w:rPr>
            </w:pPr>
            <w:r>
              <w:rPr>
                <w:rFonts w:ascii="Arial" w:cs="Arial" w:eastAsia="Arial" w:hAnsi="Arial"/>
                <w:sz w:val="18"/>
                <w:szCs w:val="18"/>
                <w:color w:val="auto"/>
                <w:w w:val="92"/>
              </w:rPr>
              <w:t>(State of Incorporation)</w:t>
            </w:r>
          </w:p>
        </w:tc>
        <w:tc>
          <w:tcPr>
            <w:tcW w:w="334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3360" w:type="dxa"/>
            <w:vAlign w:val="bottom"/>
          </w:tcPr>
          <w:p>
            <w:pPr>
              <w:jc w:val="center"/>
              <w:ind w:left="779"/>
              <w:spacing w:after="0"/>
              <w:rPr>
                <w:sz w:val="20"/>
                <w:szCs w:val="20"/>
                <w:color w:val="auto"/>
              </w:rPr>
            </w:pPr>
            <w:r>
              <w:rPr>
                <w:rFonts w:ascii="Arial" w:cs="Arial" w:eastAsia="Arial" w:hAnsi="Arial"/>
                <w:sz w:val="18"/>
                <w:szCs w:val="18"/>
                <w:color w:val="auto"/>
                <w:w w:val="94"/>
              </w:rPr>
              <w:t>(IRS Employer Identification No.)</w:t>
            </w:r>
          </w:p>
        </w:tc>
      </w:tr>
      <w:tr>
        <w:trPr>
          <w:trHeight w:val="459"/>
        </w:trPr>
        <w:tc>
          <w:tcPr>
            <w:tcW w:w="3600" w:type="dxa"/>
            <w:vAlign w:val="bottom"/>
          </w:tcPr>
          <w:p>
            <w:pPr>
              <w:jc w:val="center"/>
              <w:ind w:right="558"/>
              <w:spacing w:after="0"/>
              <w:rPr>
                <w:sz w:val="20"/>
                <w:szCs w:val="20"/>
                <w:color w:val="auto"/>
              </w:rPr>
            </w:pPr>
            <w:r>
              <w:rPr>
                <w:rFonts w:ascii="Arial" w:cs="Arial" w:eastAsia="Arial" w:hAnsi="Arial"/>
                <w:sz w:val="22"/>
                <w:szCs w:val="22"/>
                <w:b w:val="1"/>
                <w:bCs w:val="1"/>
                <w:color w:val="auto"/>
                <w:w w:val="87"/>
              </w:rPr>
              <w:t>3100 East Hennepin Avenue</w:t>
            </w:r>
          </w:p>
        </w:tc>
        <w:tc>
          <w:tcPr>
            <w:tcW w:w="334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56"/>
        </w:trPr>
        <w:tc>
          <w:tcPr>
            <w:tcW w:w="3600" w:type="dxa"/>
            <w:vAlign w:val="bottom"/>
          </w:tcPr>
          <w:p>
            <w:pPr>
              <w:jc w:val="center"/>
              <w:ind w:right="558"/>
              <w:spacing w:after="0"/>
              <w:rPr>
                <w:sz w:val="20"/>
                <w:szCs w:val="20"/>
                <w:color w:val="auto"/>
              </w:rPr>
            </w:pPr>
            <w:r>
              <w:rPr>
                <w:rFonts w:ascii="Arial" w:cs="Arial" w:eastAsia="Arial" w:hAnsi="Arial"/>
                <w:sz w:val="22"/>
                <w:szCs w:val="22"/>
                <w:b w:val="1"/>
                <w:bCs w:val="1"/>
                <w:color w:val="auto"/>
                <w:w w:val="93"/>
              </w:rPr>
              <w:t>Minneapolis, MN</w:t>
            </w:r>
          </w:p>
        </w:tc>
        <w:tc>
          <w:tcPr>
            <w:tcW w:w="3340" w:type="dxa"/>
            <w:vAlign w:val="bottom"/>
          </w:tcPr>
          <w:p>
            <w:pPr>
              <w:spacing w:after="0"/>
              <w:rPr>
                <w:sz w:val="22"/>
                <w:szCs w:val="22"/>
                <w:color w:val="auto"/>
              </w:rPr>
            </w:pPr>
          </w:p>
        </w:tc>
        <w:tc>
          <w:tcPr>
            <w:tcW w:w="3360" w:type="dxa"/>
            <w:vAlign w:val="bottom"/>
          </w:tcPr>
          <w:p>
            <w:pPr>
              <w:jc w:val="right"/>
              <w:ind w:right="859"/>
              <w:spacing w:after="0"/>
              <w:rPr>
                <w:sz w:val="20"/>
                <w:szCs w:val="20"/>
                <w:color w:val="auto"/>
              </w:rPr>
            </w:pPr>
            <w:r>
              <w:rPr>
                <w:rFonts w:ascii="Arial" w:cs="Arial" w:eastAsia="Arial" w:hAnsi="Arial"/>
                <w:sz w:val="22"/>
                <w:szCs w:val="22"/>
                <w:b w:val="1"/>
                <w:bCs w:val="1"/>
                <w:color w:val="auto"/>
              </w:rPr>
              <w:t>55413</w:t>
            </w:r>
          </w:p>
        </w:tc>
      </w:tr>
      <w:tr>
        <w:trPr>
          <w:trHeight w:val="230"/>
        </w:trPr>
        <w:tc>
          <w:tcPr>
            <w:tcW w:w="3600" w:type="dxa"/>
            <w:vAlign w:val="bottom"/>
          </w:tcPr>
          <w:p>
            <w:pPr>
              <w:jc w:val="center"/>
              <w:ind w:right="558"/>
              <w:spacing w:after="0"/>
              <w:rPr>
                <w:sz w:val="20"/>
                <w:szCs w:val="20"/>
                <w:color w:val="auto"/>
              </w:rPr>
            </w:pPr>
            <w:r>
              <w:rPr>
                <w:rFonts w:ascii="Arial" w:cs="Arial" w:eastAsia="Arial" w:hAnsi="Arial"/>
                <w:sz w:val="18"/>
                <w:szCs w:val="18"/>
                <w:color w:val="auto"/>
                <w:w w:val="92"/>
              </w:rPr>
              <w:t>(Address of Principal Executive Offices)</w:t>
            </w:r>
          </w:p>
        </w:tc>
        <w:tc>
          <w:tcPr>
            <w:tcW w:w="3340" w:type="dxa"/>
            <w:vAlign w:val="bottom"/>
          </w:tcPr>
          <w:p>
            <w:pPr>
              <w:spacing w:after="0"/>
              <w:rPr>
                <w:sz w:val="20"/>
                <w:szCs w:val="20"/>
                <w:color w:val="auto"/>
              </w:rPr>
            </w:pPr>
          </w:p>
        </w:tc>
        <w:tc>
          <w:tcPr>
            <w:tcW w:w="3360" w:type="dxa"/>
            <w:vAlign w:val="bottom"/>
          </w:tcPr>
          <w:p>
            <w:pPr>
              <w:jc w:val="center"/>
              <w:ind w:left="779"/>
              <w:spacing w:after="0"/>
              <w:rPr>
                <w:sz w:val="20"/>
                <w:szCs w:val="20"/>
                <w:color w:val="auto"/>
              </w:rPr>
            </w:pPr>
            <w:r>
              <w:rPr>
                <w:rFonts w:ascii="Arial" w:cs="Arial" w:eastAsia="Arial" w:hAnsi="Arial"/>
                <w:sz w:val="18"/>
                <w:szCs w:val="18"/>
                <w:color w:val="auto"/>
                <w:w w:val="94"/>
              </w:rPr>
              <w:t>(Zip Code)</w:t>
            </w:r>
          </w:p>
        </w:tc>
      </w:tr>
      <w:tr>
        <w:trPr>
          <w:trHeight w:val="523"/>
        </w:trPr>
        <w:tc>
          <w:tcPr>
            <w:tcW w:w="6940" w:type="dxa"/>
            <w:vAlign w:val="bottom"/>
            <w:gridSpan w:val="2"/>
          </w:tcPr>
          <w:p>
            <w:pPr>
              <w:ind w:left="2120"/>
              <w:spacing w:after="0"/>
              <w:rPr>
                <w:sz w:val="20"/>
                <w:szCs w:val="20"/>
                <w:color w:val="auto"/>
              </w:rPr>
            </w:pPr>
            <w:r>
              <w:rPr>
                <w:rFonts w:ascii="Arial" w:cs="Arial" w:eastAsia="Arial" w:hAnsi="Arial"/>
                <w:sz w:val="22"/>
                <w:szCs w:val="22"/>
                <w:color w:val="auto"/>
                <w:w w:val="91"/>
              </w:rPr>
              <w:t>Registrant’s Telephone Number, Including Area Code</w:t>
            </w:r>
          </w:p>
        </w:tc>
        <w:tc>
          <w:tcPr>
            <w:tcW w:w="3360" w:type="dxa"/>
            <w:vAlign w:val="bottom"/>
          </w:tcPr>
          <w:p>
            <w:pPr>
              <w:jc w:val="right"/>
              <w:ind w:right="1739"/>
              <w:spacing w:after="0"/>
              <w:rPr>
                <w:sz w:val="20"/>
                <w:szCs w:val="20"/>
                <w:color w:val="auto"/>
              </w:rPr>
            </w:pPr>
            <w:r>
              <w:rPr>
                <w:rFonts w:ascii="Arial" w:cs="Arial" w:eastAsia="Arial" w:hAnsi="Arial"/>
                <w:sz w:val="22"/>
                <w:szCs w:val="22"/>
                <w:b w:val="1"/>
                <w:bCs w:val="1"/>
                <w:color w:val="auto"/>
                <w:w w:val="99"/>
              </w:rPr>
              <w:t>(612) 331-6910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214630</wp:posOffset>
            </wp:positionV>
            <wp:extent cx="147066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firstLine="506"/>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w:t>
      </w:r>
      <w:r>
        <w:rPr>
          <w:rFonts w:ascii="Arial" w:cs="Arial" w:eastAsia="Arial" w:hAnsi="Arial"/>
          <w:sz w:val="22"/>
          <w:szCs w:val="22"/>
          <w:i w:val="1"/>
          <w:iCs w:val="1"/>
          <w:color w:val="auto"/>
        </w:rPr>
        <w:t>see</w:t>
      </w:r>
      <w:r>
        <w:rPr>
          <w:rFonts w:ascii="Arial" w:cs="Arial" w:eastAsia="Arial" w:hAnsi="Arial"/>
          <w:sz w:val="22"/>
          <w:szCs w:val="22"/>
          <w:color w:val="auto"/>
        </w:rPr>
        <w:t xml:space="preserve"> General Instruction A.2. below):</w:t>
      </w:r>
    </w:p>
    <w:p>
      <w:pPr>
        <w:spacing w:after="0" w:line="200" w:lineRule="exact"/>
        <w:rPr>
          <w:sz w:val="24"/>
          <w:szCs w:val="24"/>
          <w:color w:val="auto"/>
        </w:rPr>
      </w:pPr>
    </w:p>
    <w:p>
      <w:pPr>
        <w:ind w:left="620" w:hanging="288"/>
        <w:spacing w:after="0"/>
        <w:tabs>
          <w:tab w:leader="none" w:pos="62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19" w:lineRule="exact"/>
        <w:rPr>
          <w:rFonts w:ascii="MS PGothic" w:cs="MS PGothic" w:eastAsia="MS PGothic" w:hAnsi="MS PGothic"/>
          <w:sz w:val="22"/>
          <w:szCs w:val="22"/>
          <w:color w:val="auto"/>
        </w:rPr>
      </w:pPr>
    </w:p>
    <w:p>
      <w:pPr>
        <w:ind w:left="620" w:hanging="288"/>
        <w:spacing w:after="0"/>
        <w:tabs>
          <w:tab w:leader="none" w:pos="62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19" w:lineRule="exact"/>
        <w:rPr>
          <w:rFonts w:ascii="MS PGothic" w:cs="MS PGothic" w:eastAsia="MS PGothic" w:hAnsi="MS PGothic"/>
          <w:sz w:val="22"/>
          <w:szCs w:val="22"/>
          <w:color w:val="auto"/>
        </w:rPr>
      </w:pPr>
    </w:p>
    <w:p>
      <w:pPr>
        <w:ind w:left="620" w:hanging="288"/>
        <w:spacing w:after="0"/>
        <w:tabs>
          <w:tab w:leader="none" w:pos="620" w:val="left"/>
        </w:tabs>
        <w:numPr>
          <w:ilvl w:val="0"/>
          <w:numId w:val="1"/>
        </w:numPr>
        <w:rPr>
          <w:rFonts w:ascii="MS PGothic" w:cs="MS PGothic" w:eastAsia="MS PGothic" w:hAnsi="MS PGothic"/>
          <w:sz w:val="21"/>
          <w:szCs w:val="21"/>
          <w:color w:val="auto"/>
        </w:rPr>
      </w:pPr>
      <w:r>
        <w:rPr>
          <w:rFonts w:ascii="Arial" w:cs="Arial" w:eastAsia="Arial" w:hAnsi="Arial"/>
          <w:sz w:val="21"/>
          <w:szCs w:val="21"/>
          <w:color w:val="auto"/>
        </w:rPr>
        <w:t>Pre-commencement communications pursuant to Rule 14d-2(b) under the Exchange Act (17 CFR 240.14d-2(b))</w:t>
      </w:r>
    </w:p>
    <w:p>
      <w:pPr>
        <w:spacing w:after="0" w:line="231" w:lineRule="exact"/>
        <w:rPr>
          <w:rFonts w:ascii="MS PGothic" w:cs="MS PGothic" w:eastAsia="MS PGothic" w:hAnsi="MS PGothic"/>
          <w:sz w:val="21"/>
          <w:szCs w:val="21"/>
          <w:color w:val="auto"/>
        </w:rPr>
      </w:pPr>
    </w:p>
    <w:p>
      <w:pPr>
        <w:ind w:left="620" w:hanging="288"/>
        <w:spacing w:after="0"/>
        <w:tabs>
          <w:tab w:leader="none" w:pos="620" w:val="left"/>
        </w:tabs>
        <w:numPr>
          <w:ilvl w:val="0"/>
          <w:numId w:val="1"/>
        </w:numPr>
        <w:rPr>
          <w:rFonts w:ascii="MS PGothic" w:cs="MS PGothic" w:eastAsia="MS PGothic" w:hAnsi="MS PGothic"/>
          <w:sz w:val="21"/>
          <w:szCs w:val="21"/>
          <w:color w:val="auto"/>
        </w:rPr>
      </w:pPr>
      <w:r>
        <w:rPr>
          <w:rFonts w:ascii="Arial" w:cs="Arial" w:eastAsia="Arial" w:hAnsi="Arial"/>
          <w:sz w:val="21"/>
          <w:szCs w:val="2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45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338455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22"/>
          <w:szCs w:val="22"/>
          <w:b w:val="1"/>
          <w:bCs w:val="1"/>
          <w:color w:val="auto"/>
        </w:rPr>
        <w:t>Item 2.02.</w:t>
      </w:r>
      <w:r>
        <w:rPr>
          <w:sz w:val="20"/>
          <w:szCs w:val="20"/>
          <w:color w:val="auto"/>
        </w:rPr>
        <w:tab/>
      </w:r>
      <w:r>
        <w:rPr>
          <w:rFonts w:ascii="Arial" w:cs="Arial" w:eastAsia="Arial" w:hAnsi="Arial"/>
          <w:sz w:val="19"/>
          <w:szCs w:val="19"/>
          <w:b w:val="1"/>
          <w:bCs w:val="1"/>
          <w:color w:val="auto"/>
        </w:rPr>
        <w:t>Results of Operations and Financial Condition.</w:t>
      </w:r>
    </w:p>
    <w:p>
      <w:pPr>
        <w:spacing w:after="0" w:line="200" w:lineRule="exact"/>
        <w:rPr>
          <w:sz w:val="20"/>
          <w:szCs w:val="20"/>
          <w:color w:val="auto"/>
        </w:rPr>
      </w:pPr>
    </w:p>
    <w:p>
      <w:pPr>
        <w:spacing w:after="0" w:line="289"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On January 26, 2011, Hawkins, Inc. issued a press release announcing financial results for its fiscal 2011 third quarter ended December 31, 2010. A copy of the press release issued by the Registrant is furnished herewith as Exhibit 99 hereto and is incorporated herein by reference.</w:t>
      </w:r>
    </w:p>
    <w:p>
      <w:pPr>
        <w:spacing w:after="0" w:line="160"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73" w:lineRule="exact"/>
        <w:rPr>
          <w:sz w:val="20"/>
          <w:szCs w:val="20"/>
          <w:color w:val="auto"/>
        </w:rPr>
      </w:pPr>
    </w:p>
    <w:p>
      <w:pPr>
        <w:ind w:left="580" w:hanging="386"/>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w:t>
      </w: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left="580"/>
        <w:spacing w:after="0" w:line="340" w:lineRule="auto"/>
        <w:rPr>
          <w:rFonts w:ascii="Arial" w:cs="Arial" w:eastAsia="Arial" w:hAnsi="Arial"/>
          <w:sz w:val="18"/>
          <w:szCs w:val="18"/>
          <w:color w:val="auto"/>
        </w:rPr>
      </w:pPr>
      <w:r>
        <w:rPr>
          <w:rFonts w:ascii="Arial" w:cs="Arial" w:eastAsia="Arial" w:hAnsi="Arial"/>
          <w:sz w:val="18"/>
          <w:szCs w:val="18"/>
          <w:color w:val="auto"/>
        </w:rPr>
        <w:t>Exhibit 99 - Press Release, dated January 26, 2011, announcing financial results of Hawkins, Inc. for its fiscal 2011 third quarter ended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1649730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355" w:right="2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46" w:lineRule="exact"/>
        <w:rPr>
          <w:sz w:val="20"/>
          <w:szCs w:val="20"/>
          <w:color w:val="auto"/>
        </w:rPr>
      </w:pPr>
    </w:p>
    <w:p>
      <w:pPr>
        <w:ind w:firstLine="857"/>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HAWKINS, INC.</w:t>
      </w:r>
    </w:p>
    <w:p>
      <w:pPr>
        <w:spacing w:after="0" w:line="200" w:lineRule="exact"/>
        <w:rPr>
          <w:sz w:val="20"/>
          <w:szCs w:val="20"/>
          <w:color w:val="auto"/>
        </w:rPr>
      </w:pPr>
    </w:p>
    <w:p>
      <w:pPr>
        <w:spacing w:after="0" w:line="322" w:lineRule="exact"/>
        <w:rPr>
          <w:sz w:val="20"/>
          <w:szCs w:val="20"/>
          <w:color w:val="auto"/>
        </w:rPr>
      </w:pPr>
    </w:p>
    <w:p>
      <w:pPr>
        <w:spacing w:after="0"/>
        <w:tabs>
          <w:tab w:leader="none" w:pos="7660" w:val="left"/>
          <w:tab w:leader="none" w:pos="8620" w:val="left"/>
        </w:tabs>
        <w:rPr>
          <w:sz w:val="20"/>
          <w:szCs w:val="20"/>
          <w:color w:val="auto"/>
        </w:rPr>
      </w:pPr>
      <w:r>
        <w:rPr>
          <w:rFonts w:ascii="Arial" w:cs="Arial" w:eastAsia="Arial" w:hAnsi="Arial"/>
          <w:sz w:val="18"/>
          <w:szCs w:val="18"/>
          <w:color w:val="auto"/>
        </w:rPr>
        <w:t>Date: January 27,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14605</wp:posOffset>
            </wp:positionV>
            <wp:extent cx="18097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46" w:lineRule="exact"/>
        <w:rPr>
          <w:sz w:val="20"/>
          <w:szCs w:val="20"/>
          <w:color w:val="auto"/>
        </w:rPr>
      </w:pPr>
    </w:p>
    <w:p>
      <w:pPr>
        <w:jc w:val="center"/>
        <w:ind w:left="7420"/>
        <w:spacing w:after="0"/>
        <w:rPr>
          <w:sz w:val="20"/>
          <w:szCs w:val="20"/>
          <w:color w:val="auto"/>
        </w:rPr>
      </w:pPr>
      <w:r>
        <w:rPr>
          <w:rFonts w:ascii="Arial" w:cs="Arial" w:eastAsia="Arial" w:hAnsi="Arial"/>
          <w:sz w:val="18"/>
          <w:szCs w:val="18"/>
          <w:color w:val="auto"/>
        </w:rPr>
        <w:t>Kathleen P. Pepski</w:t>
      </w:r>
    </w:p>
    <w:p>
      <w:pPr>
        <w:spacing w:after="0" w:line="23" w:lineRule="exact"/>
        <w:rPr>
          <w:sz w:val="20"/>
          <w:szCs w:val="20"/>
          <w:color w:val="auto"/>
        </w:rPr>
      </w:pPr>
    </w:p>
    <w:p>
      <w:pPr>
        <w:jc w:val="center"/>
        <w:ind w:left="7420"/>
        <w:spacing w:after="0"/>
        <w:rPr>
          <w:sz w:val="20"/>
          <w:szCs w:val="20"/>
          <w:color w:val="auto"/>
        </w:rPr>
      </w:pPr>
      <w:r>
        <w:rPr>
          <w:rFonts w:ascii="Arial" w:cs="Arial" w:eastAsia="Arial" w:hAnsi="Arial"/>
          <w:sz w:val="18"/>
          <w:szCs w:val="18"/>
          <w:color w:val="auto"/>
        </w:rPr>
        <w:t>Vice President, Chief Financial Officer,</w:t>
      </w:r>
    </w:p>
    <w:p>
      <w:pPr>
        <w:spacing w:after="0" w:line="9" w:lineRule="exact"/>
        <w:rPr>
          <w:sz w:val="20"/>
          <w:szCs w:val="20"/>
          <w:color w:val="auto"/>
        </w:rPr>
      </w:pPr>
    </w:p>
    <w:p>
      <w:pPr>
        <w:jc w:val="center"/>
        <w:ind w:left="7420"/>
        <w:spacing w:after="0"/>
        <w:rPr>
          <w:sz w:val="20"/>
          <w:szCs w:val="20"/>
          <w:color w:val="auto"/>
        </w:rPr>
      </w:pPr>
      <w:r>
        <w:rPr>
          <w:rFonts w:ascii="Arial" w:cs="Arial" w:eastAsia="Arial" w:hAnsi="Arial"/>
          <w:sz w:val="18"/>
          <w:szCs w:val="18"/>
          <w:color w:val="auto"/>
        </w:rPr>
        <w:t>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1770380</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3" w:name="page4"/>
    <w:bookmarkEnd w:id="3"/>
    <w:p>
      <w:pPr>
        <w:spacing w:after="0"/>
        <w:rPr>
          <w:sz w:val="20"/>
          <w:szCs w:val="20"/>
          <w:color w:val="auto"/>
        </w:rPr>
      </w:pPr>
      <w:r>
        <w:rPr>
          <w:rFonts w:ascii="Arial" w:cs="Arial" w:eastAsia="Arial" w:hAnsi="Arial"/>
          <w:sz w:val="16"/>
          <w:szCs w:val="16"/>
          <w:color w:val="auto"/>
        </w:rPr>
        <w:t>Index to Exhibits</w:t>
      </w:r>
    </w:p>
    <w:p>
      <w:pPr>
        <w:spacing w:after="0" w:line="275"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629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62915" cy="17145"/>
                    </a:xfrm>
                    <a:prstGeom prst="rect">
                      <a:avLst/>
                    </a:prstGeom>
                    <a:noFill/>
                  </pic:spPr>
                </pic:pic>
              </a:graphicData>
            </a:graphic>
          </wp:anchor>
        </w:drawing>
      </w:r>
    </w:p>
    <w:p>
      <w:pPr>
        <w:spacing w:after="0" w:line="35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71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Description</w:t>
            </w:r>
          </w:p>
        </w:tc>
        <w:tc>
          <w:tcPr>
            <w:tcW w:w="298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96"/>
              </w:rPr>
              <w:t>Method of Filing</w:t>
            </w:r>
          </w:p>
        </w:tc>
      </w:tr>
      <w:tr>
        <w:trPr>
          <w:trHeight w:val="513"/>
        </w:trPr>
        <w:tc>
          <w:tcPr>
            <w:tcW w:w="7140" w:type="dxa"/>
            <w:vAlign w:val="bottom"/>
          </w:tcPr>
          <w:p>
            <w:pPr>
              <w:ind w:left="80"/>
              <w:spacing w:after="0"/>
              <w:rPr>
                <w:sz w:val="20"/>
                <w:szCs w:val="20"/>
                <w:color w:val="auto"/>
              </w:rPr>
            </w:pPr>
            <w:r>
              <w:rPr>
                <w:rFonts w:ascii="Arial" w:cs="Arial" w:eastAsia="Arial" w:hAnsi="Arial"/>
                <w:sz w:val="18"/>
                <w:szCs w:val="18"/>
                <w:color w:val="auto"/>
                <w:w w:val="99"/>
              </w:rPr>
              <w:t>Press Release, dated January 26, 2011, announcing financial results of Hawkins, Inc. for</w:t>
            </w:r>
          </w:p>
        </w:tc>
        <w:tc>
          <w:tcPr>
            <w:tcW w:w="2980" w:type="dxa"/>
            <w:vAlign w:val="bottom"/>
          </w:tcPr>
          <w:p>
            <w:pPr>
              <w:jc w:val="center"/>
              <w:ind w:left="30"/>
              <w:spacing w:after="0"/>
              <w:rPr>
                <w:sz w:val="20"/>
                <w:szCs w:val="20"/>
                <w:color w:val="auto"/>
              </w:rPr>
            </w:pPr>
            <w:r>
              <w:rPr>
                <w:rFonts w:ascii="Arial" w:cs="Arial" w:eastAsia="Arial" w:hAnsi="Arial"/>
                <w:sz w:val="18"/>
                <w:szCs w:val="18"/>
                <w:color w:val="auto"/>
                <w:w w:val="91"/>
              </w:rPr>
              <w:t>Electronic Transmission</w:t>
            </w:r>
          </w:p>
        </w:tc>
      </w:tr>
      <w:tr>
        <w:trPr>
          <w:trHeight w:val="230"/>
        </w:trPr>
        <w:tc>
          <w:tcPr>
            <w:tcW w:w="7140" w:type="dxa"/>
            <w:vAlign w:val="bottom"/>
          </w:tcPr>
          <w:p>
            <w:pPr>
              <w:ind w:left="80"/>
              <w:spacing w:after="0"/>
              <w:rPr>
                <w:sz w:val="20"/>
                <w:szCs w:val="20"/>
                <w:color w:val="auto"/>
              </w:rPr>
            </w:pPr>
            <w:r>
              <w:rPr>
                <w:rFonts w:ascii="Arial" w:cs="Arial" w:eastAsia="Arial" w:hAnsi="Arial"/>
                <w:sz w:val="18"/>
                <w:szCs w:val="18"/>
                <w:color w:val="auto"/>
              </w:rPr>
              <w:t>its fiscal 2011 third quarter ended December 31, 2010.</w:t>
            </w:r>
          </w:p>
        </w:tc>
        <w:tc>
          <w:tcPr>
            <w:tcW w:w="29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-821690</wp:posOffset>
            </wp:positionH>
            <wp:positionV relativeFrom="paragraph">
              <wp:posOffset>2544445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2">
            <w:col w:w="1240" w:space="60"/>
            <w:col w:w="10120"/>
          </w:cols>
          <w:pgMar w:left="240" w:top="368"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5260" w:type="dxa"/>
            <w:vAlign w:val="bottom"/>
          </w:tcPr>
          <w:p>
            <w:pPr>
              <w:spacing w:after="0"/>
              <w:rPr>
                <w:sz w:val="20"/>
                <w:szCs w:val="20"/>
                <w:color w:val="auto"/>
              </w:rPr>
            </w:pPr>
            <w:r>
              <w:rPr>
                <w:rFonts w:ascii="Arial" w:cs="Arial" w:eastAsia="Arial" w:hAnsi="Arial"/>
                <w:sz w:val="25"/>
                <w:szCs w:val="25"/>
                <w:b w:val="1"/>
                <w:bCs w:val="1"/>
                <w:color w:val="auto"/>
              </w:rPr>
              <w:t>FOR IMMEDIATE RELEASE</w:t>
            </w:r>
          </w:p>
        </w:tc>
        <w:tc>
          <w:tcPr>
            <w:tcW w:w="3600" w:type="dxa"/>
            <w:vAlign w:val="bottom"/>
          </w:tcPr>
          <w:p>
            <w:pPr>
              <w:ind w:left="1900"/>
              <w:spacing w:after="0"/>
              <w:rPr>
                <w:sz w:val="20"/>
                <w:szCs w:val="20"/>
                <w:color w:val="auto"/>
              </w:rPr>
            </w:pPr>
            <w:r>
              <w:rPr>
                <w:rFonts w:ascii="Arial" w:cs="Arial" w:eastAsia="Arial" w:hAnsi="Arial"/>
                <w:sz w:val="18"/>
                <w:szCs w:val="18"/>
                <w:color w:val="auto"/>
              </w:rPr>
              <w:t>Contacts:</w:t>
            </w:r>
          </w:p>
        </w:tc>
        <w:tc>
          <w:tcPr>
            <w:tcW w:w="2560" w:type="dxa"/>
            <w:vAlign w:val="bottom"/>
            <w:gridSpan w:val="2"/>
          </w:tcPr>
          <w:p>
            <w:pPr>
              <w:spacing w:after="0"/>
              <w:rPr>
                <w:sz w:val="20"/>
                <w:szCs w:val="20"/>
                <w:color w:val="auto"/>
              </w:rPr>
            </w:pPr>
            <w:r>
              <w:rPr>
                <w:rFonts w:ascii="Arial" w:cs="Arial" w:eastAsia="Arial" w:hAnsi="Arial"/>
                <w:sz w:val="18"/>
                <w:szCs w:val="18"/>
                <w:color w:val="auto"/>
              </w:rPr>
              <w:t>John R. Hawkins</w:t>
            </w:r>
          </w:p>
        </w:tc>
        <w:tc>
          <w:tcPr>
            <w:tcW w:w="0" w:type="dxa"/>
            <w:vAlign w:val="bottom"/>
          </w:tcPr>
          <w:p>
            <w:pPr>
              <w:spacing w:after="0"/>
              <w:rPr>
                <w:sz w:val="1"/>
                <w:szCs w:val="1"/>
                <w:color w:val="auto"/>
              </w:rPr>
            </w:pPr>
          </w:p>
        </w:tc>
      </w:tr>
      <w:tr>
        <w:trPr>
          <w:trHeight w:val="188"/>
        </w:trPr>
        <w:tc>
          <w:tcPr>
            <w:tcW w:w="526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2560" w:type="dxa"/>
            <w:vAlign w:val="bottom"/>
            <w:gridSpan w:val="2"/>
          </w:tcPr>
          <w:p>
            <w:pPr>
              <w:spacing w:after="0" w:line="189" w:lineRule="exact"/>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612/617-8532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260" w:type="dxa"/>
            <w:vAlign w:val="bottom"/>
            <w:vMerge w:val="restart"/>
          </w:tcPr>
          <w:p>
            <w:pPr>
              <w:spacing w:after="0"/>
              <w:rPr>
                <w:sz w:val="20"/>
                <w:szCs w:val="20"/>
                <w:color w:val="auto"/>
              </w:rPr>
            </w:pPr>
            <w:r>
              <w:rPr>
                <w:rFonts w:ascii="Arial" w:cs="Arial" w:eastAsia="Arial" w:hAnsi="Arial"/>
                <w:sz w:val="18"/>
                <w:szCs w:val="18"/>
                <w:color w:val="auto"/>
              </w:rPr>
              <w:t>January 26, 2011</w:t>
            </w:r>
          </w:p>
        </w:tc>
        <w:tc>
          <w:tcPr>
            <w:tcW w:w="3600" w:type="dxa"/>
            <w:vAlign w:val="bottom"/>
          </w:tcPr>
          <w:p>
            <w:pPr>
              <w:spacing w:after="0"/>
              <w:rPr>
                <w:sz w:val="16"/>
                <w:szCs w:val="16"/>
                <w:color w:val="auto"/>
              </w:rPr>
            </w:pPr>
          </w:p>
        </w:tc>
        <w:tc>
          <w:tcPr>
            <w:tcW w:w="2560" w:type="dxa"/>
            <w:vAlign w:val="bottom"/>
            <w:gridSpan w:val="2"/>
          </w:tcPr>
          <w:p>
            <w:pPr>
              <w:spacing w:after="0" w:line="190" w:lineRule="exact"/>
              <w:rPr>
                <w:sz w:val="20"/>
                <w:szCs w:val="20"/>
                <w:color w:val="auto"/>
              </w:rPr>
            </w:pPr>
            <w:r>
              <w:rPr>
                <w:rFonts w:ascii="Arial" w:cs="Arial" w:eastAsia="Arial" w:hAnsi="Arial"/>
                <w:sz w:val="18"/>
                <w:szCs w:val="18"/>
                <w:color w:val="auto"/>
                <w:w w:val="97"/>
              </w:rPr>
              <w:t>John.Hawkins@HawkinsInc.com</w:t>
            </w:r>
          </w:p>
        </w:tc>
        <w:tc>
          <w:tcPr>
            <w:tcW w:w="0" w:type="dxa"/>
            <w:vAlign w:val="bottom"/>
          </w:tcPr>
          <w:p>
            <w:pPr>
              <w:spacing w:after="0"/>
              <w:rPr>
                <w:sz w:val="1"/>
                <w:szCs w:val="1"/>
                <w:color w:val="auto"/>
              </w:rPr>
            </w:pPr>
          </w:p>
        </w:tc>
      </w:tr>
      <w:tr>
        <w:trPr>
          <w:trHeight w:val="155"/>
        </w:trPr>
        <w:tc>
          <w:tcPr>
            <w:tcW w:w="5260" w:type="dxa"/>
            <w:vAlign w:val="bottom"/>
            <w:vMerge w:val="continue"/>
          </w:tcPr>
          <w:p>
            <w:pPr>
              <w:spacing w:after="0"/>
              <w:rPr>
                <w:sz w:val="13"/>
                <w:szCs w:val="13"/>
                <w:color w:val="auto"/>
              </w:rPr>
            </w:pPr>
          </w:p>
        </w:tc>
        <w:tc>
          <w:tcPr>
            <w:tcW w:w="3600" w:type="dxa"/>
            <w:vAlign w:val="bottom"/>
          </w:tcPr>
          <w:p>
            <w:pPr>
              <w:spacing w:after="0"/>
              <w:rPr>
                <w:sz w:val="13"/>
                <w:szCs w:val="13"/>
                <w:color w:val="auto"/>
              </w:rPr>
            </w:pPr>
          </w:p>
        </w:tc>
        <w:tc>
          <w:tcPr>
            <w:tcW w:w="24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Hawkins, Inc.</w:t>
            </w:r>
          </w:p>
        </w:tc>
        <w:tc>
          <w:tcPr>
            <w:tcW w:w="3600" w:type="dxa"/>
            <w:vAlign w:val="bottom"/>
          </w:tcPr>
          <w:p>
            <w:pPr>
              <w:spacing w:after="0"/>
              <w:rPr>
                <w:sz w:val="18"/>
                <w:szCs w:val="18"/>
                <w:color w:val="auto"/>
              </w:rPr>
            </w:pPr>
          </w:p>
        </w:tc>
        <w:tc>
          <w:tcPr>
            <w:tcW w:w="2560" w:type="dxa"/>
            <w:vAlign w:val="bottom"/>
            <w:gridSpan w:val="2"/>
            <w:vMerge w:val="restart"/>
          </w:tcPr>
          <w:p>
            <w:pPr>
              <w:spacing w:after="0"/>
              <w:rPr>
                <w:sz w:val="20"/>
                <w:szCs w:val="20"/>
                <w:color w:val="auto"/>
              </w:rPr>
            </w:pPr>
            <w:r>
              <w:rPr>
                <w:rFonts w:ascii="Arial" w:cs="Arial" w:eastAsia="Arial" w:hAnsi="Arial"/>
                <w:sz w:val="18"/>
                <w:szCs w:val="18"/>
                <w:color w:val="auto"/>
              </w:rPr>
              <w:t>Kathleen P. Pepski</w:t>
            </w:r>
          </w:p>
        </w:tc>
        <w:tc>
          <w:tcPr>
            <w:tcW w:w="0" w:type="dxa"/>
            <w:vAlign w:val="bottom"/>
          </w:tcPr>
          <w:p>
            <w:pPr>
              <w:spacing w:after="0"/>
              <w:rPr>
                <w:sz w:val="1"/>
                <w:szCs w:val="1"/>
                <w:color w:val="auto"/>
              </w:rPr>
            </w:pPr>
          </w:p>
        </w:tc>
      </w:tr>
      <w:tr>
        <w:trPr>
          <w:trHeight w:val="95"/>
        </w:trPr>
        <w:tc>
          <w:tcPr>
            <w:tcW w:w="5260" w:type="dxa"/>
            <w:vAlign w:val="bottom"/>
            <w:vMerge w:val="restart"/>
          </w:tcPr>
          <w:p>
            <w:pPr>
              <w:spacing w:after="0"/>
              <w:rPr>
                <w:sz w:val="20"/>
                <w:szCs w:val="20"/>
                <w:color w:val="auto"/>
              </w:rPr>
            </w:pPr>
            <w:r>
              <w:rPr>
                <w:rFonts w:ascii="Arial" w:cs="Arial" w:eastAsia="Arial" w:hAnsi="Arial"/>
                <w:sz w:val="18"/>
                <w:szCs w:val="18"/>
                <w:color w:val="auto"/>
              </w:rPr>
              <w:t>3100 East Hennepin Avenue</w:t>
            </w:r>
          </w:p>
        </w:tc>
        <w:tc>
          <w:tcPr>
            <w:tcW w:w="3600" w:type="dxa"/>
            <w:vAlign w:val="bottom"/>
          </w:tcPr>
          <w:p>
            <w:pPr>
              <w:spacing w:after="0"/>
              <w:rPr>
                <w:sz w:val="8"/>
                <w:szCs w:val="8"/>
                <w:color w:val="auto"/>
              </w:rPr>
            </w:pPr>
          </w:p>
        </w:tc>
        <w:tc>
          <w:tcPr>
            <w:tcW w:w="25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5260" w:type="dxa"/>
            <w:vAlign w:val="bottom"/>
            <w:vMerge w:val="continue"/>
          </w:tcPr>
          <w:p>
            <w:pPr>
              <w:spacing w:after="0"/>
              <w:rPr>
                <w:sz w:val="10"/>
                <w:szCs w:val="10"/>
                <w:color w:val="auto"/>
              </w:rPr>
            </w:pPr>
          </w:p>
        </w:tc>
        <w:tc>
          <w:tcPr>
            <w:tcW w:w="3600" w:type="dxa"/>
            <w:vAlign w:val="bottom"/>
          </w:tcPr>
          <w:p>
            <w:pPr>
              <w:spacing w:after="0"/>
              <w:rPr>
                <w:sz w:val="10"/>
                <w:szCs w:val="10"/>
                <w:color w:val="auto"/>
              </w:rPr>
            </w:pPr>
          </w:p>
        </w:tc>
        <w:tc>
          <w:tcPr>
            <w:tcW w:w="2560" w:type="dxa"/>
            <w:vAlign w:val="bottom"/>
            <w:gridSpan w:val="2"/>
            <w:vMerge w:val="restart"/>
          </w:tcPr>
          <w:p>
            <w:pPr>
              <w:spacing w:after="0"/>
              <w:rPr>
                <w:sz w:val="20"/>
                <w:szCs w:val="20"/>
                <w:color w:val="auto"/>
              </w:rPr>
            </w:pPr>
            <w:r>
              <w:rPr>
                <w:rFonts w:ascii="Arial" w:cs="Arial" w:eastAsia="Arial" w:hAnsi="Arial"/>
                <w:sz w:val="18"/>
                <w:szCs w:val="18"/>
                <w:color w:val="auto"/>
              </w:rPr>
              <w:t>Financial Officer</w:t>
            </w:r>
          </w:p>
        </w:tc>
        <w:tc>
          <w:tcPr>
            <w:tcW w:w="0" w:type="dxa"/>
            <w:vAlign w:val="bottom"/>
          </w:tcPr>
          <w:p>
            <w:pPr>
              <w:spacing w:after="0"/>
              <w:rPr>
                <w:sz w:val="1"/>
                <w:szCs w:val="1"/>
                <w:color w:val="auto"/>
              </w:rPr>
            </w:pPr>
          </w:p>
        </w:tc>
      </w:tr>
      <w:tr>
        <w:trPr>
          <w:trHeight w:val="95"/>
        </w:trPr>
        <w:tc>
          <w:tcPr>
            <w:tcW w:w="5260" w:type="dxa"/>
            <w:vAlign w:val="bottom"/>
            <w:vMerge w:val="restart"/>
          </w:tcPr>
          <w:p>
            <w:pPr>
              <w:spacing w:after="0"/>
              <w:rPr>
                <w:sz w:val="20"/>
                <w:szCs w:val="20"/>
                <w:color w:val="auto"/>
              </w:rPr>
            </w:pPr>
            <w:r>
              <w:rPr>
                <w:rFonts w:ascii="Arial" w:cs="Arial" w:eastAsia="Arial" w:hAnsi="Arial"/>
                <w:sz w:val="18"/>
                <w:szCs w:val="18"/>
                <w:color w:val="auto"/>
              </w:rPr>
              <w:t>Minneapolis, MN 55413</w:t>
            </w:r>
          </w:p>
        </w:tc>
        <w:tc>
          <w:tcPr>
            <w:tcW w:w="3600" w:type="dxa"/>
            <w:vAlign w:val="bottom"/>
          </w:tcPr>
          <w:p>
            <w:pPr>
              <w:spacing w:after="0"/>
              <w:rPr>
                <w:sz w:val="8"/>
                <w:szCs w:val="8"/>
                <w:color w:val="auto"/>
              </w:rPr>
            </w:pPr>
          </w:p>
        </w:tc>
        <w:tc>
          <w:tcPr>
            <w:tcW w:w="25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5260" w:type="dxa"/>
            <w:vAlign w:val="bottom"/>
            <w:vMerge w:val="continue"/>
          </w:tcPr>
          <w:p>
            <w:pPr>
              <w:spacing w:after="0"/>
              <w:rPr>
                <w:sz w:val="11"/>
                <w:szCs w:val="11"/>
                <w:color w:val="auto"/>
              </w:rPr>
            </w:pPr>
          </w:p>
        </w:tc>
        <w:tc>
          <w:tcPr>
            <w:tcW w:w="3600" w:type="dxa"/>
            <w:vAlign w:val="bottom"/>
          </w:tcPr>
          <w:p>
            <w:pPr>
              <w:spacing w:after="0"/>
              <w:rPr>
                <w:sz w:val="11"/>
                <w:szCs w:val="11"/>
                <w:color w:val="auto"/>
              </w:rPr>
            </w:pPr>
          </w:p>
        </w:tc>
        <w:tc>
          <w:tcPr>
            <w:tcW w:w="2400" w:type="dxa"/>
            <w:vAlign w:val="bottom"/>
            <w:vMerge w:val="restart"/>
          </w:tcPr>
          <w:p>
            <w:pPr>
              <w:spacing w:after="0"/>
              <w:rPr>
                <w:sz w:val="20"/>
                <w:szCs w:val="20"/>
                <w:color w:val="auto"/>
              </w:rPr>
            </w:pPr>
            <w:r>
              <w:rPr>
                <w:rFonts w:ascii="Arial" w:cs="Arial" w:eastAsia="Arial" w:hAnsi="Arial"/>
                <w:sz w:val="18"/>
                <w:szCs w:val="18"/>
                <w:color w:val="auto"/>
              </w:rPr>
              <w:t>612/617-8571</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5260" w:type="dxa"/>
            <w:vAlign w:val="bottom"/>
          </w:tcPr>
          <w:p>
            <w:pPr>
              <w:spacing w:after="0"/>
              <w:rPr>
                <w:sz w:val="6"/>
                <w:szCs w:val="6"/>
                <w:color w:val="auto"/>
              </w:rPr>
            </w:pPr>
          </w:p>
        </w:tc>
        <w:tc>
          <w:tcPr>
            <w:tcW w:w="3600" w:type="dxa"/>
            <w:vAlign w:val="bottom"/>
          </w:tcPr>
          <w:p>
            <w:pPr>
              <w:spacing w:after="0"/>
              <w:rPr>
                <w:sz w:val="6"/>
                <w:szCs w:val="6"/>
                <w:color w:val="auto"/>
              </w:rPr>
            </w:pPr>
          </w:p>
        </w:tc>
        <w:tc>
          <w:tcPr>
            <w:tcW w:w="24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526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2560" w:type="dxa"/>
            <w:vAlign w:val="bottom"/>
            <w:tcBorders>
              <w:bottom w:val="single" w:sz="8" w:color="auto"/>
            </w:tcBorders>
            <w:gridSpan w:val="2"/>
          </w:tcPr>
          <w:p>
            <w:pPr>
              <w:spacing w:after="0" w:line="190" w:lineRule="exact"/>
              <w:rPr>
                <w:sz w:val="20"/>
                <w:szCs w:val="20"/>
                <w:color w:val="auto"/>
              </w:rPr>
            </w:pPr>
            <w:r>
              <w:rPr>
                <w:rFonts w:ascii="Arial" w:cs="Arial" w:eastAsia="Arial" w:hAnsi="Arial"/>
                <w:sz w:val="18"/>
                <w:szCs w:val="18"/>
                <w:color w:val="auto"/>
                <w:w w:val="90"/>
              </w:rPr>
              <w:t>Kathleen.Pepski@HawkinsInc.com</w:t>
            </w:r>
          </w:p>
        </w:tc>
        <w:tc>
          <w:tcPr>
            <w:tcW w:w="0" w:type="dxa"/>
            <w:vAlign w:val="bottom"/>
          </w:tcPr>
          <w:p>
            <w:pPr>
              <w:spacing w:after="0"/>
              <w:rPr>
                <w:sz w:val="1"/>
                <w:szCs w:val="1"/>
                <w:color w:val="auto"/>
              </w:rPr>
            </w:pPr>
          </w:p>
        </w:tc>
      </w:tr>
    </w:tbl>
    <w:p>
      <w:pPr>
        <w:spacing w:after="0" w:line="24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HAWKINS, INC. REPORTS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THIRD QUARTER, NINE MONTHS FISCAL 2011 RESULTS</w:t>
      </w:r>
    </w:p>
    <w:p>
      <w:pPr>
        <w:spacing w:after="0" w:line="23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Minneapolis, MN, January 26, 2011 – Hawkins, Inc. (Nasdaq: HWKN) today announced third quarter and nine months results for fiscal 2011. Sales of $70.6 million for the quarter ended December 31, 2010 represented an increase of 16.5% from $60.6 million in sales for the same period in the prior fiscal year. Net income for the quarter was $4.3 million, or $0.41 per share, fully diluted, compared to net income of $5.6 million, or $0.54 per share, fully diluted for the same period of fiscal 2010.</w:t>
      </w:r>
    </w:p>
    <w:p>
      <w:pPr>
        <w:spacing w:after="0" w:line="214"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For the nine months ended December 31, 2010, Hawkins reported sales of $215.7 million, net income of $18.4 million and diluted earnings per share of $1.78 as compared to sales of $199.2 million, net income of $18.3 million and diluted earnings per share of $1.78 for the same period a year ago.</w:t>
      </w:r>
    </w:p>
    <w:p>
      <w:pPr>
        <w:spacing w:after="0" w:line="17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Chief Executive Officer, John R. Hawkins, commented, “We turned in a strong sales performance again this quarter across most product lines. However, profits for both of our segments were down from last year’s third quarter due to lower profits per unit sold. Competitive pricing pressures, coupled with our investment in operational infrastructure to support growth negatively affected profit levels for both segments. We expect the competitive pricing conditions to continue for the remainder of our fiscal year. However, we continue to strive to maintain and grow our market share while meeting competitive prices.” John Hawkins continued, “We closed the Vertex Chemical acquisition on January 14 and are very excited about the opportunities this complementary business and facilities will bring to Hawkins as we leverage our broad product offerings into the Vertex market.”</w:t>
      </w:r>
    </w:p>
    <w:p>
      <w:pPr>
        <w:spacing w:after="0" w:line="20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For the quarter ended December 31, 2010, Industrial segment sales increased $8.9 million, or 21.1%, to $51.3 million as compared to the same period in the prior year, with the increase primarily driven by higher selling prices and increased sales of manufactured and specialty chemical products. Water Treatment segment sales for the quarter ended December 31, 2010 were $19.3 million, a 5.5% increase over last year’s third quarter sales of $18.3 million. The increase was primarily due to increased sales of manufactured and specialty chemical products.</w:t>
      </w:r>
    </w:p>
    <w:p>
      <w:pPr>
        <w:spacing w:after="0" w:line="214"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Company-wide gross profit for the quarter ended December 31, 2010 was $13.7 million, or 19.4% of sales, compared to $15.9 million, or 26.2% of sales, for the same period in fiscal 2010. Gross profit for the Industrial segment was $8.6 million, or 16.8% of sales, for the quarter, as compared to $10.1 million, or 23.9% of sales, for the same period in fiscal 2010. Gross profit for the Water Treatment segment was $5.1 million, or 26.4% of sales, for the quarter, as compared to $5.7 million, or 31.3% of sales, for the same period in fiscal 2010. The decrease in gross profit dollars for both segments was primarily due to competitive pricing pressures and higher operational and infrastructure costs, partially offset by increased sales.&amp;nbs p;</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5" w:name="page6"/>
    <w:bookmarkEnd w:id="5"/>
    <w:p>
      <w:pPr>
        <w:spacing w:after="0"/>
        <w:rPr>
          <w:sz w:val="20"/>
          <w:szCs w:val="20"/>
          <w:color w:val="auto"/>
        </w:rPr>
      </w:pPr>
      <w:r>
        <w:rPr>
          <w:rFonts w:ascii="Arial" w:cs="Arial" w:eastAsia="Arial" w:hAnsi="Arial"/>
          <w:sz w:val="25"/>
          <w:szCs w:val="25"/>
          <w:b w:val="1"/>
          <w:bCs w:val="1"/>
          <w:color w:val="auto"/>
        </w:rPr>
        <w:t>HAWKINS, INC. REPORTS</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RESULTS FOR FISCAL 2011</w:t>
      </w:r>
    </w:p>
    <w:p>
      <w:pPr>
        <w:spacing w:after="0" w:line="231" w:lineRule="auto"/>
        <w:rPr>
          <w:sz w:val="20"/>
          <w:szCs w:val="20"/>
          <w:color w:val="auto"/>
        </w:rPr>
      </w:pPr>
      <w:r>
        <w:rPr>
          <w:rFonts w:ascii="Arial" w:cs="Arial" w:eastAsia="Arial" w:hAnsi="Arial"/>
          <w:sz w:val="22"/>
          <w:szCs w:val="22"/>
          <w:color w:val="auto"/>
        </w:rPr>
        <w:t>January 26, 2011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Two.</w:t>
      </w:r>
    </w:p>
    <w:p>
      <w:pPr>
        <w:spacing w:after="0" w:line="200" w:lineRule="exact"/>
        <w:rPr>
          <w:sz w:val="20"/>
          <w:szCs w:val="20"/>
          <w:color w:val="auto"/>
        </w:rPr>
      </w:pPr>
    </w:p>
    <w:p>
      <w:pPr>
        <w:spacing w:after="0" w:line="26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Gross profit for the nine months ended December 31, 2010 was $49.9 million, or 23.1% of sales, as compared to $49.1 million, or 24.7% of sales for the same period in the prior fiscal year. Gross profit for the Industrial segment was $28.5 million, or 19.6% of sales, for the nine months, compared to $27.4 million or 20.5% of sales in the same period a year ago. The increase in gross profit dollars for this segment in the first nine months of fiscal 2011 was attributable to increased sales of manufactured and specialty chemicals, partially offset by competitive pricing pressures and higher operational and infrastucture expenses. Gross profit for the Water Treatment segment was $21.4 million, or 30.7% of sales, for the nine months compared to $21.7 million, or 33.1% of sales, in the same period a year ago. The Water Treatment segment’s gross profit decrease was primarily due to competitive pricing pressures and increased overhead costs from investments in new facilities and personnel within existing and new markets to support growth in this segment, partially offset by increased sales of manufactured and specialty chemical products.</w:t>
      </w:r>
    </w:p>
    <w:p>
      <w:pPr>
        <w:spacing w:after="0" w:line="206"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Selling, general, and administrative expenses increased $0.5 million, or 6.9%, for the quarter and $1.0 million, or 5.2% for the nine months, as compared to the same periods in the prior fiscal year. The increases were primarily a result of higher equity incentive plan costs and costs related to the Vertex acquisition.</w:t>
      </w:r>
    </w:p>
    <w:p>
      <w:pPr>
        <w:spacing w:after="0" w:line="15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Hawkins, Inc. distributes, blends and manufactures bulk and specialty chemicals for its customers in a wide variety of industries. Headquartered in Minneapolis, Minnesota, and with 25 facilities in 13 states, the Company creates value for its customers through superb customer service and support, quality products and personalized applications.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387985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6" w:name="page7"/>
    <w:bookmarkEnd w:id="6"/>
    <w:p>
      <w:pPr>
        <w:spacing w:after="0"/>
        <w:rPr>
          <w:sz w:val="20"/>
          <w:szCs w:val="20"/>
          <w:color w:val="auto"/>
        </w:rPr>
      </w:pPr>
      <w:r>
        <w:rPr>
          <w:rFonts w:ascii="Arial" w:cs="Arial" w:eastAsia="Arial" w:hAnsi="Arial"/>
          <w:sz w:val="25"/>
          <w:szCs w:val="25"/>
          <w:b w:val="1"/>
          <w:bCs w:val="1"/>
          <w:color w:val="auto"/>
        </w:rPr>
        <w:t>HAWKINS, INC. REPORTS</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RESULTS FOR FISCAL 2011</w:t>
      </w:r>
    </w:p>
    <w:p>
      <w:pPr>
        <w:spacing w:after="0" w:line="231" w:lineRule="auto"/>
        <w:rPr>
          <w:sz w:val="20"/>
          <w:szCs w:val="20"/>
          <w:color w:val="auto"/>
        </w:rPr>
      </w:pPr>
      <w:r>
        <w:rPr>
          <w:rFonts w:ascii="Arial" w:cs="Arial" w:eastAsia="Arial" w:hAnsi="Arial"/>
          <w:sz w:val="22"/>
          <w:szCs w:val="22"/>
          <w:color w:val="auto"/>
        </w:rPr>
        <w:t>January 26, 2011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Three.</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INCOME (UNAUDITED)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40" w:type="dxa"/>
            <w:vAlign w:val="bottom"/>
            <w:gridSpan w:val="5"/>
          </w:tcPr>
          <w:p>
            <w:pPr>
              <w:jc w:val="right"/>
              <w:ind w:right="11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66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b w:val="1"/>
                <w:bCs w:val="1"/>
                <w:color w:val="auto"/>
              </w:rPr>
              <w:t>(In thousands, except share and per-share data)</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gridSpan w:val="2"/>
          </w:tcPr>
          <w:p>
            <w:pPr>
              <w:spacing w:after="0"/>
              <w:rPr>
                <w:sz w:val="20"/>
                <w:szCs w:val="20"/>
                <w:color w:val="auto"/>
              </w:rPr>
            </w:pPr>
          </w:p>
        </w:tc>
        <w:tc>
          <w:tcPr>
            <w:tcW w:w="10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80" w:type="dxa"/>
            <w:vAlign w:val="bottom"/>
            <w:shd w:val="clear" w:color="auto" w:fill="D6F3E8"/>
          </w:tcPr>
          <w:p>
            <w:pPr>
              <w:spacing w:after="0"/>
              <w:rPr>
                <w:sz w:val="20"/>
                <w:szCs w:val="20"/>
                <w:color w:val="auto"/>
              </w:rPr>
            </w:pPr>
            <w:r>
              <w:rPr>
                <w:rFonts w:ascii="Arial" w:cs="Arial" w:eastAsia="Arial" w:hAnsi="Arial"/>
                <w:sz w:val="18"/>
                <w:szCs w:val="18"/>
                <w:color w:val="auto"/>
              </w:rPr>
              <w:t>Sales</w:t>
            </w:r>
          </w:p>
        </w:tc>
        <w:tc>
          <w:tcPr>
            <w:tcW w:w="260" w:type="dxa"/>
            <w:vAlign w:val="bottom"/>
            <w:shd w:val="clear" w:color="auto" w:fill="D6F3E8"/>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70,620</w:t>
            </w:r>
          </w:p>
        </w:tc>
        <w:tc>
          <w:tcPr>
            <w:tcW w:w="360" w:type="dxa"/>
            <w:vAlign w:val="bottom"/>
            <w:shd w:val="clear" w:color="auto" w:fill="D6F3E8"/>
          </w:tcPr>
          <w:p>
            <w:pPr>
              <w:spacing w:after="0"/>
              <w:rPr>
                <w:sz w:val="21"/>
                <w:szCs w:val="21"/>
                <w:color w:val="auto"/>
              </w:rPr>
            </w:pPr>
          </w:p>
        </w:tc>
        <w:tc>
          <w:tcPr>
            <w:tcW w:w="340" w:type="dxa"/>
            <w:vAlign w:val="bottom"/>
            <w:shd w:val="clear" w:color="auto" w:fill="D6F3E8"/>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60,627</w:t>
            </w:r>
          </w:p>
        </w:tc>
        <w:tc>
          <w:tcPr>
            <w:tcW w:w="280" w:type="dxa"/>
            <w:vAlign w:val="bottom"/>
            <w:shd w:val="clear" w:color="auto" w:fill="D6F3E8"/>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215,684</w:t>
            </w:r>
          </w:p>
        </w:tc>
        <w:tc>
          <w:tcPr>
            <w:tcW w:w="200" w:type="dxa"/>
            <w:vAlign w:val="bottom"/>
            <w:shd w:val="clear" w:color="auto" w:fill="D6F3E8"/>
          </w:tcPr>
          <w:p>
            <w:pPr>
              <w:spacing w:after="0"/>
              <w:rPr>
                <w:sz w:val="21"/>
                <w:szCs w:val="21"/>
                <w:color w:val="auto"/>
              </w:rPr>
            </w:pPr>
          </w:p>
        </w:tc>
        <w:tc>
          <w:tcPr>
            <w:tcW w:w="480" w:type="dxa"/>
            <w:vAlign w:val="bottom"/>
            <w:gridSpan w:val="2"/>
            <w:shd w:val="clear" w:color="auto" w:fill="D6F3E8"/>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199,189</w:t>
            </w:r>
          </w:p>
        </w:tc>
        <w:tc>
          <w:tcPr>
            <w:tcW w:w="0" w:type="dxa"/>
            <w:vAlign w:val="bottom"/>
          </w:tcPr>
          <w:p>
            <w:pPr>
              <w:spacing w:after="0"/>
              <w:rPr>
                <w:sz w:val="1"/>
                <w:szCs w:val="1"/>
                <w:color w:val="auto"/>
              </w:rPr>
            </w:pPr>
          </w:p>
        </w:tc>
      </w:tr>
      <w:tr>
        <w:trPr>
          <w:trHeight w:val="486"/>
        </w:trPr>
        <w:tc>
          <w:tcPr>
            <w:tcW w:w="5280" w:type="dxa"/>
            <w:vAlign w:val="bottom"/>
          </w:tcPr>
          <w:p>
            <w:pPr>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4"/>
                <w:szCs w:val="24"/>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(56,894)</w:t>
            </w:r>
          </w:p>
        </w:tc>
        <w:tc>
          <w:tcPr>
            <w:tcW w:w="340" w:type="dxa"/>
            <w:vAlign w:val="bottom"/>
          </w:tcPr>
          <w:p>
            <w:pPr>
              <w:spacing w:after="0"/>
              <w:rPr>
                <w:sz w:val="24"/>
                <w:szCs w:val="2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(44,772)</w:t>
            </w:r>
          </w:p>
        </w:tc>
        <w:tc>
          <w:tcPr>
            <w:tcW w:w="28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(165,768)</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(150,062)</w:t>
            </w: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80" w:type="dxa"/>
            <w:vAlign w:val="bottom"/>
            <w:shd w:val="clear" w:color="auto" w:fill="D6F3E8"/>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D6F3E8"/>
          </w:tcPr>
          <w:p>
            <w:pPr>
              <w:spacing w:after="0"/>
              <w:rPr>
                <w:sz w:val="21"/>
                <w:szCs w:val="21"/>
                <w:color w:val="auto"/>
              </w:rPr>
            </w:pP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13,726</w:t>
            </w:r>
          </w:p>
        </w:tc>
        <w:tc>
          <w:tcPr>
            <w:tcW w:w="360" w:type="dxa"/>
            <w:vAlign w:val="bottom"/>
            <w:shd w:val="clear" w:color="auto" w:fill="D6F3E8"/>
          </w:tcPr>
          <w:p>
            <w:pPr>
              <w:spacing w:after="0"/>
              <w:rPr>
                <w:sz w:val="21"/>
                <w:szCs w:val="21"/>
                <w:color w:val="auto"/>
              </w:rPr>
            </w:pPr>
          </w:p>
        </w:tc>
        <w:tc>
          <w:tcPr>
            <w:tcW w:w="340" w:type="dxa"/>
            <w:vAlign w:val="bottom"/>
            <w:shd w:val="clear" w:color="auto" w:fill="D6F3E8"/>
          </w:tcPr>
          <w:p>
            <w:pPr>
              <w:spacing w:after="0"/>
              <w:rPr>
                <w:sz w:val="21"/>
                <w:szCs w:val="21"/>
                <w:color w:val="auto"/>
              </w:rPr>
            </w:pPr>
          </w:p>
        </w:tc>
        <w:tc>
          <w:tcPr>
            <w:tcW w:w="12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15,855</w:t>
            </w:r>
          </w:p>
        </w:tc>
        <w:tc>
          <w:tcPr>
            <w:tcW w:w="280" w:type="dxa"/>
            <w:vAlign w:val="bottom"/>
            <w:shd w:val="clear" w:color="auto" w:fill="D6F3E8"/>
          </w:tcPr>
          <w:p>
            <w:pPr>
              <w:spacing w:after="0"/>
              <w:rPr>
                <w:sz w:val="21"/>
                <w:szCs w:val="21"/>
                <w:color w:val="auto"/>
              </w:rPr>
            </w:pPr>
          </w:p>
        </w:tc>
        <w:tc>
          <w:tcPr>
            <w:tcW w:w="118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49,916</w:t>
            </w:r>
          </w:p>
        </w:tc>
        <w:tc>
          <w:tcPr>
            <w:tcW w:w="120" w:type="dxa"/>
            <w:vAlign w:val="bottom"/>
            <w:shd w:val="clear" w:color="auto" w:fill="D6F3E8"/>
          </w:tcPr>
          <w:p>
            <w:pPr>
              <w:spacing w:after="0"/>
              <w:rPr>
                <w:sz w:val="21"/>
                <w:szCs w:val="21"/>
                <w:color w:val="auto"/>
              </w:rPr>
            </w:pPr>
          </w:p>
        </w:tc>
        <w:tc>
          <w:tcPr>
            <w:tcW w:w="360" w:type="dxa"/>
            <w:vAlign w:val="bottom"/>
            <w:shd w:val="clear" w:color="auto" w:fill="D6F3E8"/>
          </w:tcPr>
          <w:p>
            <w:pPr>
              <w:spacing w:after="0"/>
              <w:rPr>
                <w:sz w:val="21"/>
                <w:szCs w:val="21"/>
                <w:color w:val="auto"/>
              </w:rPr>
            </w:pPr>
          </w:p>
        </w:tc>
        <w:tc>
          <w:tcPr>
            <w:tcW w:w="10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49,127</w:t>
            </w:r>
          </w:p>
        </w:tc>
        <w:tc>
          <w:tcPr>
            <w:tcW w:w="0" w:type="dxa"/>
            <w:vAlign w:val="bottom"/>
          </w:tcPr>
          <w:p>
            <w:pPr>
              <w:spacing w:after="0"/>
              <w:rPr>
                <w:sz w:val="1"/>
                <w:szCs w:val="1"/>
                <w:color w:val="auto"/>
              </w:rPr>
            </w:pPr>
          </w:p>
        </w:tc>
      </w:tr>
      <w:tr>
        <w:trPr>
          <w:trHeight w:val="486"/>
        </w:trPr>
        <w:tc>
          <w:tcPr>
            <w:tcW w:w="52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24"/>
                <w:szCs w:val="24"/>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(6,893)</w:t>
            </w:r>
          </w:p>
        </w:tc>
        <w:tc>
          <w:tcPr>
            <w:tcW w:w="340" w:type="dxa"/>
            <w:vAlign w:val="bottom"/>
          </w:tcPr>
          <w:p>
            <w:pPr>
              <w:spacing w:after="0"/>
              <w:rPr>
                <w:sz w:val="24"/>
                <w:szCs w:val="2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(6,447)</w:t>
            </w:r>
          </w:p>
        </w:tc>
        <w:tc>
          <w:tcPr>
            <w:tcW w:w="28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(20,368)</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(19,370)</w:t>
            </w: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80" w:type="dxa"/>
            <w:vAlign w:val="bottom"/>
            <w:shd w:val="clear" w:color="auto" w:fill="D6F3E8"/>
          </w:tcPr>
          <w:p>
            <w:pPr>
              <w:spacing w:after="0"/>
              <w:rPr>
                <w:sz w:val="20"/>
                <w:szCs w:val="20"/>
                <w:color w:val="auto"/>
              </w:rPr>
            </w:pPr>
            <w:r>
              <w:rPr>
                <w:rFonts w:ascii="Arial" w:cs="Arial" w:eastAsia="Arial" w:hAnsi="Arial"/>
                <w:sz w:val="18"/>
                <w:szCs w:val="18"/>
                <w:color w:val="auto"/>
              </w:rPr>
              <w:t>Operating income</w:t>
            </w:r>
          </w:p>
        </w:tc>
        <w:tc>
          <w:tcPr>
            <w:tcW w:w="260" w:type="dxa"/>
            <w:vAlign w:val="bottom"/>
            <w:shd w:val="clear" w:color="auto" w:fill="D6F3E8"/>
          </w:tcPr>
          <w:p>
            <w:pPr>
              <w:spacing w:after="0"/>
              <w:rPr>
                <w:sz w:val="21"/>
                <w:szCs w:val="21"/>
                <w:color w:val="auto"/>
              </w:rPr>
            </w:pP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6,833</w:t>
            </w:r>
          </w:p>
        </w:tc>
        <w:tc>
          <w:tcPr>
            <w:tcW w:w="360" w:type="dxa"/>
            <w:vAlign w:val="bottom"/>
            <w:shd w:val="clear" w:color="auto" w:fill="D6F3E8"/>
          </w:tcPr>
          <w:p>
            <w:pPr>
              <w:spacing w:after="0"/>
              <w:rPr>
                <w:sz w:val="21"/>
                <w:szCs w:val="21"/>
                <w:color w:val="auto"/>
              </w:rPr>
            </w:pPr>
          </w:p>
        </w:tc>
        <w:tc>
          <w:tcPr>
            <w:tcW w:w="340" w:type="dxa"/>
            <w:vAlign w:val="bottom"/>
            <w:shd w:val="clear" w:color="auto" w:fill="D6F3E8"/>
          </w:tcPr>
          <w:p>
            <w:pPr>
              <w:spacing w:after="0"/>
              <w:rPr>
                <w:sz w:val="21"/>
                <w:szCs w:val="21"/>
                <w:color w:val="auto"/>
              </w:rPr>
            </w:pPr>
          </w:p>
        </w:tc>
        <w:tc>
          <w:tcPr>
            <w:tcW w:w="12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9,408</w:t>
            </w:r>
          </w:p>
        </w:tc>
        <w:tc>
          <w:tcPr>
            <w:tcW w:w="280" w:type="dxa"/>
            <w:vAlign w:val="bottom"/>
            <w:shd w:val="clear" w:color="auto" w:fill="D6F3E8"/>
          </w:tcPr>
          <w:p>
            <w:pPr>
              <w:spacing w:after="0"/>
              <w:rPr>
                <w:sz w:val="21"/>
                <w:szCs w:val="21"/>
                <w:color w:val="auto"/>
              </w:rPr>
            </w:pPr>
          </w:p>
        </w:tc>
        <w:tc>
          <w:tcPr>
            <w:tcW w:w="118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29,548</w:t>
            </w:r>
          </w:p>
        </w:tc>
        <w:tc>
          <w:tcPr>
            <w:tcW w:w="120" w:type="dxa"/>
            <w:vAlign w:val="bottom"/>
            <w:shd w:val="clear" w:color="auto" w:fill="D6F3E8"/>
          </w:tcPr>
          <w:p>
            <w:pPr>
              <w:spacing w:after="0"/>
              <w:rPr>
                <w:sz w:val="21"/>
                <w:szCs w:val="21"/>
                <w:color w:val="auto"/>
              </w:rPr>
            </w:pPr>
          </w:p>
        </w:tc>
        <w:tc>
          <w:tcPr>
            <w:tcW w:w="360" w:type="dxa"/>
            <w:vAlign w:val="bottom"/>
            <w:shd w:val="clear" w:color="auto" w:fill="D6F3E8"/>
          </w:tcPr>
          <w:p>
            <w:pPr>
              <w:spacing w:after="0"/>
              <w:rPr>
                <w:sz w:val="21"/>
                <w:szCs w:val="21"/>
                <w:color w:val="auto"/>
              </w:rPr>
            </w:pPr>
          </w:p>
        </w:tc>
        <w:tc>
          <w:tcPr>
            <w:tcW w:w="10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29,757</w:t>
            </w:r>
          </w:p>
        </w:tc>
        <w:tc>
          <w:tcPr>
            <w:tcW w:w="0" w:type="dxa"/>
            <w:vAlign w:val="bottom"/>
          </w:tcPr>
          <w:p>
            <w:pPr>
              <w:spacing w:after="0"/>
              <w:rPr>
                <w:sz w:val="1"/>
                <w:szCs w:val="1"/>
                <w:color w:val="auto"/>
              </w:rPr>
            </w:pPr>
          </w:p>
        </w:tc>
      </w:tr>
      <w:tr>
        <w:trPr>
          <w:trHeight w:val="486"/>
        </w:trPr>
        <w:tc>
          <w:tcPr>
            <w:tcW w:w="5280" w:type="dxa"/>
            <w:vAlign w:val="bottom"/>
          </w:tcPr>
          <w:p>
            <w:pPr>
              <w:spacing w:after="0"/>
              <w:rPr>
                <w:sz w:val="20"/>
                <w:szCs w:val="20"/>
                <w:color w:val="auto"/>
              </w:rPr>
            </w:pPr>
            <w:r>
              <w:rPr>
                <w:rFonts w:ascii="Arial" w:cs="Arial" w:eastAsia="Arial" w:hAnsi="Arial"/>
                <w:sz w:val="18"/>
                <w:szCs w:val="18"/>
                <w:color w:val="auto"/>
              </w:rPr>
              <w:t>Investment income</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3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3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80" w:type="dxa"/>
            <w:vAlign w:val="bottom"/>
            <w:shd w:val="clear" w:color="auto" w:fill="D6F3E8"/>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60" w:type="dxa"/>
            <w:vAlign w:val="bottom"/>
            <w:shd w:val="clear" w:color="auto" w:fill="D6F3E8"/>
          </w:tcPr>
          <w:p>
            <w:pPr>
              <w:spacing w:after="0"/>
              <w:rPr>
                <w:sz w:val="21"/>
                <w:szCs w:val="21"/>
                <w:color w:val="auto"/>
              </w:rPr>
            </w:pP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6,904</w:t>
            </w:r>
          </w:p>
        </w:tc>
        <w:tc>
          <w:tcPr>
            <w:tcW w:w="360" w:type="dxa"/>
            <w:vAlign w:val="bottom"/>
            <w:shd w:val="clear" w:color="auto" w:fill="D6F3E8"/>
          </w:tcPr>
          <w:p>
            <w:pPr>
              <w:spacing w:after="0"/>
              <w:rPr>
                <w:sz w:val="21"/>
                <w:szCs w:val="21"/>
                <w:color w:val="auto"/>
              </w:rPr>
            </w:pPr>
          </w:p>
        </w:tc>
        <w:tc>
          <w:tcPr>
            <w:tcW w:w="340" w:type="dxa"/>
            <w:vAlign w:val="bottom"/>
            <w:shd w:val="clear" w:color="auto" w:fill="D6F3E8"/>
          </w:tcPr>
          <w:p>
            <w:pPr>
              <w:spacing w:after="0"/>
              <w:rPr>
                <w:sz w:val="21"/>
                <w:szCs w:val="21"/>
                <w:color w:val="auto"/>
              </w:rPr>
            </w:pPr>
          </w:p>
        </w:tc>
        <w:tc>
          <w:tcPr>
            <w:tcW w:w="12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9,507</w:t>
            </w:r>
          </w:p>
        </w:tc>
        <w:tc>
          <w:tcPr>
            <w:tcW w:w="280" w:type="dxa"/>
            <w:vAlign w:val="bottom"/>
            <w:shd w:val="clear" w:color="auto" w:fill="D6F3E8"/>
          </w:tcPr>
          <w:p>
            <w:pPr>
              <w:spacing w:after="0"/>
              <w:rPr>
                <w:sz w:val="21"/>
                <w:szCs w:val="21"/>
                <w:color w:val="auto"/>
              </w:rPr>
            </w:pPr>
          </w:p>
        </w:tc>
        <w:tc>
          <w:tcPr>
            <w:tcW w:w="118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29,820</w:t>
            </w:r>
          </w:p>
        </w:tc>
        <w:tc>
          <w:tcPr>
            <w:tcW w:w="120" w:type="dxa"/>
            <w:vAlign w:val="bottom"/>
            <w:shd w:val="clear" w:color="auto" w:fill="D6F3E8"/>
          </w:tcPr>
          <w:p>
            <w:pPr>
              <w:spacing w:after="0"/>
              <w:rPr>
                <w:sz w:val="21"/>
                <w:szCs w:val="21"/>
                <w:color w:val="auto"/>
              </w:rPr>
            </w:pPr>
          </w:p>
        </w:tc>
        <w:tc>
          <w:tcPr>
            <w:tcW w:w="360" w:type="dxa"/>
            <w:vAlign w:val="bottom"/>
            <w:shd w:val="clear" w:color="auto" w:fill="D6F3E8"/>
          </w:tcPr>
          <w:p>
            <w:pPr>
              <w:spacing w:after="0"/>
              <w:rPr>
                <w:sz w:val="21"/>
                <w:szCs w:val="21"/>
                <w:color w:val="auto"/>
              </w:rPr>
            </w:pPr>
          </w:p>
        </w:tc>
        <w:tc>
          <w:tcPr>
            <w:tcW w:w="10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29,945</w:t>
            </w:r>
          </w:p>
        </w:tc>
        <w:tc>
          <w:tcPr>
            <w:tcW w:w="0" w:type="dxa"/>
            <w:vAlign w:val="bottom"/>
          </w:tcPr>
          <w:p>
            <w:pPr>
              <w:spacing w:after="0"/>
              <w:rPr>
                <w:sz w:val="1"/>
                <w:szCs w:val="1"/>
                <w:color w:val="auto"/>
              </w:rPr>
            </w:pPr>
          </w:p>
        </w:tc>
      </w:tr>
      <w:tr>
        <w:trPr>
          <w:trHeight w:val="486"/>
        </w:trPr>
        <w:tc>
          <w:tcPr>
            <w:tcW w:w="52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24"/>
                <w:szCs w:val="24"/>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(2,650)</w:t>
            </w:r>
          </w:p>
        </w:tc>
        <w:tc>
          <w:tcPr>
            <w:tcW w:w="340" w:type="dxa"/>
            <w:vAlign w:val="bottom"/>
          </w:tcPr>
          <w:p>
            <w:pPr>
              <w:spacing w:after="0"/>
              <w:rPr>
                <w:sz w:val="24"/>
                <w:szCs w:val="2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(3,912)</w:t>
            </w:r>
          </w:p>
        </w:tc>
        <w:tc>
          <w:tcPr>
            <w:tcW w:w="28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(11,397)</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(11,741)</w:t>
            </w: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80" w:type="dxa"/>
            <w:vAlign w:val="bottom"/>
            <w:shd w:val="clear" w:color="auto" w:fill="D6F3E8"/>
          </w:tcPr>
          <w:p>
            <w:pPr>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shd w:val="clear" w:color="auto" w:fill="D6F3E8"/>
          </w:tcPr>
          <w:p>
            <w:pPr>
              <w:spacing w:after="0"/>
              <w:rPr>
                <w:sz w:val="21"/>
                <w:szCs w:val="21"/>
                <w:color w:val="auto"/>
              </w:rPr>
            </w:pP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4,254</w:t>
            </w:r>
          </w:p>
        </w:tc>
        <w:tc>
          <w:tcPr>
            <w:tcW w:w="360" w:type="dxa"/>
            <w:vAlign w:val="bottom"/>
            <w:shd w:val="clear" w:color="auto" w:fill="D6F3E8"/>
          </w:tcPr>
          <w:p>
            <w:pPr>
              <w:spacing w:after="0"/>
              <w:rPr>
                <w:sz w:val="21"/>
                <w:szCs w:val="21"/>
                <w:color w:val="auto"/>
              </w:rPr>
            </w:pPr>
          </w:p>
        </w:tc>
        <w:tc>
          <w:tcPr>
            <w:tcW w:w="340" w:type="dxa"/>
            <w:vAlign w:val="bottom"/>
            <w:shd w:val="clear" w:color="auto" w:fill="D6F3E8"/>
          </w:tcPr>
          <w:p>
            <w:pPr>
              <w:spacing w:after="0"/>
              <w:rPr>
                <w:sz w:val="21"/>
                <w:szCs w:val="21"/>
                <w:color w:val="auto"/>
              </w:rPr>
            </w:pPr>
          </w:p>
        </w:tc>
        <w:tc>
          <w:tcPr>
            <w:tcW w:w="12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5,595</w:t>
            </w:r>
          </w:p>
        </w:tc>
        <w:tc>
          <w:tcPr>
            <w:tcW w:w="280" w:type="dxa"/>
            <w:vAlign w:val="bottom"/>
            <w:shd w:val="clear" w:color="auto" w:fill="D6F3E8"/>
          </w:tcPr>
          <w:p>
            <w:pPr>
              <w:spacing w:after="0"/>
              <w:rPr>
                <w:sz w:val="21"/>
                <w:szCs w:val="21"/>
                <w:color w:val="auto"/>
              </w:rPr>
            </w:pPr>
          </w:p>
        </w:tc>
        <w:tc>
          <w:tcPr>
            <w:tcW w:w="118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18,423</w:t>
            </w:r>
          </w:p>
        </w:tc>
        <w:tc>
          <w:tcPr>
            <w:tcW w:w="120" w:type="dxa"/>
            <w:vAlign w:val="bottom"/>
            <w:shd w:val="clear" w:color="auto" w:fill="D6F3E8"/>
          </w:tcPr>
          <w:p>
            <w:pPr>
              <w:spacing w:after="0"/>
              <w:rPr>
                <w:sz w:val="21"/>
                <w:szCs w:val="21"/>
                <w:color w:val="auto"/>
              </w:rPr>
            </w:pPr>
          </w:p>
        </w:tc>
        <w:tc>
          <w:tcPr>
            <w:tcW w:w="360" w:type="dxa"/>
            <w:vAlign w:val="bottom"/>
            <w:shd w:val="clear" w:color="auto" w:fill="D6F3E8"/>
          </w:tcPr>
          <w:p>
            <w:pPr>
              <w:spacing w:after="0"/>
              <w:rPr>
                <w:sz w:val="21"/>
                <w:szCs w:val="21"/>
                <w:color w:val="auto"/>
              </w:rPr>
            </w:pPr>
          </w:p>
        </w:tc>
        <w:tc>
          <w:tcPr>
            <w:tcW w:w="10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18,204</w:t>
            </w:r>
          </w:p>
        </w:tc>
        <w:tc>
          <w:tcPr>
            <w:tcW w:w="0" w:type="dxa"/>
            <w:vAlign w:val="bottom"/>
          </w:tcPr>
          <w:p>
            <w:pPr>
              <w:spacing w:after="0"/>
              <w:rPr>
                <w:sz w:val="1"/>
                <w:szCs w:val="1"/>
                <w:color w:val="auto"/>
              </w:rPr>
            </w:pPr>
          </w:p>
        </w:tc>
      </w:tr>
      <w:tr>
        <w:trPr>
          <w:trHeight w:val="486"/>
        </w:trPr>
        <w:tc>
          <w:tcPr>
            <w:tcW w:w="5280" w:type="dxa"/>
            <w:vAlign w:val="bottom"/>
          </w:tcPr>
          <w:p>
            <w:pPr>
              <w:spacing w:after="0"/>
              <w:rPr>
                <w:sz w:val="20"/>
                <w:szCs w:val="20"/>
                <w:color w:val="auto"/>
              </w:rPr>
            </w:pPr>
            <w:r>
              <w:rPr>
                <w:rFonts w:ascii="Arial" w:cs="Arial" w:eastAsia="Arial" w:hAnsi="Arial"/>
                <w:sz w:val="18"/>
                <w:szCs w:val="18"/>
                <w:color w:val="auto"/>
              </w:rPr>
              <w:t>Income from discontinued operations, net of tax</w:t>
            </w:r>
          </w:p>
        </w:tc>
        <w:tc>
          <w:tcPr>
            <w:tcW w:w="260" w:type="dxa"/>
            <w:vAlign w:val="bottom"/>
          </w:tcPr>
          <w:p>
            <w:pPr>
              <w:spacing w:after="0"/>
              <w:rPr>
                <w:sz w:val="24"/>
                <w:szCs w:val="24"/>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28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D6F3E8"/>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4,254</w:t>
            </w:r>
          </w:p>
        </w:tc>
        <w:tc>
          <w:tcPr>
            <w:tcW w:w="360" w:type="dxa"/>
            <w:vAlign w:val="bottom"/>
            <w:tcBorders>
              <w:bottom w:val="single" w:sz="8" w:color="D6F3E8"/>
            </w:tcBorders>
            <w:shd w:val="clear" w:color="auto" w:fill="D6F3E8"/>
          </w:tcPr>
          <w:p>
            <w:pPr>
              <w:spacing w:after="0"/>
              <w:rPr>
                <w:sz w:val="22"/>
                <w:szCs w:val="22"/>
                <w:color w:val="auto"/>
              </w:rPr>
            </w:pPr>
          </w:p>
        </w:tc>
        <w:tc>
          <w:tcPr>
            <w:tcW w:w="340" w:type="dxa"/>
            <w:vAlign w:val="bottom"/>
            <w:tcBorders>
              <w:bottom w:val="single" w:sz="8" w:color="auto"/>
            </w:tcBorders>
            <w:shd w:val="clear" w:color="auto" w:fill="D6F3E8"/>
          </w:tcPr>
          <w:p>
            <w:pPr>
              <w:jc w:val="right"/>
              <w:ind w:right="1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5,595</w:t>
            </w:r>
          </w:p>
        </w:tc>
        <w:tc>
          <w:tcPr>
            <w:tcW w:w="320" w:type="dxa"/>
            <w:vAlign w:val="bottom"/>
            <w:tcBorders>
              <w:bottom w:val="single" w:sz="8" w:color="D6F3E8"/>
            </w:tcBorders>
            <w:shd w:val="clear" w:color="auto" w:fill="D6F3E8"/>
          </w:tcPr>
          <w:p>
            <w:pPr>
              <w:spacing w:after="0"/>
              <w:rPr>
                <w:sz w:val="22"/>
                <w:szCs w:val="22"/>
                <w:color w:val="auto"/>
              </w:rPr>
            </w:pPr>
          </w:p>
        </w:tc>
        <w:tc>
          <w:tcPr>
            <w:tcW w:w="280" w:type="dxa"/>
            <w:vAlign w:val="bottom"/>
            <w:tcBorders>
              <w:bottom w:val="single" w:sz="8" w:color="auto"/>
            </w:tcBorders>
            <w:shd w:val="clear" w:color="auto" w:fill="D6F3E8"/>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18,423</w:t>
            </w:r>
          </w:p>
        </w:tc>
        <w:tc>
          <w:tcPr>
            <w:tcW w:w="200" w:type="dxa"/>
            <w:vAlign w:val="bottom"/>
            <w:tcBorders>
              <w:bottom w:val="single" w:sz="8" w:color="D6F3E8"/>
            </w:tcBorders>
            <w:shd w:val="clear" w:color="auto" w:fill="D6F3E8"/>
          </w:tcPr>
          <w:p>
            <w:pPr>
              <w:spacing w:after="0"/>
              <w:rPr>
                <w:sz w:val="22"/>
                <w:szCs w:val="22"/>
                <w:color w:val="auto"/>
              </w:rPr>
            </w:pPr>
          </w:p>
        </w:tc>
        <w:tc>
          <w:tcPr>
            <w:tcW w:w="120" w:type="dxa"/>
            <w:vAlign w:val="bottom"/>
            <w:tcBorders>
              <w:bottom w:val="single" w:sz="8" w:color="D6F3E8"/>
            </w:tcBorders>
            <w:shd w:val="clear" w:color="auto" w:fill="D6F3E8"/>
          </w:tcPr>
          <w:p>
            <w:pPr>
              <w:spacing w:after="0"/>
              <w:rPr>
                <w:sz w:val="22"/>
                <w:szCs w:val="22"/>
                <w:color w:val="auto"/>
              </w:rPr>
            </w:pPr>
          </w:p>
        </w:tc>
        <w:tc>
          <w:tcPr>
            <w:tcW w:w="360" w:type="dxa"/>
            <w:vAlign w:val="bottom"/>
            <w:tcBorders>
              <w:bottom w:val="single" w:sz="8" w:color="auto"/>
            </w:tcBorders>
            <w:shd w:val="clear" w:color="auto" w:fill="D6F3E8"/>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18,313</w:t>
            </w:r>
          </w:p>
        </w:tc>
        <w:tc>
          <w:tcPr>
            <w:tcW w:w="100" w:type="dxa"/>
            <w:vAlign w:val="bottom"/>
            <w:tcBorders>
              <w:bottom w:val="single" w:sz="8" w:color="D6F3E8"/>
            </w:tcBorders>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710"/>
        </w:trPr>
        <w:tc>
          <w:tcPr>
            <w:tcW w:w="5280" w:type="dxa"/>
            <w:vAlign w:val="bottom"/>
          </w:tcPr>
          <w:p>
            <w:pPr>
              <w:spacing w:after="0"/>
              <w:rPr>
                <w:sz w:val="20"/>
                <w:szCs w:val="20"/>
                <w:color w:val="auto"/>
              </w:rPr>
            </w:pPr>
            <w:r>
              <w:rPr>
                <w:rFonts w:ascii="Arial" w:cs="Arial" w:eastAsia="Arial" w:hAnsi="Arial"/>
                <w:sz w:val="18"/>
                <w:szCs w:val="18"/>
                <w:color w:val="auto"/>
              </w:rPr>
              <w:t>Weighted average number of shares outstanding-basic</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10,259,458</w:t>
            </w:r>
          </w:p>
        </w:tc>
        <w:tc>
          <w:tcPr>
            <w:tcW w:w="3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10,253,458</w:t>
            </w:r>
          </w:p>
        </w:tc>
        <w:tc>
          <w:tcPr>
            <w:tcW w:w="3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10,256,674</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10,250,198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5280" w:type="dxa"/>
            <w:vAlign w:val="bottom"/>
            <w:shd w:val="clear" w:color="auto" w:fill="D6F3E8"/>
          </w:tcPr>
          <w:p>
            <w:pPr>
              <w:spacing w:after="0"/>
              <w:rPr>
                <w:sz w:val="20"/>
                <w:szCs w:val="20"/>
                <w:color w:val="auto"/>
              </w:rPr>
            </w:pPr>
            <w:r>
              <w:rPr>
                <w:rFonts w:ascii="Arial" w:cs="Arial" w:eastAsia="Arial" w:hAnsi="Arial"/>
                <w:sz w:val="18"/>
                <w:szCs w:val="18"/>
                <w:color w:val="auto"/>
              </w:rPr>
              <w:t>Weighted average number of shares outstanding-diluted</w:t>
            </w:r>
          </w:p>
        </w:tc>
        <w:tc>
          <w:tcPr>
            <w:tcW w:w="260" w:type="dxa"/>
            <w:vAlign w:val="bottom"/>
            <w:shd w:val="clear" w:color="auto" w:fill="D6F3E8"/>
          </w:tcPr>
          <w:p>
            <w:pPr>
              <w:spacing w:after="0"/>
              <w:rPr>
                <w:sz w:val="24"/>
                <w:szCs w:val="24"/>
                <w:color w:val="auto"/>
              </w:rPr>
            </w:pP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10,355,888</w:t>
            </w:r>
          </w:p>
        </w:tc>
        <w:tc>
          <w:tcPr>
            <w:tcW w:w="360" w:type="dxa"/>
            <w:vAlign w:val="bottom"/>
            <w:shd w:val="clear" w:color="auto" w:fill="D6F3E8"/>
          </w:tcPr>
          <w:p>
            <w:pPr>
              <w:spacing w:after="0"/>
              <w:rPr>
                <w:sz w:val="24"/>
                <w:szCs w:val="24"/>
                <w:color w:val="auto"/>
              </w:rPr>
            </w:pPr>
          </w:p>
        </w:tc>
        <w:tc>
          <w:tcPr>
            <w:tcW w:w="340" w:type="dxa"/>
            <w:vAlign w:val="bottom"/>
            <w:shd w:val="clear" w:color="auto" w:fill="D6F3E8"/>
          </w:tcPr>
          <w:p>
            <w:pPr>
              <w:spacing w:after="0"/>
              <w:rPr>
                <w:sz w:val="24"/>
                <w:szCs w:val="24"/>
                <w:color w:val="auto"/>
              </w:rPr>
            </w:pPr>
          </w:p>
        </w:tc>
        <w:tc>
          <w:tcPr>
            <w:tcW w:w="12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w w:val="99"/>
              </w:rPr>
              <w:t>10,283,206</w:t>
            </w:r>
          </w:p>
        </w:tc>
        <w:tc>
          <w:tcPr>
            <w:tcW w:w="280" w:type="dxa"/>
            <w:vAlign w:val="bottom"/>
            <w:shd w:val="clear" w:color="auto" w:fill="D6F3E8"/>
          </w:tcPr>
          <w:p>
            <w:pPr>
              <w:spacing w:after="0"/>
              <w:rPr>
                <w:sz w:val="24"/>
                <w:szCs w:val="24"/>
                <w:color w:val="auto"/>
              </w:rPr>
            </w:pPr>
          </w:p>
        </w:tc>
        <w:tc>
          <w:tcPr>
            <w:tcW w:w="118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10,336,169</w:t>
            </w:r>
          </w:p>
        </w:tc>
        <w:tc>
          <w:tcPr>
            <w:tcW w:w="120" w:type="dxa"/>
            <w:vAlign w:val="bottom"/>
            <w:shd w:val="clear" w:color="auto" w:fill="D6F3E8"/>
          </w:tcPr>
          <w:p>
            <w:pPr>
              <w:spacing w:after="0"/>
              <w:rPr>
                <w:sz w:val="24"/>
                <w:szCs w:val="24"/>
                <w:color w:val="auto"/>
              </w:rPr>
            </w:pPr>
          </w:p>
        </w:tc>
        <w:tc>
          <w:tcPr>
            <w:tcW w:w="360" w:type="dxa"/>
            <w:vAlign w:val="bottom"/>
            <w:shd w:val="clear" w:color="auto" w:fill="D6F3E8"/>
          </w:tcPr>
          <w:p>
            <w:pPr>
              <w:spacing w:after="0"/>
              <w:rPr>
                <w:sz w:val="24"/>
                <w:szCs w:val="24"/>
                <w:color w:val="auto"/>
              </w:rPr>
            </w:pPr>
          </w:p>
        </w:tc>
        <w:tc>
          <w:tcPr>
            <w:tcW w:w="10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w w:val="97"/>
              </w:rPr>
              <w:t>10,279,417</w:t>
            </w:r>
          </w:p>
        </w:tc>
        <w:tc>
          <w:tcPr>
            <w:tcW w:w="0" w:type="dxa"/>
            <w:vAlign w:val="bottom"/>
          </w:tcPr>
          <w:p>
            <w:pPr>
              <w:spacing w:after="0"/>
              <w:rPr>
                <w:sz w:val="1"/>
                <w:szCs w:val="1"/>
                <w:color w:val="auto"/>
              </w:rPr>
            </w:pPr>
          </w:p>
        </w:tc>
      </w:tr>
      <w:tr>
        <w:trPr>
          <w:trHeight w:val="467"/>
        </w:trPr>
        <w:tc>
          <w:tcPr>
            <w:tcW w:w="5280" w:type="dxa"/>
            <w:vAlign w:val="bottom"/>
            <w:tcBorders>
              <w:top w:val="single" w:sz="8" w:color="D6F3E8"/>
            </w:tcBorders>
          </w:tcPr>
          <w:p>
            <w:pPr>
              <w:spacing w:after="0"/>
              <w:rPr>
                <w:sz w:val="20"/>
                <w:szCs w:val="20"/>
                <w:color w:val="auto"/>
              </w:rPr>
            </w:pPr>
            <w:r>
              <w:rPr>
                <w:rFonts w:ascii="Arial" w:cs="Arial" w:eastAsia="Arial" w:hAnsi="Arial"/>
                <w:sz w:val="18"/>
                <w:szCs w:val="18"/>
                <w:color w:val="auto"/>
              </w:rPr>
              <w:t>Basic earnings per share</w:t>
            </w: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360" w:type="dxa"/>
            <w:vAlign w:val="bottom"/>
            <w:tcBorders>
              <w:top w:val="single" w:sz="8" w:color="D6F3E8"/>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20" w:type="dxa"/>
            <w:vAlign w:val="bottom"/>
            <w:tcBorders>
              <w:top w:val="single" w:sz="8" w:color="D6F3E8"/>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0" w:type="dxa"/>
            <w:vAlign w:val="bottom"/>
            <w:tcBorders>
              <w:top w:val="single" w:sz="8" w:color="D6F3E8"/>
            </w:tcBorders>
          </w:tcPr>
          <w:p>
            <w:pPr>
              <w:spacing w:after="0"/>
              <w:rPr>
                <w:sz w:val="24"/>
                <w:szCs w:val="24"/>
                <w:color w:val="auto"/>
              </w:rPr>
            </w:pPr>
          </w:p>
        </w:tc>
        <w:tc>
          <w:tcPr>
            <w:tcW w:w="120" w:type="dxa"/>
            <w:vAlign w:val="bottom"/>
            <w:tcBorders>
              <w:top w:val="single" w:sz="8" w:color="D6F3E8"/>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D6F3E8"/>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Earnings per share from continuing operations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0.41</w:t>
            </w:r>
          </w:p>
        </w:tc>
        <w:tc>
          <w:tcPr>
            <w:tcW w:w="360" w:type="dxa"/>
            <w:vAlign w:val="bottom"/>
          </w:tcPr>
          <w:p>
            <w:pPr>
              <w:spacing w:after="0"/>
              <w:rPr>
                <w:sz w:val="21"/>
                <w:szCs w:val="21"/>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0.55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1.80</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43"/>
        </w:trPr>
        <w:tc>
          <w:tcPr>
            <w:tcW w:w="5280" w:type="dxa"/>
            <w:vAlign w:val="bottom"/>
            <w:shd w:val="clear" w:color="auto" w:fill="D6F3E8"/>
          </w:tcPr>
          <w:p>
            <w:pPr>
              <w:ind w:left="180"/>
              <w:spacing w:after="0"/>
              <w:rPr>
                <w:sz w:val="20"/>
                <w:szCs w:val="20"/>
                <w:color w:val="auto"/>
              </w:rPr>
            </w:pPr>
            <w:r>
              <w:rPr>
                <w:rFonts w:ascii="Arial" w:cs="Arial" w:eastAsia="Arial" w:hAnsi="Arial"/>
                <w:sz w:val="18"/>
                <w:szCs w:val="18"/>
                <w:color w:val="auto"/>
              </w:rPr>
              <w:t>Earnings per share from discontinued operations</w:t>
            </w:r>
          </w:p>
        </w:tc>
        <w:tc>
          <w:tcPr>
            <w:tcW w:w="260" w:type="dxa"/>
            <w:vAlign w:val="bottom"/>
            <w:shd w:val="clear" w:color="auto" w:fill="D6F3E8"/>
          </w:tcPr>
          <w:p>
            <w:pPr>
              <w:spacing w:after="0"/>
              <w:rPr>
                <w:sz w:val="21"/>
                <w:szCs w:val="21"/>
                <w:color w:val="auto"/>
              </w:rPr>
            </w:pPr>
          </w:p>
        </w:tc>
        <w:tc>
          <w:tcPr>
            <w:tcW w:w="136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shd w:val="clear" w:color="auto" w:fill="D6F3E8"/>
          </w:tcPr>
          <w:p>
            <w:pPr>
              <w:spacing w:after="0"/>
              <w:rPr>
                <w:sz w:val="21"/>
                <w:szCs w:val="21"/>
                <w:color w:val="auto"/>
              </w:rPr>
            </w:pPr>
          </w:p>
        </w:tc>
        <w:tc>
          <w:tcPr>
            <w:tcW w:w="12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D6F3E8"/>
          </w:tcPr>
          <w:p>
            <w:pPr>
              <w:spacing w:after="0"/>
              <w:rPr>
                <w:sz w:val="21"/>
                <w:szCs w:val="21"/>
                <w:color w:val="auto"/>
              </w:rPr>
            </w:pPr>
          </w:p>
        </w:tc>
        <w:tc>
          <w:tcPr>
            <w:tcW w:w="118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D6F3E8"/>
          </w:tcPr>
          <w:p>
            <w:pPr>
              <w:spacing w:after="0"/>
              <w:rPr>
                <w:sz w:val="21"/>
                <w:szCs w:val="21"/>
                <w:color w:val="auto"/>
              </w:rPr>
            </w:pPr>
          </w:p>
        </w:tc>
        <w:tc>
          <w:tcPr>
            <w:tcW w:w="360" w:type="dxa"/>
            <w:vAlign w:val="bottom"/>
            <w:shd w:val="clear" w:color="auto" w:fill="D6F3E8"/>
          </w:tcPr>
          <w:p>
            <w:pPr>
              <w:spacing w:after="0"/>
              <w:rPr>
                <w:sz w:val="21"/>
                <w:szCs w:val="21"/>
                <w:color w:val="auto"/>
              </w:rPr>
            </w:pPr>
          </w:p>
        </w:tc>
        <w:tc>
          <w:tcPr>
            <w:tcW w:w="10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0"/>
        </w:trPr>
        <w:tc>
          <w:tcPr>
            <w:tcW w:w="5280" w:type="dxa"/>
            <w:vAlign w:val="bottom"/>
            <w:tcBorders>
              <w:top w:val="single" w:sz="8" w:color="D6F3E8"/>
            </w:tcBorders>
          </w:tcPr>
          <w:p>
            <w:pPr>
              <w:ind w:left="180"/>
              <w:spacing w:after="0"/>
              <w:rPr>
                <w:sz w:val="20"/>
                <w:szCs w:val="20"/>
                <w:color w:val="auto"/>
              </w:rPr>
            </w:pPr>
            <w:r>
              <w:rPr>
                <w:rFonts w:ascii="Arial" w:cs="Arial" w:eastAsia="Arial" w:hAnsi="Arial"/>
                <w:sz w:val="18"/>
                <w:szCs w:val="18"/>
                <w:color w:val="auto"/>
              </w:rPr>
              <w:t>Basic earnings per share</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360" w:type="dxa"/>
            <w:vAlign w:val="bottom"/>
            <w:tcBorders>
              <w:top w:val="single" w:sz="8" w:color="D6F3E8"/>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0.55</w:t>
            </w:r>
          </w:p>
        </w:tc>
        <w:tc>
          <w:tcPr>
            <w:tcW w:w="320" w:type="dxa"/>
            <w:vAlign w:val="bottom"/>
            <w:tcBorders>
              <w:top w:val="single" w:sz="8" w:color="D6F3E8"/>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200" w:type="dxa"/>
            <w:vAlign w:val="bottom"/>
            <w:tcBorders>
              <w:top w:val="single" w:sz="8" w:color="D6F3E8"/>
            </w:tcBorders>
          </w:tcPr>
          <w:p>
            <w:pPr>
              <w:spacing w:after="0"/>
              <w:rPr>
                <w:sz w:val="18"/>
                <w:szCs w:val="18"/>
                <w:color w:val="auto"/>
              </w:rPr>
            </w:pPr>
          </w:p>
        </w:tc>
        <w:tc>
          <w:tcPr>
            <w:tcW w:w="120" w:type="dxa"/>
            <w:vAlign w:val="bottom"/>
            <w:tcBorders>
              <w:top w:val="single" w:sz="8" w:color="D6F3E8"/>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top w:val="single" w:sz="8" w:color="D6F3E8"/>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Diluted earnings per share</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52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80" w:type="dxa"/>
            <w:vAlign w:val="bottom"/>
            <w:shd w:val="clear" w:color="auto" w:fill="D6F3E8"/>
          </w:tcPr>
          <w:p>
            <w:pPr>
              <w:ind w:left="180"/>
              <w:spacing w:after="0"/>
              <w:rPr>
                <w:sz w:val="20"/>
                <w:szCs w:val="20"/>
                <w:color w:val="auto"/>
              </w:rPr>
            </w:pPr>
            <w:r>
              <w:rPr>
                <w:rFonts w:ascii="Arial" w:cs="Arial" w:eastAsia="Arial" w:hAnsi="Arial"/>
                <w:sz w:val="18"/>
                <w:szCs w:val="18"/>
                <w:color w:val="auto"/>
              </w:rPr>
              <w:t>Earnings per share from continuing operations</w:t>
            </w:r>
          </w:p>
        </w:tc>
        <w:tc>
          <w:tcPr>
            <w:tcW w:w="260" w:type="dxa"/>
            <w:vAlign w:val="bottom"/>
            <w:shd w:val="clear" w:color="auto" w:fill="D6F3E8"/>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0.41</w:t>
            </w:r>
          </w:p>
        </w:tc>
        <w:tc>
          <w:tcPr>
            <w:tcW w:w="360" w:type="dxa"/>
            <w:vAlign w:val="bottom"/>
            <w:shd w:val="clear" w:color="auto" w:fill="D6F3E8"/>
          </w:tcPr>
          <w:p>
            <w:pPr>
              <w:spacing w:after="0"/>
              <w:rPr>
                <w:sz w:val="21"/>
                <w:szCs w:val="21"/>
                <w:color w:val="auto"/>
              </w:rPr>
            </w:pPr>
          </w:p>
        </w:tc>
        <w:tc>
          <w:tcPr>
            <w:tcW w:w="340" w:type="dxa"/>
            <w:vAlign w:val="bottom"/>
            <w:shd w:val="clear" w:color="auto" w:fill="D6F3E8"/>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0.54</w:t>
            </w:r>
          </w:p>
        </w:tc>
        <w:tc>
          <w:tcPr>
            <w:tcW w:w="280" w:type="dxa"/>
            <w:vAlign w:val="bottom"/>
            <w:shd w:val="clear" w:color="auto" w:fill="D6F3E8"/>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1.78</w:t>
            </w:r>
          </w:p>
        </w:tc>
        <w:tc>
          <w:tcPr>
            <w:tcW w:w="480" w:type="dxa"/>
            <w:vAlign w:val="bottom"/>
            <w:gridSpan w:val="2"/>
            <w:shd w:val="clear" w:color="auto" w:fill="D6F3E8"/>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Earnings per share from discontinued operations</w:t>
            </w:r>
          </w:p>
        </w:tc>
        <w:tc>
          <w:tcPr>
            <w:tcW w:w="26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50"/>
        </w:trPr>
        <w:tc>
          <w:tcPr>
            <w:tcW w:w="5280" w:type="dxa"/>
            <w:vAlign w:val="bottom"/>
            <w:tcBorders>
              <w:bottom w:val="single" w:sz="8" w:color="D6F3E8"/>
            </w:tcBorders>
            <w:shd w:val="clear" w:color="auto" w:fill="D6F3E8"/>
          </w:tcPr>
          <w:p>
            <w:pPr>
              <w:ind w:left="180"/>
              <w:spacing w:after="0"/>
              <w:rPr>
                <w:sz w:val="20"/>
                <w:szCs w:val="20"/>
                <w:color w:val="auto"/>
              </w:rPr>
            </w:pPr>
            <w:r>
              <w:rPr>
                <w:rFonts w:ascii="Arial" w:cs="Arial" w:eastAsia="Arial" w:hAnsi="Arial"/>
                <w:sz w:val="18"/>
                <w:szCs w:val="18"/>
                <w:color w:val="auto"/>
              </w:rPr>
              <w:t>Diluted earnings per share</w:t>
            </w:r>
          </w:p>
        </w:tc>
        <w:tc>
          <w:tcPr>
            <w:tcW w:w="260" w:type="dxa"/>
            <w:vAlign w:val="bottom"/>
            <w:tcBorders>
              <w:top w:val="single" w:sz="8" w:color="auto"/>
              <w:bottom w:val="single" w:sz="8" w:color="auto"/>
            </w:tcBorders>
            <w:shd w:val="clear" w:color="auto" w:fill="D6F3E8"/>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0.41</w:t>
            </w:r>
          </w:p>
        </w:tc>
        <w:tc>
          <w:tcPr>
            <w:tcW w:w="360" w:type="dxa"/>
            <w:vAlign w:val="bottom"/>
            <w:tcBorders>
              <w:bottom w:val="single" w:sz="8" w:color="D6F3E8"/>
            </w:tcBorders>
            <w:shd w:val="clear" w:color="auto" w:fill="D6F3E8"/>
          </w:tcPr>
          <w:p>
            <w:pPr>
              <w:spacing w:after="0"/>
              <w:rPr>
                <w:sz w:val="21"/>
                <w:szCs w:val="21"/>
                <w:color w:val="auto"/>
              </w:rPr>
            </w:pPr>
          </w:p>
        </w:tc>
        <w:tc>
          <w:tcPr>
            <w:tcW w:w="340" w:type="dxa"/>
            <w:vAlign w:val="bottom"/>
            <w:tcBorders>
              <w:top w:val="single" w:sz="8" w:color="auto"/>
              <w:bottom w:val="single" w:sz="8" w:color="auto"/>
            </w:tcBorders>
            <w:shd w:val="clear" w:color="auto" w:fill="D6F3E8"/>
          </w:tcPr>
          <w:p>
            <w:pPr>
              <w:jc w:val="right"/>
              <w:ind w:right="1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0.54</w:t>
            </w:r>
          </w:p>
        </w:tc>
        <w:tc>
          <w:tcPr>
            <w:tcW w:w="320" w:type="dxa"/>
            <w:vAlign w:val="bottom"/>
            <w:tcBorders>
              <w:bottom w:val="single" w:sz="8" w:color="D6F3E8"/>
            </w:tcBorders>
            <w:shd w:val="clear" w:color="auto" w:fill="D6F3E8"/>
          </w:tcPr>
          <w:p>
            <w:pPr>
              <w:spacing w:after="0"/>
              <w:rPr>
                <w:sz w:val="21"/>
                <w:szCs w:val="21"/>
                <w:color w:val="auto"/>
              </w:rPr>
            </w:pPr>
          </w:p>
        </w:tc>
        <w:tc>
          <w:tcPr>
            <w:tcW w:w="280" w:type="dxa"/>
            <w:vAlign w:val="bottom"/>
            <w:tcBorders>
              <w:top w:val="single" w:sz="8" w:color="auto"/>
              <w:bottom w:val="single" w:sz="8" w:color="auto"/>
            </w:tcBorders>
            <w:shd w:val="clear" w:color="auto" w:fill="D6F3E8"/>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1.78</w:t>
            </w:r>
          </w:p>
        </w:tc>
        <w:tc>
          <w:tcPr>
            <w:tcW w:w="200" w:type="dxa"/>
            <w:vAlign w:val="bottom"/>
            <w:tcBorders>
              <w:bottom w:val="single" w:sz="8" w:color="D6F3E8"/>
            </w:tcBorders>
            <w:shd w:val="clear" w:color="auto" w:fill="D6F3E8"/>
          </w:tcPr>
          <w:p>
            <w:pPr>
              <w:spacing w:after="0"/>
              <w:rPr>
                <w:sz w:val="21"/>
                <w:szCs w:val="21"/>
                <w:color w:val="auto"/>
              </w:rPr>
            </w:pPr>
          </w:p>
        </w:tc>
        <w:tc>
          <w:tcPr>
            <w:tcW w:w="120" w:type="dxa"/>
            <w:vAlign w:val="bottom"/>
            <w:tcBorders>
              <w:bottom w:val="single" w:sz="8" w:color="D6F3E8"/>
            </w:tcBorders>
            <w:shd w:val="clear" w:color="auto" w:fill="D6F3E8"/>
          </w:tcPr>
          <w:p>
            <w:pPr>
              <w:spacing w:after="0"/>
              <w:rPr>
                <w:sz w:val="21"/>
                <w:szCs w:val="21"/>
                <w:color w:val="auto"/>
              </w:rPr>
            </w:pPr>
          </w:p>
        </w:tc>
        <w:tc>
          <w:tcPr>
            <w:tcW w:w="360" w:type="dxa"/>
            <w:vAlign w:val="bottom"/>
            <w:tcBorders>
              <w:top w:val="single" w:sz="8" w:color="auto"/>
              <w:bottom w:val="single" w:sz="8" w:color="auto"/>
            </w:tcBorders>
            <w:shd w:val="clear" w:color="auto" w:fill="D6F3E8"/>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D6F3E8"/>
            </w:tcBorders>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440"/>
        </w:trPr>
        <w:tc>
          <w:tcPr>
            <w:tcW w:w="5280" w:type="dxa"/>
            <w:vAlign w:val="bottom"/>
          </w:tcPr>
          <w:p>
            <w:pPr>
              <w:spacing w:after="0"/>
              <w:rPr>
                <w:sz w:val="20"/>
                <w:szCs w:val="20"/>
                <w:color w:val="auto"/>
              </w:rPr>
            </w:pPr>
            <w:r>
              <w:rPr>
                <w:rFonts w:ascii="Arial" w:cs="Arial" w:eastAsia="Arial" w:hAnsi="Arial"/>
                <w:sz w:val="18"/>
                <w:szCs w:val="18"/>
                <w:color w:val="auto"/>
              </w:rPr>
              <w:t>Cash dividends declared per common share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0.40</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392430</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2019-12-10T00:55:26Z</dcterms:created>
  <dcterms:modified xsi:type="dcterms:W3CDTF">2019-12-10T00:55:26Z</dcterms:modified>
</cp:coreProperties>
</file>