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8720" w:type="dxa"/>
            <w:vAlign w:val="bottom"/>
          </w:tcPr>
          <w:p>
            <w:pPr>
              <w:spacing w:after="0"/>
              <w:rPr>
                <w:sz w:val="24"/>
                <w:szCs w:val="24"/>
                <w:color w:val="auto"/>
              </w:rPr>
            </w:pPr>
          </w:p>
        </w:tc>
        <w:tc>
          <w:tcPr>
            <w:tcW w:w="2480" w:type="dxa"/>
            <w:vAlign w:val="bottom"/>
            <w:tcBorders>
              <w:top w:val="single" w:sz="8" w:color="auto"/>
              <w:left w:val="single" w:sz="8" w:color="auto"/>
              <w:right w:val="single" w:sz="8" w:color="auto"/>
            </w:tcBorders>
            <w:gridSpan w:val="2"/>
          </w:tcPr>
          <w:p>
            <w:pPr>
              <w:ind w:left="5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6"/>
        </w:trPr>
        <w:tc>
          <w:tcPr>
            <w:tcW w:w="8720" w:type="dxa"/>
            <w:vAlign w:val="bottom"/>
            <w:vMerge w:val="restart"/>
          </w:tcPr>
          <w:p>
            <w:pPr>
              <w:jc w:val="center"/>
              <w:ind w:left="1738"/>
              <w:spacing w:after="0"/>
              <w:rPr>
                <w:sz w:val="20"/>
                <w:szCs w:val="20"/>
                <w:color w:val="auto"/>
              </w:rPr>
            </w:pPr>
            <w:r>
              <w:rPr>
                <w:rFonts w:ascii="Arial" w:cs="Arial" w:eastAsia="Arial" w:hAnsi="Arial"/>
                <w:sz w:val="18"/>
                <w:szCs w:val="18"/>
                <w:b w:val="1"/>
                <w:bCs w:val="1"/>
                <w:color w:val="auto"/>
                <w:w w:val="96"/>
              </w:rPr>
              <w:t>UNITED STATES</w:t>
            </w:r>
          </w:p>
        </w:tc>
        <w:tc>
          <w:tcPr>
            <w:tcW w:w="138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8720" w:type="dxa"/>
            <w:vAlign w:val="bottom"/>
            <w:vMerge w:val="continue"/>
          </w:tcPr>
          <w:p>
            <w:pPr>
              <w:spacing w:after="0"/>
              <w:rPr>
                <w:sz w:val="16"/>
                <w:szCs w:val="16"/>
                <w:color w:val="auto"/>
              </w:rPr>
            </w:pPr>
          </w:p>
        </w:tc>
        <w:tc>
          <w:tcPr>
            <w:tcW w:w="1380" w:type="dxa"/>
            <w:vAlign w:val="bottom"/>
            <w:tcBorders>
              <w:left w:val="single" w:sz="8" w:color="auto"/>
            </w:tcBorders>
          </w:tcPr>
          <w:p>
            <w:pPr>
              <w:ind w:left="120"/>
              <w:spacing w:after="0" w:line="195" w:lineRule="exact"/>
              <w:rPr>
                <w:sz w:val="20"/>
                <w:szCs w:val="20"/>
                <w:color w:val="auto"/>
              </w:rPr>
            </w:pPr>
            <w:r>
              <w:rPr>
                <w:rFonts w:ascii="Arial" w:cs="Arial" w:eastAsia="Arial" w:hAnsi="Arial"/>
                <w:sz w:val="18"/>
                <w:szCs w:val="18"/>
                <w:color w:val="auto"/>
              </w:rPr>
              <w:t>OMB Number:</w:t>
            </w:r>
          </w:p>
        </w:tc>
        <w:tc>
          <w:tcPr>
            <w:tcW w:w="1100" w:type="dxa"/>
            <w:vAlign w:val="bottom"/>
            <w:tcBorders>
              <w:right w:val="single" w:sz="8" w:color="auto"/>
            </w:tcBorders>
          </w:tcPr>
          <w:p>
            <w:pPr>
              <w:jc w:val="right"/>
              <w:ind w:right="52"/>
              <w:spacing w:after="0" w:line="195" w:lineRule="exact"/>
              <w:rPr>
                <w:sz w:val="20"/>
                <w:szCs w:val="20"/>
                <w:color w:val="auto"/>
              </w:rPr>
            </w:pPr>
            <w:r>
              <w:rPr>
                <w:rFonts w:ascii="Arial" w:cs="Arial" w:eastAsia="Arial" w:hAnsi="Arial"/>
                <w:sz w:val="18"/>
                <w:szCs w:val="18"/>
                <w:color w:val="auto"/>
              </w:rPr>
              <w:t>3235-0145</w:t>
            </w:r>
          </w:p>
        </w:tc>
        <w:tc>
          <w:tcPr>
            <w:tcW w:w="0" w:type="dxa"/>
            <w:vAlign w:val="bottom"/>
          </w:tcPr>
          <w:p>
            <w:pPr>
              <w:spacing w:after="0"/>
              <w:rPr>
                <w:sz w:val="1"/>
                <w:szCs w:val="1"/>
                <w:color w:val="auto"/>
              </w:rPr>
            </w:pPr>
          </w:p>
        </w:tc>
      </w:tr>
      <w:tr>
        <w:trPr>
          <w:trHeight w:val="216"/>
        </w:trPr>
        <w:tc>
          <w:tcPr>
            <w:tcW w:w="8720" w:type="dxa"/>
            <w:vAlign w:val="bottom"/>
          </w:tcPr>
          <w:p>
            <w:pPr>
              <w:jc w:val="center"/>
              <w:ind w:left="1738"/>
              <w:spacing w:after="0"/>
              <w:rPr>
                <w:sz w:val="20"/>
                <w:szCs w:val="20"/>
                <w:color w:val="auto"/>
              </w:rPr>
            </w:pPr>
            <w:r>
              <w:rPr>
                <w:rFonts w:ascii="Arial" w:cs="Arial" w:eastAsia="Arial" w:hAnsi="Arial"/>
                <w:sz w:val="18"/>
                <w:szCs w:val="18"/>
                <w:b w:val="1"/>
                <w:bCs w:val="1"/>
                <w:color w:val="auto"/>
                <w:w w:val="98"/>
              </w:rPr>
              <w:t>SECURITIES AND EXCHANGE COMMISSION</w:t>
            </w:r>
          </w:p>
        </w:tc>
        <w:tc>
          <w:tcPr>
            <w:tcW w:w="24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Expires:   December 31, 2005</w:t>
            </w:r>
          </w:p>
        </w:tc>
        <w:tc>
          <w:tcPr>
            <w:tcW w:w="0" w:type="dxa"/>
            <w:vAlign w:val="bottom"/>
          </w:tcPr>
          <w:p>
            <w:pPr>
              <w:spacing w:after="0"/>
              <w:rPr>
                <w:sz w:val="1"/>
                <w:szCs w:val="1"/>
                <w:color w:val="auto"/>
              </w:rPr>
            </w:pPr>
          </w:p>
        </w:tc>
      </w:tr>
      <w:tr>
        <w:trPr>
          <w:trHeight w:val="222"/>
        </w:trPr>
        <w:tc>
          <w:tcPr>
            <w:tcW w:w="8720" w:type="dxa"/>
            <w:vAlign w:val="bottom"/>
          </w:tcPr>
          <w:p>
            <w:pPr>
              <w:jc w:val="center"/>
              <w:ind w:left="1758"/>
              <w:spacing w:after="0"/>
              <w:rPr>
                <w:sz w:val="20"/>
                <w:szCs w:val="20"/>
                <w:color w:val="auto"/>
              </w:rPr>
            </w:pPr>
            <w:r>
              <w:rPr>
                <w:rFonts w:ascii="Arial" w:cs="Arial" w:eastAsia="Arial" w:hAnsi="Arial"/>
                <w:sz w:val="18"/>
                <w:szCs w:val="18"/>
                <w:b w:val="1"/>
                <w:bCs w:val="1"/>
                <w:color w:val="auto"/>
                <w:w w:val="88"/>
              </w:rPr>
              <w:t>Washington, D.C. 20549</w:t>
            </w:r>
          </w:p>
        </w:tc>
        <w:tc>
          <w:tcPr>
            <w:tcW w:w="24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22"/>
        </w:trPr>
        <w:tc>
          <w:tcPr>
            <w:tcW w:w="8720" w:type="dxa"/>
            <w:vAlign w:val="bottom"/>
          </w:tcPr>
          <w:p>
            <w:pPr>
              <w:spacing w:after="0"/>
              <w:rPr>
                <w:sz w:val="19"/>
                <w:szCs w:val="19"/>
                <w:color w:val="auto"/>
              </w:rPr>
            </w:pPr>
          </w:p>
        </w:tc>
        <w:tc>
          <w:tcPr>
            <w:tcW w:w="2480" w:type="dxa"/>
            <w:vAlign w:val="bottom"/>
            <w:tcBorders>
              <w:left w:val="single" w:sz="8" w:color="auto"/>
              <w:right w:val="single" w:sz="8" w:color="auto"/>
            </w:tcBorders>
            <w:gridSpan w:val="2"/>
          </w:tcPr>
          <w:p>
            <w:pPr>
              <w:ind w:left="120"/>
              <w:spacing w:after="0"/>
              <w:rPr>
                <w:sz w:val="20"/>
                <w:szCs w:val="20"/>
                <w:color w:val="auto"/>
              </w:rPr>
            </w:pPr>
            <w:r>
              <w:rPr>
                <w:rFonts w:ascii="Arial" w:cs="Arial" w:eastAsia="Arial" w:hAnsi="Arial"/>
                <w:sz w:val="18"/>
                <w:szCs w:val="18"/>
                <w:color w:val="auto"/>
                <w:w w:val="94"/>
              </w:rPr>
              <w:t>hours per response..............11</w:t>
            </w:r>
          </w:p>
        </w:tc>
        <w:tc>
          <w:tcPr>
            <w:tcW w:w="0" w:type="dxa"/>
            <w:vAlign w:val="bottom"/>
          </w:tcPr>
          <w:p>
            <w:pPr>
              <w:spacing w:after="0"/>
              <w:rPr>
                <w:sz w:val="1"/>
                <w:szCs w:val="1"/>
                <w:color w:val="auto"/>
              </w:rPr>
            </w:pPr>
          </w:p>
        </w:tc>
      </w:tr>
      <w:tr>
        <w:trPr>
          <w:trHeight w:val="56"/>
        </w:trPr>
        <w:tc>
          <w:tcPr>
            <w:tcW w:w="8720" w:type="dxa"/>
            <w:vAlign w:val="bottom"/>
            <w:vMerge w:val="restart"/>
          </w:tcPr>
          <w:p>
            <w:pPr>
              <w:jc w:val="center"/>
              <w:ind w:left="1758"/>
              <w:spacing w:after="0"/>
              <w:rPr>
                <w:sz w:val="20"/>
                <w:szCs w:val="20"/>
                <w:color w:val="auto"/>
              </w:rPr>
            </w:pPr>
            <w:r>
              <w:rPr>
                <w:rFonts w:ascii="Arial" w:cs="Arial" w:eastAsia="Arial" w:hAnsi="Arial"/>
                <w:sz w:val="18"/>
                <w:szCs w:val="18"/>
                <w:b w:val="1"/>
                <w:bCs w:val="1"/>
                <w:color w:val="auto"/>
                <w:w w:val="95"/>
              </w:rPr>
              <w:t>SCHEDULE 13G</w:t>
            </w:r>
          </w:p>
        </w:tc>
        <w:tc>
          <w:tcPr>
            <w:tcW w:w="1380" w:type="dxa"/>
            <w:vAlign w:val="bottom"/>
            <w:tcBorders>
              <w:left w:val="single" w:sz="8" w:color="auto"/>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06"/>
        </w:trPr>
        <w:tc>
          <w:tcPr>
            <w:tcW w:w="87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jc w:val="center"/>
              <w:ind w:left="1758"/>
              <w:spacing w:after="0"/>
              <w:rPr>
                <w:sz w:val="20"/>
                <w:szCs w:val="20"/>
                <w:color w:val="auto"/>
              </w:rPr>
            </w:pPr>
            <w:r>
              <w:rPr>
                <w:rFonts w:ascii="Arial" w:cs="Arial" w:eastAsia="Arial" w:hAnsi="Arial"/>
                <w:sz w:val="18"/>
                <w:szCs w:val="18"/>
                <w:b w:val="1"/>
                <w:bCs w:val="1"/>
                <w:color w:val="auto"/>
                <w:w w:val="87"/>
              </w:rPr>
              <w:t>Under the Securities Exchange Act of 1934</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720" w:type="dxa"/>
            <w:vAlign w:val="bottom"/>
          </w:tcPr>
          <w:p>
            <w:pPr>
              <w:jc w:val="center"/>
              <w:ind w:left="1738"/>
              <w:spacing w:after="0"/>
              <w:rPr>
                <w:sz w:val="20"/>
                <w:szCs w:val="20"/>
                <w:color w:val="auto"/>
              </w:rPr>
            </w:pPr>
            <w:r>
              <w:rPr>
                <w:rFonts w:ascii="Arial" w:cs="Arial" w:eastAsia="Arial" w:hAnsi="Arial"/>
                <w:sz w:val="18"/>
                <w:szCs w:val="18"/>
                <w:b w:val="1"/>
                <w:bCs w:val="1"/>
                <w:color w:val="auto"/>
                <w:w w:val="91"/>
              </w:rPr>
              <w:t>(Amendment No. 14)*</w:t>
            </w: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7"/>
        </w:trPr>
        <w:tc>
          <w:tcPr>
            <w:tcW w:w="8720" w:type="dxa"/>
            <w:vAlign w:val="bottom"/>
          </w:tcPr>
          <w:p>
            <w:pPr>
              <w:jc w:val="center"/>
              <w:ind w:left="1738"/>
              <w:spacing w:after="0"/>
              <w:rPr>
                <w:sz w:val="20"/>
                <w:szCs w:val="20"/>
                <w:color w:val="auto"/>
              </w:rPr>
            </w:pPr>
            <w:r>
              <w:rPr>
                <w:rFonts w:ascii="Arial" w:cs="Arial" w:eastAsia="Arial" w:hAnsi="Arial"/>
                <w:sz w:val="18"/>
                <w:szCs w:val="18"/>
                <w:color w:val="auto"/>
                <w:w w:val="91"/>
              </w:rPr>
              <w:t>Hawkins, Inc.</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8720" w:type="dxa"/>
            <w:vAlign w:val="bottom"/>
          </w:tcPr>
          <w:p>
            <w:pPr>
              <w:jc w:val="center"/>
              <w:ind w:left="1758"/>
              <w:spacing w:after="0"/>
              <w:rPr>
                <w:sz w:val="20"/>
                <w:szCs w:val="20"/>
                <w:color w:val="auto"/>
              </w:rPr>
            </w:pPr>
            <w:r>
              <w:rPr>
                <w:rFonts w:ascii="Arial" w:cs="Arial" w:eastAsia="Arial" w:hAnsi="Arial"/>
                <w:sz w:val="14"/>
                <w:szCs w:val="14"/>
                <w:color w:val="auto"/>
                <w:w w:val="88"/>
              </w:rPr>
              <w:t>(Name of Issuer)</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8720" w:type="dxa"/>
            <w:vAlign w:val="bottom"/>
          </w:tcPr>
          <w:p>
            <w:pPr>
              <w:jc w:val="center"/>
              <w:ind w:left="1738"/>
              <w:spacing w:after="0"/>
              <w:rPr>
                <w:sz w:val="20"/>
                <w:szCs w:val="20"/>
                <w:color w:val="auto"/>
              </w:rPr>
            </w:pPr>
            <w:r>
              <w:rPr>
                <w:rFonts w:ascii="Arial" w:cs="Arial" w:eastAsia="Arial" w:hAnsi="Arial"/>
                <w:sz w:val="18"/>
                <w:szCs w:val="18"/>
                <w:color w:val="auto"/>
                <w:w w:val="87"/>
              </w:rPr>
              <w:t>Common Stock, Par Value $.05 per share</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8720" w:type="dxa"/>
            <w:vAlign w:val="bottom"/>
          </w:tcPr>
          <w:p>
            <w:pPr>
              <w:jc w:val="center"/>
              <w:ind w:left="1758"/>
              <w:spacing w:after="0"/>
              <w:rPr>
                <w:sz w:val="20"/>
                <w:szCs w:val="20"/>
                <w:color w:val="auto"/>
              </w:rPr>
            </w:pPr>
            <w:r>
              <w:rPr>
                <w:rFonts w:ascii="Arial" w:cs="Arial" w:eastAsia="Arial" w:hAnsi="Arial"/>
                <w:sz w:val="14"/>
                <w:szCs w:val="14"/>
                <w:color w:val="auto"/>
                <w:w w:val="88"/>
              </w:rPr>
              <w:t>(Title of Class of Securities)</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8720" w:type="dxa"/>
            <w:vAlign w:val="bottom"/>
          </w:tcPr>
          <w:p>
            <w:pPr>
              <w:jc w:val="center"/>
              <w:ind w:left="1758"/>
              <w:spacing w:after="0"/>
              <w:rPr>
                <w:sz w:val="20"/>
                <w:szCs w:val="20"/>
                <w:color w:val="auto"/>
              </w:rPr>
            </w:pPr>
            <w:r>
              <w:rPr>
                <w:rFonts w:ascii="Arial" w:cs="Arial" w:eastAsia="Arial" w:hAnsi="Arial"/>
                <w:sz w:val="18"/>
                <w:szCs w:val="18"/>
                <w:color w:val="auto"/>
                <w:w w:val="87"/>
              </w:rPr>
              <w:t>420261 10 9</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720" w:type="dxa"/>
            <w:vAlign w:val="bottom"/>
          </w:tcPr>
          <w:p>
            <w:pPr>
              <w:jc w:val="center"/>
              <w:ind w:left="1738"/>
              <w:spacing w:after="0"/>
              <w:rPr>
                <w:sz w:val="20"/>
                <w:szCs w:val="20"/>
                <w:color w:val="auto"/>
              </w:rPr>
            </w:pPr>
            <w:r>
              <w:rPr>
                <w:rFonts w:ascii="Arial" w:cs="Arial" w:eastAsia="Arial" w:hAnsi="Arial"/>
                <w:sz w:val="14"/>
                <w:szCs w:val="14"/>
                <w:color w:val="auto"/>
                <w:w w:val="88"/>
              </w:rPr>
              <w:t>(CUSIP Number)</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8720" w:type="dxa"/>
            <w:vAlign w:val="bottom"/>
          </w:tcPr>
          <w:p>
            <w:pPr>
              <w:jc w:val="center"/>
              <w:ind w:left="1738"/>
              <w:spacing w:after="0"/>
              <w:rPr>
                <w:sz w:val="20"/>
                <w:szCs w:val="20"/>
                <w:color w:val="auto"/>
              </w:rPr>
            </w:pPr>
            <w:r>
              <w:rPr>
                <w:rFonts w:ascii="Arial" w:cs="Arial" w:eastAsia="Arial" w:hAnsi="Arial"/>
                <w:sz w:val="18"/>
                <w:szCs w:val="18"/>
                <w:color w:val="auto"/>
                <w:w w:val="87"/>
              </w:rPr>
              <w:t>December 31, 2007</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87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8720" w:type="dxa"/>
            <w:vAlign w:val="bottom"/>
          </w:tcPr>
          <w:p>
            <w:pPr>
              <w:jc w:val="center"/>
              <w:ind w:left="1738"/>
              <w:spacing w:after="0"/>
              <w:rPr>
                <w:sz w:val="20"/>
                <w:szCs w:val="20"/>
                <w:color w:val="auto"/>
              </w:rPr>
            </w:pPr>
            <w:r>
              <w:rPr>
                <w:rFonts w:ascii="Arial" w:cs="Arial" w:eastAsia="Arial" w:hAnsi="Arial"/>
                <w:sz w:val="14"/>
                <w:szCs w:val="14"/>
                <w:color w:val="auto"/>
                <w:w w:val="89"/>
              </w:rPr>
              <w:t>(Date of Event Which Requires Filing of this Statement)</w:t>
            </w:r>
          </w:p>
        </w:tc>
        <w:tc>
          <w:tcPr>
            <w:tcW w:w="1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ind w:left="1040" w:hanging="195"/>
        <w:spacing w:after="0"/>
        <w:tabs>
          <w:tab w:leader="none" w:pos="1040" w:val="left"/>
        </w:tabs>
        <w:numPr>
          <w:ilvl w:val="0"/>
          <w:numId w:val="1"/>
        </w:numPr>
        <w:rPr>
          <w:rFonts w:ascii="Arial" w:cs="Arial" w:eastAsia="Arial" w:hAnsi="Arial"/>
          <w:sz w:val="22"/>
          <w:szCs w:val="22"/>
          <w:color w:val="auto"/>
        </w:rPr>
      </w:pPr>
      <w:r>
        <w:rPr>
          <w:rFonts w:ascii="Arial" w:cs="Arial" w:eastAsia="Arial" w:hAnsi="Arial"/>
          <w:sz w:val="18"/>
          <w:szCs w:val="18"/>
          <w:color w:val="auto"/>
        </w:rPr>
        <w:t>Rule 13d-1(b)</w:t>
      </w:r>
    </w:p>
    <w:p>
      <w:pPr>
        <w:spacing w:after="0" w:line="206" w:lineRule="exact"/>
        <w:rPr>
          <w:sz w:val="24"/>
          <w:szCs w:val="24"/>
          <w:color w:val="auto"/>
        </w:rPr>
      </w:pPr>
    </w:p>
    <w:p>
      <w:pPr>
        <w:ind w:left="1040" w:hanging="195"/>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13d-1(c)</w:t>
      </w:r>
    </w:p>
    <w:p>
      <w:pPr>
        <w:spacing w:after="0" w:line="206" w:lineRule="exact"/>
        <w:rPr>
          <w:rFonts w:ascii="Arial" w:cs="Arial" w:eastAsia="Arial" w:hAnsi="Arial"/>
          <w:sz w:val="22"/>
          <w:szCs w:val="22"/>
          <w:color w:val="auto"/>
        </w:rPr>
      </w:pPr>
    </w:p>
    <w:p>
      <w:pPr>
        <w:ind w:left="1040" w:hanging="195"/>
        <w:spacing w:after="0"/>
        <w:tabs>
          <w:tab w:leader="none" w:pos="1040" w:val="left"/>
        </w:tabs>
        <w:numPr>
          <w:ilvl w:val="0"/>
          <w:numId w:val="2"/>
        </w:numPr>
        <w:rPr>
          <w:rFonts w:ascii="Arial" w:cs="Arial" w:eastAsia="Arial" w:hAnsi="Arial"/>
          <w:sz w:val="22"/>
          <w:szCs w:val="22"/>
          <w:color w:val="auto"/>
        </w:rPr>
      </w:pPr>
      <w:r>
        <w:rPr>
          <w:rFonts w:ascii="Arial" w:cs="Arial" w:eastAsia="Arial" w:hAnsi="Arial"/>
          <w:sz w:val="18"/>
          <w:szCs w:val="18"/>
          <w:color w:val="auto"/>
        </w:rPr>
        <w:t>Rule 13d-1(d)</w:t>
      </w:r>
    </w:p>
    <w:p>
      <w:pPr>
        <w:spacing w:after="0" w:line="21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0"/>
        <w:spacing w:after="0" w:line="33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Potential persons who are to respond to the collection of information contained in this form are not required to respond unless the form displays a currently valid OMB control number.</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 1745 (2-02)</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tbl>
      <w:tblPr>
        <w:tblLayout w:type="fixed"/>
        <w:tblInd w:w="10" w:type="dxa"/>
        <w:tblCellMar>
          <w:top w:w="0" w:type="dxa"/>
          <w:left w:w="0" w:type="dxa"/>
          <w:bottom w:w="0" w:type="dxa"/>
          <w:right w:w="0" w:type="dxa"/>
        </w:tblCellMar>
      </w:tblPr>
      <w:tr>
        <w:trPr>
          <w:trHeight w:val="248"/>
        </w:trPr>
        <w:tc>
          <w:tcPr>
            <w:tcW w:w="366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CUSIP No.</w:t>
            </w:r>
          </w:p>
        </w:tc>
        <w:tc>
          <w:tcPr>
            <w:tcW w:w="1820" w:type="dxa"/>
            <w:vAlign w:val="bottom"/>
          </w:tcPr>
          <w:p>
            <w:pPr>
              <w:ind w:left="1500"/>
              <w:spacing w:after="0"/>
              <w:rPr>
                <w:sz w:val="20"/>
                <w:szCs w:val="20"/>
                <w:color w:val="auto"/>
              </w:rPr>
            </w:pPr>
            <w:r>
              <w:rPr>
                <w:rFonts w:ascii="Arial" w:cs="Arial" w:eastAsia="Arial" w:hAnsi="Arial"/>
                <w:sz w:val="18"/>
                <w:szCs w:val="18"/>
                <w:b w:val="1"/>
                <w:bCs w:val="1"/>
                <w:color w:val="auto"/>
                <w:w w:val="88"/>
              </w:rPr>
              <w:t>13G</w:t>
            </w:r>
          </w:p>
        </w:tc>
        <w:tc>
          <w:tcPr>
            <w:tcW w:w="0" w:type="dxa"/>
            <w:vAlign w:val="bottom"/>
          </w:tcPr>
          <w:p>
            <w:pPr>
              <w:spacing w:after="0"/>
              <w:rPr>
                <w:sz w:val="1"/>
                <w:szCs w:val="1"/>
                <w:color w:val="auto"/>
              </w:rPr>
            </w:pPr>
          </w:p>
        </w:tc>
      </w:tr>
      <w:tr>
        <w:trPr>
          <w:trHeight w:val="60"/>
        </w:trPr>
        <w:tc>
          <w:tcPr>
            <w:tcW w:w="3660" w:type="dxa"/>
            <w:vAlign w:val="bottom"/>
            <w:tcBorders>
              <w:left w:val="single" w:sz="8" w:color="auto"/>
              <w:right w:val="single" w:sz="8" w:color="auto"/>
            </w:tcBorders>
            <w:vMerge w:val="continue"/>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3660" w:type="dxa"/>
            <w:vAlign w:val="bottom"/>
            <w:tcBorders>
              <w:left w:val="single" w:sz="8" w:color="auto"/>
              <w:bottom w:val="single" w:sz="8" w:color="auto"/>
              <w:right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26605" cy="2480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2480310"/>
                    </a:xfrm>
                    <a:prstGeom prst="rect">
                      <a:avLst/>
                    </a:prstGeom>
                    <a:noFill/>
                  </pic:spPr>
                </pic:pic>
              </a:graphicData>
            </a:graphic>
          </wp:anchor>
        </w:drawing>
      </w:r>
    </w:p>
    <w:p>
      <w:pPr>
        <w:spacing w:after="0" w:line="282" w:lineRule="exact"/>
        <w:rPr>
          <w:sz w:val="24"/>
          <w:szCs w:val="24"/>
          <w:color w:val="auto"/>
        </w:rPr>
      </w:pPr>
    </w:p>
    <w:p>
      <w:pPr>
        <w:ind w:left="540" w:hanging="367"/>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NOS. OF ABOVE PERSONS (ENTITIES ONLY).</w:t>
      </w:r>
    </w:p>
    <w:p>
      <w:pPr>
        <w:spacing w:after="0" w:line="21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Hawkins, Inc. Employee Stock Ownership Plan and Trust</w:t>
      </w:r>
    </w:p>
    <w:p>
      <w:pPr>
        <w:spacing w:after="0" w:line="15" w:lineRule="exact"/>
        <w:rPr>
          <w:sz w:val="24"/>
          <w:szCs w:val="24"/>
          <w:color w:val="auto"/>
        </w:rPr>
      </w:pPr>
    </w:p>
    <w:p>
      <w:pPr>
        <w:ind w:left="540"/>
        <w:spacing w:after="0"/>
        <w:rPr>
          <w:sz w:val="20"/>
          <w:szCs w:val="20"/>
          <w:color w:val="auto"/>
        </w:rPr>
      </w:pPr>
      <w:r>
        <w:rPr>
          <w:rFonts w:ascii="Arial" w:cs="Arial" w:eastAsia="Arial" w:hAnsi="Arial"/>
          <w:sz w:val="18"/>
          <w:szCs w:val="18"/>
          <w:color w:val="auto"/>
        </w:rPr>
        <w:t>(a) 41-0771293</w:t>
      </w:r>
    </w:p>
    <w:p>
      <w:pPr>
        <w:ind w:left="540" w:hanging="367"/>
        <w:spacing w:after="0" w:line="213" w:lineRule="auto"/>
        <w:tabs>
          <w:tab w:leader="none" w:pos="540" w:val="left"/>
        </w:tabs>
        <w:numPr>
          <w:ilvl w:val="0"/>
          <w:numId w:val="4"/>
        </w:numPr>
        <w:rPr>
          <w:rFonts w:ascii="Arial" w:cs="Arial" w:eastAsia="Arial" w:hAnsi="Arial"/>
          <w:sz w:val="35"/>
          <w:szCs w:val="35"/>
          <w:b w:val="1"/>
          <w:bCs w:val="1"/>
          <w:color w:val="auto"/>
          <w:vertAlign w:val="superscript"/>
        </w:rPr>
      </w:pPr>
      <w:r>
        <w:rPr>
          <w:rFonts w:ascii="Arial" w:cs="Arial" w:eastAsia="Arial" w:hAnsi="Arial"/>
          <w:sz w:val="18"/>
          <w:szCs w:val="18"/>
          <w:color w:val="auto"/>
        </w:rPr>
        <w:t>CHECK THE APPROPRIATE BOX IF A MEMBER OF A GROUP</w:t>
      </w:r>
      <w:r>
        <w:rPr>
          <w:rFonts w:ascii="Arial" w:cs="Arial" w:eastAsia="Arial" w:hAnsi="Arial"/>
          <w:sz w:val="29"/>
          <w:szCs w:val="29"/>
          <w:color w:val="auto"/>
          <w:vertAlign w:val="superscript"/>
        </w:rPr>
        <w:t>*</w:t>
      </w:r>
    </w:p>
    <w:p>
      <w:pPr>
        <w:spacing w:after="0" w:line="2" w:lineRule="exact"/>
        <w:rPr>
          <w:sz w:val="24"/>
          <w:szCs w:val="24"/>
          <w:color w:val="auto"/>
        </w:rPr>
      </w:pPr>
    </w:p>
    <w:p>
      <w:pPr>
        <w:ind w:left="1070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21"/>
          <w:szCs w:val="21"/>
          <w:color w:val="auto"/>
        </w:rPr>
        <w:t>o</w:t>
      </w:r>
    </w:p>
    <w:p>
      <w:pPr>
        <w:spacing w:after="0" w:line="200" w:lineRule="exact"/>
        <w:rPr>
          <w:sz w:val="24"/>
          <w:szCs w:val="24"/>
          <w:color w:val="auto"/>
        </w:rPr>
      </w:pPr>
    </w:p>
    <w:p>
      <w:pPr>
        <w:ind w:left="1070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21"/>
          <w:szCs w:val="21"/>
          <w:color w:val="auto"/>
        </w:rPr>
        <w:t>o</w:t>
      </w:r>
    </w:p>
    <w:p>
      <w:pPr>
        <w:spacing w:after="0" w:line="163" w:lineRule="exact"/>
        <w:rPr>
          <w:sz w:val="24"/>
          <w:szCs w:val="24"/>
          <w:color w:val="auto"/>
        </w:rPr>
      </w:pPr>
    </w:p>
    <w:p>
      <w:pPr>
        <w:ind w:left="540" w:hanging="367"/>
        <w:spacing w:after="0"/>
        <w:tabs>
          <w:tab w:leader="none" w:pos="5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322" w:lineRule="exact"/>
        <w:rPr>
          <w:sz w:val="24"/>
          <w:szCs w:val="24"/>
          <w:color w:val="auto"/>
        </w:rPr>
      </w:pPr>
    </w:p>
    <w:p>
      <w:pPr>
        <w:ind w:left="540" w:right="7300" w:hanging="367"/>
        <w:spacing w:after="0" w:line="548" w:lineRule="auto"/>
        <w:tabs>
          <w:tab w:leader="none" w:pos="5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 Minnesota</w:t>
      </w:r>
    </w:p>
    <w:p>
      <w:pPr>
        <w:sectPr>
          <w:pgSz w:w="11900" w:h="17037" w:orient="portrait"/>
          <w:cols w:equalWidth="0" w:num="1">
            <w:col w:w="11420"/>
          </w:cols>
          <w:pgMar w:left="240" w:top="444" w:right="239" w:bottom="0" w:gutter="0" w:footer="0" w:header="0"/>
        </w:sectPr>
      </w:pPr>
    </w:p>
    <w:bookmarkStart w:id="1" w:name="page2"/>
    <w:bookmarkEnd w:id="1"/>
    <w:tbl>
      <w:tblPr>
        <w:tblLayout w:type="fixed"/>
        <w:tblInd w:w="72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5</w:t>
            </w:r>
          </w:p>
        </w:tc>
        <w:tc>
          <w:tcPr>
            <w:tcW w:w="7820" w:type="dxa"/>
            <w:vAlign w:val="bottom"/>
          </w:tcPr>
          <w:p>
            <w:pPr>
              <w:ind w:left="2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38"/>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4"/>
              </w:rPr>
              <w:t>NUMBER OF</w:t>
            </w:r>
          </w:p>
        </w:tc>
        <w:tc>
          <w:tcPr>
            <w:tcW w:w="760" w:type="dxa"/>
            <w:vAlign w:val="bottom"/>
          </w:tcPr>
          <w:p>
            <w:pPr>
              <w:spacing w:after="0"/>
              <w:rPr>
                <w:sz w:val="24"/>
                <w:szCs w:val="24"/>
                <w:color w:val="auto"/>
              </w:rPr>
            </w:pPr>
          </w:p>
        </w:tc>
        <w:tc>
          <w:tcPr>
            <w:tcW w:w="7820" w:type="dxa"/>
            <w:vAlign w:val="bottom"/>
            <w:vMerge w:val="restart"/>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1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1"/>
              </w:rPr>
              <w:t>SHARES</w:t>
            </w:r>
          </w:p>
        </w:tc>
        <w:tc>
          <w:tcPr>
            <w:tcW w:w="76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940" w:type="dxa"/>
            <w:vAlign w:val="bottom"/>
            <w:vMerge w:val="continue"/>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6</w:t>
            </w:r>
          </w:p>
        </w:tc>
        <w:tc>
          <w:tcPr>
            <w:tcW w:w="7820" w:type="dxa"/>
            <w:vAlign w:val="bottom"/>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51"/>
        </w:trPr>
        <w:tc>
          <w:tcPr>
            <w:tcW w:w="1940" w:type="dxa"/>
            <w:vAlign w:val="bottom"/>
          </w:tcPr>
          <w:p>
            <w:pPr>
              <w:jc w:val="center"/>
              <w:ind w:right="612"/>
              <w:spacing w:after="0"/>
              <w:rPr>
                <w:sz w:val="20"/>
                <w:szCs w:val="20"/>
                <w:color w:val="auto"/>
              </w:rPr>
            </w:pPr>
            <w:r>
              <w:rPr>
                <w:rFonts w:ascii="Arial" w:cs="Arial" w:eastAsia="Arial" w:hAnsi="Arial"/>
                <w:sz w:val="18"/>
                <w:szCs w:val="18"/>
                <w:color w:val="auto"/>
                <w:w w:val="97"/>
              </w:rPr>
              <w:t>BENEFICIALLY</w:t>
            </w:r>
          </w:p>
        </w:tc>
        <w:tc>
          <w:tcPr>
            <w:tcW w:w="7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40" w:type="dxa"/>
            <w:vAlign w:val="bottom"/>
          </w:tcPr>
          <w:p>
            <w:pPr>
              <w:jc w:val="center"/>
              <w:ind w:right="632"/>
              <w:spacing w:after="0"/>
              <w:rPr>
                <w:sz w:val="20"/>
                <w:szCs w:val="20"/>
                <w:color w:val="auto"/>
              </w:rPr>
            </w:pPr>
            <w:r>
              <w:rPr>
                <w:rFonts w:ascii="Arial" w:cs="Arial" w:eastAsia="Arial" w:hAnsi="Arial"/>
                <w:sz w:val="18"/>
                <w:szCs w:val="18"/>
                <w:color w:val="auto"/>
                <w:w w:val="95"/>
              </w:rPr>
              <w:t>OWNED BY</w:t>
            </w:r>
          </w:p>
        </w:tc>
        <w:tc>
          <w:tcPr>
            <w:tcW w:w="760" w:type="dxa"/>
            <w:vAlign w:val="bottom"/>
          </w:tcPr>
          <w:p>
            <w:pPr>
              <w:spacing w:after="0"/>
              <w:rPr>
                <w:sz w:val="24"/>
                <w:szCs w:val="24"/>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1,533,810</w:t>
            </w:r>
          </w:p>
        </w:tc>
        <w:tc>
          <w:tcPr>
            <w:tcW w:w="0" w:type="dxa"/>
            <w:vAlign w:val="bottom"/>
          </w:tcPr>
          <w:p>
            <w:pPr>
              <w:spacing w:after="0"/>
              <w:rPr>
                <w:sz w:val="1"/>
                <w:szCs w:val="1"/>
                <w:color w:val="auto"/>
              </w:rPr>
            </w:pPr>
          </w:p>
        </w:tc>
      </w:tr>
      <w:tr>
        <w:trPr>
          <w:trHeight w:val="5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w w:val="95"/>
              </w:rPr>
              <w:t>EACH</w:t>
            </w:r>
          </w:p>
        </w:tc>
        <w:tc>
          <w:tcPr>
            <w:tcW w:w="76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940" w:type="dxa"/>
            <w:vAlign w:val="bottom"/>
            <w:vMerge w:val="continue"/>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7</w:t>
            </w:r>
          </w:p>
        </w:tc>
        <w:tc>
          <w:tcPr>
            <w:tcW w:w="7820" w:type="dxa"/>
            <w:vAlign w:val="bottom"/>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351"/>
        </w:trPr>
        <w:tc>
          <w:tcPr>
            <w:tcW w:w="1940" w:type="dxa"/>
            <w:vAlign w:val="bottom"/>
          </w:tcPr>
          <w:p>
            <w:pPr>
              <w:jc w:val="center"/>
              <w:ind w:right="612"/>
              <w:spacing w:after="0"/>
              <w:rPr>
                <w:sz w:val="20"/>
                <w:szCs w:val="20"/>
                <w:color w:val="auto"/>
              </w:rPr>
            </w:pPr>
            <w:r>
              <w:rPr>
                <w:rFonts w:ascii="Arial" w:cs="Arial" w:eastAsia="Arial" w:hAnsi="Arial"/>
                <w:sz w:val="18"/>
                <w:szCs w:val="18"/>
                <w:color w:val="auto"/>
                <w:w w:val="89"/>
              </w:rPr>
              <w:t>REPORTING</w:t>
            </w:r>
          </w:p>
        </w:tc>
        <w:tc>
          <w:tcPr>
            <w:tcW w:w="76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40" w:type="dxa"/>
            <w:vAlign w:val="bottom"/>
          </w:tcPr>
          <w:p>
            <w:pPr>
              <w:jc w:val="center"/>
              <w:ind w:right="612"/>
              <w:spacing w:after="0"/>
              <w:rPr>
                <w:sz w:val="20"/>
                <w:szCs w:val="20"/>
                <w:color w:val="auto"/>
              </w:rPr>
            </w:pPr>
            <w:r>
              <w:rPr>
                <w:rFonts w:ascii="Arial" w:cs="Arial" w:eastAsia="Arial" w:hAnsi="Arial"/>
                <w:sz w:val="18"/>
                <w:szCs w:val="18"/>
                <w:color w:val="auto"/>
                <w:w w:val="89"/>
              </w:rPr>
              <w:t>PERSON</w:t>
            </w:r>
          </w:p>
        </w:tc>
        <w:tc>
          <w:tcPr>
            <w:tcW w:w="760" w:type="dxa"/>
            <w:vAlign w:val="bottom"/>
          </w:tcPr>
          <w:p>
            <w:pPr>
              <w:spacing w:after="0"/>
              <w:rPr>
                <w:sz w:val="24"/>
                <w:szCs w:val="24"/>
                <w:color w:val="auto"/>
              </w:rPr>
            </w:pPr>
          </w:p>
        </w:tc>
        <w:tc>
          <w:tcPr>
            <w:tcW w:w="782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6"/>
        </w:trPr>
        <w:tc>
          <w:tcPr>
            <w:tcW w:w="1940" w:type="dxa"/>
            <w:vAlign w:val="bottom"/>
            <w:vMerge w:val="restart"/>
          </w:tcPr>
          <w:p>
            <w:pPr>
              <w:jc w:val="center"/>
              <w:ind w:right="612"/>
              <w:spacing w:after="0"/>
              <w:rPr>
                <w:sz w:val="20"/>
                <w:szCs w:val="20"/>
                <w:color w:val="auto"/>
              </w:rPr>
            </w:pPr>
            <w:r>
              <w:rPr>
                <w:rFonts w:ascii="Arial" w:cs="Arial" w:eastAsia="Arial" w:hAnsi="Arial"/>
                <w:sz w:val="18"/>
                <w:szCs w:val="18"/>
                <w:color w:val="auto"/>
              </w:rPr>
              <w:t>WITH:</w:t>
            </w:r>
          </w:p>
        </w:tc>
        <w:tc>
          <w:tcPr>
            <w:tcW w:w="760" w:type="dxa"/>
            <w:vAlign w:val="bottom"/>
            <w:tcBorders>
              <w:bottom w:val="single" w:sz="8" w:color="auto"/>
            </w:tcBorders>
          </w:tcPr>
          <w:p>
            <w:pPr>
              <w:spacing w:after="0"/>
              <w:rPr>
                <w:sz w:val="4"/>
                <w:szCs w:val="4"/>
                <w:color w:val="auto"/>
              </w:rPr>
            </w:pPr>
          </w:p>
        </w:tc>
        <w:tc>
          <w:tcPr>
            <w:tcW w:w="7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940" w:type="dxa"/>
            <w:vAlign w:val="bottom"/>
            <w:vMerge w:val="continue"/>
          </w:tcPr>
          <w:p>
            <w:pPr>
              <w:spacing w:after="0"/>
              <w:rPr>
                <w:sz w:val="24"/>
                <w:szCs w:val="24"/>
                <w:color w:val="auto"/>
              </w:rPr>
            </w:pPr>
          </w:p>
        </w:tc>
        <w:tc>
          <w:tcPr>
            <w:tcW w:w="760" w:type="dxa"/>
            <w:vAlign w:val="bottom"/>
          </w:tcPr>
          <w:p>
            <w:pPr>
              <w:jc w:val="right"/>
              <w:ind w:right="172"/>
              <w:spacing w:after="0"/>
              <w:rPr>
                <w:sz w:val="20"/>
                <w:szCs w:val="20"/>
                <w:color w:val="auto"/>
              </w:rPr>
            </w:pPr>
            <w:r>
              <w:rPr>
                <w:rFonts w:ascii="Arial" w:cs="Arial" w:eastAsia="Arial" w:hAnsi="Arial"/>
                <w:sz w:val="18"/>
                <w:szCs w:val="18"/>
                <w:b w:val="1"/>
                <w:bCs w:val="1"/>
                <w:color w:val="auto"/>
              </w:rPr>
              <w:t>8</w:t>
            </w:r>
          </w:p>
        </w:tc>
        <w:tc>
          <w:tcPr>
            <w:tcW w:w="782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126605" cy="44335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4433570"/>
                    </a:xfrm>
                    <a:prstGeom prst="rect">
                      <a:avLst/>
                    </a:prstGeom>
                    <a:noFill/>
                  </pic:spPr>
                </pic:pic>
              </a:graphicData>
            </a:graphic>
          </wp:anchor>
        </w:drawing>
      </w:r>
    </w:p>
    <w:p>
      <w:pPr>
        <w:ind w:left="3700"/>
        <w:spacing w:after="0"/>
        <w:rPr>
          <w:sz w:val="20"/>
          <w:szCs w:val="20"/>
          <w:color w:val="auto"/>
        </w:rPr>
      </w:pPr>
      <w:r>
        <w:rPr>
          <w:rFonts w:ascii="Arial" w:cs="Arial" w:eastAsia="Arial" w:hAnsi="Arial"/>
          <w:sz w:val="18"/>
          <w:szCs w:val="18"/>
          <w:color w:val="auto"/>
        </w:rPr>
        <w:t>1,533,810</w:t>
      </w:r>
    </w:p>
    <w:p>
      <w:pPr>
        <w:spacing w:after="0" w:line="158" w:lineRule="exact"/>
        <w:rPr>
          <w:sz w:val="20"/>
          <w:szCs w:val="20"/>
          <w:color w:val="auto"/>
        </w:rPr>
      </w:pPr>
    </w:p>
    <w:p>
      <w:pPr>
        <w:ind w:left="540" w:hanging="367"/>
        <w:spacing w:after="0"/>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1,533,810</w:t>
      </w:r>
    </w:p>
    <w:p>
      <w:pPr>
        <w:spacing w:after="0" w:line="145" w:lineRule="exact"/>
        <w:rPr>
          <w:sz w:val="20"/>
          <w:szCs w:val="20"/>
          <w:color w:val="auto"/>
        </w:rPr>
      </w:pPr>
    </w:p>
    <w:p>
      <w:pPr>
        <w:ind w:left="540" w:hanging="410"/>
        <w:spacing w:after="0"/>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(9) EXCLUDES CERTAIN SHARES </w:t>
      </w:r>
      <w:r>
        <w:rPr>
          <w:rFonts w:ascii="Arial" w:cs="Arial" w:eastAsia="Arial" w:hAnsi="Arial"/>
          <w:sz w:val="21"/>
          <w:szCs w:val="21"/>
          <w:color w:val="auto"/>
        </w:rPr>
        <w:t>o</w:t>
      </w:r>
    </w:p>
    <w:p>
      <w:pPr>
        <w:spacing w:after="0" w:line="200" w:lineRule="exact"/>
        <w:rPr>
          <w:rFonts w:ascii="Arial" w:cs="Arial" w:eastAsia="Arial" w:hAnsi="Arial"/>
          <w:sz w:val="18"/>
          <w:szCs w:val="18"/>
          <w:b w:val="1"/>
          <w:bCs w:val="1"/>
          <w:color w:val="auto"/>
        </w:rPr>
      </w:pPr>
    </w:p>
    <w:p>
      <w:pPr>
        <w:spacing w:after="0" w:line="327" w:lineRule="exact"/>
        <w:rPr>
          <w:rFonts w:ascii="Arial" w:cs="Arial" w:eastAsia="Arial" w:hAnsi="Arial"/>
          <w:sz w:val="18"/>
          <w:szCs w:val="18"/>
          <w:b w:val="1"/>
          <w:bCs w:val="1"/>
          <w:color w:val="auto"/>
        </w:rPr>
      </w:pPr>
    </w:p>
    <w:p>
      <w:pPr>
        <w:ind w:left="540" w:right="5760" w:hanging="406"/>
        <w:spacing w:after="0" w:line="458"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 15.0%</w:t>
      </w:r>
    </w:p>
    <w:p>
      <w:pPr>
        <w:spacing w:after="0" w:line="7" w:lineRule="exact"/>
        <w:rPr>
          <w:rFonts w:ascii="Arial" w:cs="Arial" w:eastAsia="Arial" w:hAnsi="Arial"/>
          <w:sz w:val="18"/>
          <w:szCs w:val="18"/>
          <w:b w:val="1"/>
          <w:bCs w:val="1"/>
          <w:color w:val="auto"/>
        </w:rPr>
      </w:pPr>
    </w:p>
    <w:p>
      <w:pPr>
        <w:ind w:left="540" w:right="8180" w:hanging="410"/>
        <w:spacing w:after="0" w:line="226" w:lineRule="auto"/>
        <w:tabs>
          <w:tab w:leader="none" w:pos="540" w:val="left"/>
        </w:tabs>
        <w:numPr>
          <w:ilvl w:val="0"/>
          <w:numId w:val="8"/>
        </w:numPr>
        <w:rPr>
          <w:rFonts w:ascii="Arial" w:cs="Arial" w:eastAsia="Arial" w:hAnsi="Arial"/>
          <w:sz w:val="35"/>
          <w:szCs w:val="35"/>
          <w:b w:val="1"/>
          <w:bCs w:val="1"/>
          <w:color w:val="auto"/>
          <w:vertAlign w:val="superscript"/>
        </w:rPr>
      </w:pPr>
      <w:r>
        <w:rPr>
          <w:rFonts w:ascii="Arial" w:cs="Arial" w:eastAsia="Arial" w:hAnsi="Arial"/>
          <w:sz w:val="18"/>
          <w:szCs w:val="18"/>
          <w:color w:val="auto"/>
        </w:rPr>
        <w:t>TYPE OF REPORTING PERSON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EP</w:t>
      </w:r>
    </w:p>
    <w:p>
      <w:pPr>
        <w:spacing w:after="0" w:line="59" w:lineRule="exact"/>
        <w:rPr>
          <w:sz w:val="20"/>
          <w:szCs w:val="20"/>
          <w:color w:val="auto"/>
        </w:rPr>
      </w:pPr>
    </w:p>
    <w:p>
      <w:pPr>
        <w:jc w:val="center"/>
        <w:ind w:right="-399"/>
        <w:spacing w:after="0"/>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SEE INSTRUCTION BEFORE FILLING OUT!</w:t>
      </w:r>
    </w:p>
    <w:p>
      <w:pPr>
        <w:spacing w:after="0" w:line="200" w:lineRule="exact"/>
        <w:rPr>
          <w:sz w:val="20"/>
          <w:szCs w:val="20"/>
          <w:color w:val="auto"/>
        </w:rPr>
      </w:pPr>
    </w:p>
    <w:p>
      <w:pPr>
        <w:spacing w:after="0" w:line="2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ind w:left="1140" w:right="9020" w:hanging="335"/>
        <w:spacing w:after="0" w:line="323" w:lineRule="auto"/>
        <w:tabs>
          <w:tab w:leader="none" w:pos="1133" w:val="left"/>
        </w:tabs>
        <w:numPr>
          <w:ilvl w:val="0"/>
          <w:numId w:val="9"/>
        </w:numPr>
        <w:rPr>
          <w:rFonts w:ascii="Arial" w:cs="Arial" w:eastAsia="Arial" w:hAnsi="Arial"/>
          <w:sz w:val="16"/>
          <w:szCs w:val="16"/>
          <w:color w:val="auto"/>
        </w:rPr>
      </w:pPr>
      <w:r>
        <w:rPr>
          <w:rFonts w:ascii="Arial" w:cs="Arial" w:eastAsia="Arial" w:hAnsi="Arial"/>
          <w:sz w:val="16"/>
          <w:szCs w:val="16"/>
          <w:color w:val="auto"/>
        </w:rPr>
        <w:t>Name of Issuer Hawkins, Inc.</w:t>
      </w:r>
    </w:p>
    <w:p>
      <w:pPr>
        <w:spacing w:after="0" w:line="146" w:lineRule="exact"/>
        <w:rPr>
          <w:rFonts w:ascii="Arial" w:cs="Arial" w:eastAsia="Arial" w:hAnsi="Arial"/>
          <w:sz w:val="16"/>
          <w:szCs w:val="16"/>
          <w:color w:val="auto"/>
        </w:rPr>
      </w:pPr>
    </w:p>
    <w:p>
      <w:pPr>
        <w:ind w:left="1140" w:right="6780" w:hanging="335"/>
        <w:spacing w:after="0" w:line="254"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Issuer's Principal Executive Offices 3100 East Hennepin Avenue</w:t>
      </w:r>
    </w:p>
    <w:p>
      <w:pPr>
        <w:ind w:left="1140"/>
        <w:spacing w:after="0"/>
        <w:rPr>
          <w:rFonts w:ascii="Arial" w:cs="Arial" w:eastAsia="Arial" w:hAnsi="Arial"/>
          <w:sz w:val="18"/>
          <w:szCs w:val="18"/>
          <w:color w:val="auto"/>
        </w:rPr>
      </w:pPr>
      <w:r>
        <w:rPr>
          <w:rFonts w:ascii="Arial" w:cs="Arial" w:eastAsia="Arial" w:hAnsi="Arial"/>
          <w:sz w:val="18"/>
          <w:szCs w:val="18"/>
          <w:color w:val="auto"/>
        </w:rPr>
        <w:t>Minneapolis, MN 55413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ind w:left="1140" w:hanging="335"/>
        <w:spacing w:after="0" w:line="180" w:lineRule="auto"/>
        <w:tabs>
          <w:tab w:leader="none" w:pos="1140" w:val="left"/>
        </w:tabs>
        <w:numPr>
          <w:ilvl w:val="0"/>
          <w:numId w:val="10"/>
        </w:numPr>
        <w:rPr>
          <w:rFonts w:ascii="Arial" w:cs="Arial" w:eastAsia="Arial" w:hAnsi="Arial"/>
          <w:sz w:val="33"/>
          <w:szCs w:val="33"/>
          <w:color w:val="auto"/>
          <w:vertAlign w:val="superscript"/>
        </w:rPr>
      </w:pPr>
      <w:r>
        <w:rPr>
          <w:rFonts w:ascii="Arial" w:cs="Arial" w:eastAsia="Arial" w:hAnsi="Arial"/>
          <w:sz w:val="17"/>
          <w:szCs w:val="17"/>
          <w:color w:val="auto"/>
        </w:rPr>
        <w:t>Name of Person Filing</w:t>
      </w:r>
      <w:r>
        <w:rPr>
          <w:rFonts w:ascii="Arial" w:cs="Arial" w:eastAsia="Arial" w:hAnsi="Arial"/>
          <w:sz w:val="27"/>
          <w:szCs w:val="27"/>
          <w:color w:val="auto"/>
          <w:vertAlign w:val="superscript"/>
        </w:rPr>
        <w:t>1</w:t>
      </w:r>
    </w:p>
    <w:p>
      <w:pPr>
        <w:spacing w:after="0" w:line="1" w:lineRule="exact"/>
        <w:rPr>
          <w:rFonts w:ascii="Arial" w:cs="Arial" w:eastAsia="Arial" w:hAnsi="Arial"/>
          <w:sz w:val="33"/>
          <w:szCs w:val="33"/>
          <w:color w:val="auto"/>
          <w:vertAlign w:val="superscript"/>
        </w:rPr>
      </w:pPr>
    </w:p>
    <w:p>
      <w:pPr>
        <w:ind w:left="1140"/>
        <w:spacing w:after="0"/>
        <w:rPr>
          <w:rFonts w:ascii="Arial" w:cs="Arial" w:eastAsia="Arial" w:hAnsi="Arial"/>
          <w:sz w:val="33"/>
          <w:szCs w:val="33"/>
          <w:color w:val="auto"/>
          <w:vertAlign w:val="superscript"/>
        </w:rPr>
      </w:pPr>
      <w:r>
        <w:rPr>
          <w:rFonts w:ascii="Arial" w:cs="Arial" w:eastAsia="Arial" w:hAnsi="Arial"/>
          <w:sz w:val="18"/>
          <w:szCs w:val="18"/>
          <w:color w:val="auto"/>
        </w:rPr>
        <w:t>Hawkins, Inc. Employee Stock Ownership Plan and Trust</w:t>
      </w:r>
    </w:p>
    <w:p>
      <w:pPr>
        <w:spacing w:after="0" w:line="211" w:lineRule="exact"/>
        <w:rPr>
          <w:rFonts w:ascii="Arial" w:cs="Arial" w:eastAsia="Arial" w:hAnsi="Arial"/>
          <w:sz w:val="33"/>
          <w:szCs w:val="33"/>
          <w:color w:val="auto"/>
          <w:vertAlign w:val="superscript"/>
        </w:rPr>
      </w:pPr>
    </w:p>
    <w:p>
      <w:pPr>
        <w:ind w:left="1140" w:right="5920" w:hanging="335"/>
        <w:spacing w:after="0" w:line="254"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Residence</w:t>
      </w:r>
    </w:p>
    <w:p>
      <w:pPr>
        <w:ind w:left="1140"/>
        <w:spacing w:after="0"/>
        <w:rPr>
          <w:rFonts w:ascii="Arial" w:cs="Arial" w:eastAsia="Arial" w:hAnsi="Arial"/>
          <w:sz w:val="18"/>
          <w:szCs w:val="18"/>
          <w:color w:val="auto"/>
        </w:rPr>
      </w:pPr>
      <w:r>
        <w:rPr>
          <w:rFonts w:ascii="Arial" w:cs="Arial" w:eastAsia="Arial" w:hAnsi="Arial"/>
          <w:sz w:val="18"/>
          <w:szCs w:val="18"/>
          <w:color w:val="auto"/>
        </w:rPr>
        <w:t>c/o Hawkins, Inc.</w:t>
      </w:r>
    </w:p>
    <w:p>
      <w:pPr>
        <w:spacing w:after="0" w:line="9" w:lineRule="exact"/>
        <w:rPr>
          <w:rFonts w:ascii="Arial" w:cs="Arial" w:eastAsia="Arial" w:hAnsi="Arial"/>
          <w:sz w:val="18"/>
          <w:szCs w:val="18"/>
          <w:color w:val="auto"/>
        </w:rPr>
      </w:pPr>
    </w:p>
    <w:p>
      <w:pPr>
        <w:ind w:left="1140" w:right="8100"/>
        <w:spacing w:after="0" w:line="361" w:lineRule="auto"/>
        <w:rPr>
          <w:rFonts w:ascii="Arial" w:cs="Arial" w:eastAsia="Arial" w:hAnsi="Arial"/>
          <w:sz w:val="18"/>
          <w:szCs w:val="18"/>
          <w:color w:val="auto"/>
        </w:rPr>
      </w:pPr>
      <w:r>
        <w:rPr>
          <w:rFonts w:ascii="Arial" w:cs="Arial" w:eastAsia="Arial" w:hAnsi="Arial"/>
          <w:sz w:val="15"/>
          <w:szCs w:val="15"/>
          <w:color w:val="auto"/>
        </w:rPr>
        <w:t>3100 East Hennepin Avenue Minneapolis, MN 55413</w:t>
      </w:r>
    </w:p>
    <w:p>
      <w:pPr>
        <w:spacing w:after="0" w:line="123" w:lineRule="exact"/>
        <w:rPr>
          <w:rFonts w:ascii="Arial" w:cs="Arial" w:eastAsia="Arial" w:hAnsi="Arial"/>
          <w:sz w:val="18"/>
          <w:szCs w:val="18"/>
          <w:color w:val="auto"/>
        </w:rPr>
      </w:pPr>
    </w:p>
    <w:p>
      <w:pPr>
        <w:jc w:val="both"/>
        <w:ind w:left="1140" w:right="9300" w:hanging="335"/>
        <w:spacing w:after="0" w:line="33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Citizenship Minnesota</w:t>
      </w:r>
    </w:p>
    <w:p>
      <w:pPr>
        <w:spacing w:after="0" w:line="139" w:lineRule="exact"/>
        <w:rPr>
          <w:rFonts w:ascii="Arial" w:cs="Arial" w:eastAsia="Arial" w:hAnsi="Arial"/>
          <w:sz w:val="16"/>
          <w:szCs w:val="16"/>
          <w:color w:val="auto"/>
        </w:rPr>
      </w:pPr>
    </w:p>
    <w:p>
      <w:pPr>
        <w:ind w:left="1140" w:hanging="33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Common Stock, Par Value $.05 per share</w:t>
      </w:r>
    </w:p>
    <w:p>
      <w:pPr>
        <w:spacing w:after="0" w:line="218" w:lineRule="exact"/>
        <w:rPr>
          <w:rFonts w:ascii="Arial" w:cs="Arial" w:eastAsia="Arial" w:hAnsi="Arial"/>
          <w:sz w:val="18"/>
          <w:szCs w:val="18"/>
          <w:color w:val="auto"/>
        </w:rPr>
      </w:pPr>
    </w:p>
    <w:p>
      <w:pPr>
        <w:ind w:left="1140" w:right="8980" w:hanging="335"/>
        <w:spacing w:after="0" w:line="332" w:lineRule="auto"/>
        <w:tabs>
          <w:tab w:leader="none" w:pos="11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CUSIP Number 420261 10 9</w:t>
      </w:r>
    </w:p>
    <w:p>
      <w:pPr>
        <w:spacing w:after="0" w:line="13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If this statement is filed pursuant to §§ 240.13d-1(b) or 240.13d-2(b) or (c), check whether the person filing is a:</w:t>
      </w:r>
    </w:p>
    <w:p>
      <w:pPr>
        <w:spacing w:after="0" w:line="218" w:lineRule="exact"/>
        <w:rPr>
          <w:sz w:val="20"/>
          <w:szCs w:val="20"/>
          <w:color w:val="auto"/>
        </w:rPr>
      </w:pPr>
    </w:p>
    <w:tbl>
      <w:tblPr>
        <w:tblLayout w:type="fixed"/>
        <w:tblInd w:w="800" w:type="dxa"/>
        <w:tblCellMar>
          <w:top w:w="0" w:type="dxa"/>
          <w:left w:w="0" w:type="dxa"/>
          <w:bottom w:w="0" w:type="dxa"/>
          <w:right w:w="0" w:type="dxa"/>
        </w:tblCellMar>
      </w:tblPr>
      <w:tr>
        <w:trPr>
          <w:trHeight w:val="275"/>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4420" w:type="dxa"/>
            <w:vAlign w:val="bottom"/>
          </w:tcPr>
          <w:p>
            <w:pPr>
              <w:ind w:left="160"/>
              <w:spacing w:after="0"/>
              <w:rPr>
                <w:sz w:val="20"/>
                <w:szCs w:val="20"/>
                <w:color w:val="auto"/>
              </w:rPr>
            </w:pPr>
            <w:r>
              <w:rPr>
                <w:rFonts w:ascii="Arial" w:cs="Arial" w:eastAsia="Arial" w:hAnsi="Arial"/>
                <w:sz w:val="18"/>
                <w:szCs w:val="18"/>
                <w:color w:val="auto"/>
                <w:w w:val="96"/>
              </w:rPr>
              <w:t>Broker or dealer registered under section 15 of the Act.</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4420" w:type="dxa"/>
            <w:vAlign w:val="bottom"/>
          </w:tcPr>
          <w:p>
            <w:pPr>
              <w:ind w:left="160"/>
              <w:spacing w:after="0"/>
              <w:rPr>
                <w:sz w:val="20"/>
                <w:szCs w:val="20"/>
                <w:color w:val="auto"/>
              </w:rPr>
            </w:pPr>
            <w:r>
              <w:rPr>
                <w:rFonts w:ascii="Arial" w:cs="Arial" w:eastAsia="Arial" w:hAnsi="Arial"/>
                <w:sz w:val="18"/>
                <w:szCs w:val="18"/>
                <w:color w:val="auto"/>
              </w:rPr>
              <w:t>Bank as defined in section 3(a)(6) of the Act.</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(c)</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4420" w:type="dxa"/>
            <w:vAlign w:val="bottom"/>
          </w:tcPr>
          <w:p>
            <w:pPr>
              <w:ind w:left="160"/>
              <w:spacing w:after="0"/>
              <w:rPr>
                <w:sz w:val="20"/>
                <w:szCs w:val="20"/>
                <w:color w:val="auto"/>
              </w:rPr>
            </w:pPr>
            <w:r>
              <w:rPr>
                <w:rFonts w:ascii="Arial" w:cs="Arial" w:eastAsia="Arial" w:hAnsi="Arial"/>
                <w:sz w:val="18"/>
                <w:szCs w:val="18"/>
                <w:color w:val="auto"/>
                <w:w w:val="88"/>
              </w:rPr>
              <w:t>Insurance company as defined in section 3(a)(19) of the Act.</w:t>
            </w:r>
          </w:p>
        </w:tc>
      </w:tr>
    </w:tbl>
    <w:p>
      <w:pPr>
        <w:sectPr>
          <w:pgSz w:w="11900" w:h="16838" w:orient="portrait"/>
          <w:cols w:equalWidth="0" w:num="1">
            <w:col w:w="11240"/>
          </w:cols>
          <w:pgMar w:left="240" w:top="260" w:right="419" w:bottom="0" w:gutter="0" w:footer="0" w:header="0"/>
        </w:sectPr>
      </w:pPr>
    </w:p>
    <w:bookmarkStart w:id="2" w:name="page3"/>
    <w:bookmarkEnd w:id="2"/>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75"/>
        </w:trPr>
        <w:tc>
          <w:tcPr>
            <w:tcW w:w="280" w:type="dxa"/>
            <w:vAlign w:val="bottom"/>
          </w:tcPr>
          <w:p>
            <w:pPr>
              <w:spacing w:after="0"/>
              <w:rPr>
                <w:sz w:val="20"/>
                <w:szCs w:val="20"/>
                <w:color w:val="auto"/>
              </w:rPr>
            </w:pPr>
            <w:r>
              <w:rPr>
                <w:rFonts w:ascii="Arial" w:cs="Arial" w:eastAsia="Arial" w:hAnsi="Arial"/>
                <w:sz w:val="18"/>
                <w:szCs w:val="18"/>
                <w:color w:val="auto"/>
              </w:rPr>
              <w:t>(d)</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Investment company registered under section 8 of the Investment Company Act of 1940.</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(e)</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An investment adviser in accordance with § 240.13d-1(b)(1)(ii)(E).</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(f)</w:t>
            </w:r>
          </w:p>
        </w:tc>
        <w:tc>
          <w:tcPr>
            <w:tcW w:w="340" w:type="dxa"/>
            <w:vAlign w:val="bottom"/>
          </w:tcPr>
          <w:p>
            <w:pPr>
              <w:ind w:left="60"/>
              <w:spacing w:after="0"/>
              <w:rPr>
                <w:sz w:val="20"/>
                <w:szCs w:val="20"/>
                <w:color w:val="auto"/>
              </w:rPr>
            </w:pPr>
            <w:r>
              <w:rPr>
                <w:rFonts w:ascii="Arial" w:cs="Arial" w:eastAsia="Arial" w:hAnsi="Arial"/>
                <w:sz w:val="22"/>
                <w:szCs w:val="22"/>
                <w:color w:val="auto"/>
              </w:rPr>
              <w:t>x</w:t>
            </w:r>
          </w:p>
        </w:tc>
        <w:tc>
          <w:tcPr>
            <w:tcW w:w="9680" w:type="dxa"/>
            <w:vAlign w:val="bottom"/>
          </w:tcPr>
          <w:p>
            <w:pPr>
              <w:ind w:left="160"/>
              <w:spacing w:after="0"/>
              <w:rPr>
                <w:sz w:val="20"/>
                <w:szCs w:val="20"/>
                <w:color w:val="auto"/>
              </w:rPr>
            </w:pPr>
            <w:r>
              <w:rPr>
                <w:rFonts w:ascii="Arial" w:cs="Arial" w:eastAsia="Arial" w:hAnsi="Arial"/>
                <w:sz w:val="18"/>
                <w:szCs w:val="18"/>
                <w:color w:val="auto"/>
              </w:rPr>
              <w:t>An employee benefit plan or endowment fund in accordance with § 240.13d-1(b)(1)(ii)(F).</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(g)</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A parent holding company or control person in accordance with § 240.13d-1(b)(1)(ii)(G).</w:t>
            </w:r>
          </w:p>
        </w:tc>
      </w:tr>
      <w:tr>
        <w:trPr>
          <w:trHeight w:val="459"/>
        </w:trPr>
        <w:tc>
          <w:tcPr>
            <w:tcW w:w="280" w:type="dxa"/>
            <w:vAlign w:val="bottom"/>
          </w:tcPr>
          <w:p>
            <w:pPr>
              <w:spacing w:after="0"/>
              <w:rPr>
                <w:sz w:val="20"/>
                <w:szCs w:val="20"/>
                <w:color w:val="auto"/>
              </w:rPr>
            </w:pPr>
            <w:r>
              <w:rPr>
                <w:rFonts w:ascii="Arial" w:cs="Arial" w:eastAsia="Arial" w:hAnsi="Arial"/>
                <w:sz w:val="18"/>
                <w:szCs w:val="18"/>
                <w:color w:val="auto"/>
              </w:rPr>
              <w:t>(h)</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14"/>
        </w:trPr>
        <w:tc>
          <w:tcPr>
            <w:tcW w:w="280" w:type="dxa"/>
            <w:vAlign w:val="bottom"/>
          </w:tcPr>
          <w:p>
            <w:pPr>
              <w:spacing w:after="0"/>
              <w:rPr>
                <w:sz w:val="20"/>
                <w:szCs w:val="20"/>
                <w:color w:val="auto"/>
              </w:rPr>
            </w:pPr>
            <w:r>
              <w:rPr>
                <w:rFonts w:ascii="Arial" w:cs="Arial" w:eastAsia="Arial" w:hAnsi="Arial"/>
                <w:sz w:val="18"/>
                <w:szCs w:val="18"/>
                <w:color w:val="auto"/>
              </w:rPr>
              <w:t>(i)</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w w:val="89"/>
              </w:rPr>
              <w:t>A church plan that is excluded from the definition of an investment company under section 3(c)(14) of the Investment Company Act of</w:t>
            </w:r>
          </w:p>
        </w:tc>
      </w:tr>
      <w:tr>
        <w:trPr>
          <w:trHeight w:val="222"/>
        </w:trPr>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tcPr>
          <w:p>
            <w:pPr>
              <w:ind w:left="160"/>
              <w:spacing w:after="0"/>
              <w:rPr>
                <w:sz w:val="20"/>
                <w:szCs w:val="20"/>
                <w:color w:val="auto"/>
              </w:rPr>
            </w:pPr>
            <w:r>
              <w:rPr>
                <w:rFonts w:ascii="Arial" w:cs="Arial" w:eastAsia="Arial" w:hAnsi="Arial"/>
                <w:sz w:val="18"/>
                <w:szCs w:val="18"/>
                <w:color w:val="auto"/>
              </w:rPr>
              <w:t>1940.</w:t>
            </w:r>
          </w:p>
        </w:tc>
      </w:tr>
      <w:tr>
        <w:trPr>
          <w:trHeight w:val="471"/>
        </w:trPr>
        <w:tc>
          <w:tcPr>
            <w:tcW w:w="280" w:type="dxa"/>
            <w:vAlign w:val="bottom"/>
          </w:tcPr>
          <w:p>
            <w:pPr>
              <w:spacing w:after="0"/>
              <w:rPr>
                <w:sz w:val="20"/>
                <w:szCs w:val="20"/>
                <w:color w:val="auto"/>
              </w:rPr>
            </w:pPr>
            <w:r>
              <w:rPr>
                <w:rFonts w:ascii="Arial" w:cs="Arial" w:eastAsia="Arial" w:hAnsi="Arial"/>
                <w:sz w:val="18"/>
                <w:szCs w:val="18"/>
                <w:color w:val="auto"/>
              </w:rPr>
              <w:t>(j)</w:t>
            </w:r>
          </w:p>
        </w:tc>
        <w:tc>
          <w:tcPr>
            <w:tcW w:w="340" w:type="dxa"/>
            <w:vAlign w:val="bottom"/>
          </w:tcPr>
          <w:p>
            <w:pPr>
              <w:ind w:left="60"/>
              <w:spacing w:after="0"/>
              <w:rPr>
                <w:sz w:val="20"/>
                <w:szCs w:val="20"/>
                <w:color w:val="auto"/>
              </w:rPr>
            </w:pPr>
            <w:r>
              <w:rPr>
                <w:rFonts w:ascii="Arial" w:cs="Arial" w:eastAsia="Arial" w:hAnsi="Arial"/>
                <w:sz w:val="22"/>
                <w:szCs w:val="22"/>
                <w:color w:val="auto"/>
              </w:rPr>
              <w:t>o</w:t>
            </w:r>
          </w:p>
        </w:tc>
        <w:tc>
          <w:tcPr>
            <w:tcW w:w="9680" w:type="dxa"/>
            <w:vAlign w:val="bottom"/>
          </w:tcPr>
          <w:p>
            <w:pPr>
              <w:ind w:left="160"/>
              <w:spacing w:after="0"/>
              <w:rPr>
                <w:sz w:val="20"/>
                <w:szCs w:val="20"/>
                <w:color w:val="auto"/>
              </w:rPr>
            </w:pPr>
            <w:r>
              <w:rPr>
                <w:rFonts w:ascii="Arial" w:cs="Arial" w:eastAsia="Arial" w:hAnsi="Arial"/>
                <w:sz w:val="18"/>
                <w:szCs w:val="18"/>
                <w:color w:val="auto"/>
              </w:rPr>
              <w:t>Group, in accordance with § 240.13d-1(b)(1)(ii)(J).</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ind w:left="160" w:hanging="152"/>
        <w:spacing w:after="0" w:line="195" w:lineRule="auto"/>
        <w:tabs>
          <w:tab w:leader="none" w:pos="1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See note (a)</w:t>
      </w:r>
    </w:p>
    <w:p>
      <w:pPr>
        <w:spacing w:after="0" w:line="200" w:lineRule="exact"/>
        <w:rPr>
          <w:sz w:val="20"/>
          <w:szCs w:val="20"/>
          <w:color w:val="auto"/>
        </w:rPr>
      </w:pPr>
    </w:p>
    <w:p>
      <w:pPr>
        <w:spacing w:after="0" w:line="2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u w:val="single" w:color="auto"/>
          <w:color w:val="auto"/>
        </w:rPr>
        <w:t>NOTES</w:t>
      </w:r>
    </w:p>
    <w:p>
      <w:pPr>
        <w:spacing w:after="0" w:line="231" w:lineRule="exact"/>
        <w:rPr>
          <w:sz w:val="20"/>
          <w:szCs w:val="20"/>
          <w:color w:val="auto"/>
        </w:rPr>
      </w:pPr>
    </w:p>
    <w:p>
      <w:pPr>
        <w:ind w:right="120" w:firstLine="774"/>
        <w:spacing w:after="0" w:line="290" w:lineRule="auto"/>
        <w:tabs>
          <w:tab w:leader="none" w:pos="11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Trustee of the Hawkins, Inc. Employee Stock Ownership Plan and Trust (the “ESOP”) is Alerus Financial, N.A. The ESOP allows plan participants to direct voting of shares allocated to their plan accounts, and all shares held by the ESOP and reported on this Schedule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as to all shares reported on this Schedule. The Trustee also has limited dispositive power with respect to all shares reported on this Schedule, reflecting a requirement that the assets of the ESOP must primarily consist of shares of the Issuer’s stock. The Trustee disclaims beneficial ownership of the shares attributed to it in its capacity as Trustee of the ESOP.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31" w:lineRule="exact"/>
        <w:rPr>
          <w:sz w:val="20"/>
          <w:szCs w:val="20"/>
          <w:color w:val="auto"/>
        </w:rPr>
      </w:pPr>
    </w:p>
    <w:p>
      <w:pPr>
        <w:ind w:left="1140" w:hanging="33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1,533,810.</w:t>
      </w:r>
    </w:p>
    <w:p>
      <w:pPr>
        <w:spacing w:after="0" w:line="225" w:lineRule="exact"/>
        <w:rPr>
          <w:rFonts w:ascii="Arial" w:cs="Arial" w:eastAsia="Arial" w:hAnsi="Arial"/>
          <w:sz w:val="18"/>
          <w:szCs w:val="18"/>
          <w:color w:val="auto"/>
        </w:rPr>
      </w:pPr>
    </w:p>
    <w:p>
      <w:pPr>
        <w:ind w:left="1140" w:hanging="33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15.0%</w:t>
      </w:r>
    </w:p>
    <w:p>
      <w:pPr>
        <w:spacing w:after="0" w:line="225" w:lineRule="exact"/>
        <w:rPr>
          <w:rFonts w:ascii="Arial" w:cs="Arial" w:eastAsia="Arial" w:hAnsi="Arial"/>
          <w:sz w:val="18"/>
          <w:szCs w:val="18"/>
          <w:color w:val="auto"/>
        </w:rPr>
      </w:pPr>
    </w:p>
    <w:p>
      <w:pPr>
        <w:ind w:left="1140" w:hanging="335"/>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1,533,810.</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1580" w:hanging="438"/>
        <w:spacing w:after="0"/>
        <w:tabs>
          <w:tab w:leader="none" w:pos="15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1,533,810.</w:t>
      </w:r>
    </w:p>
    <w:p>
      <w:pPr>
        <w:sectPr>
          <w:pgSz w:w="11900" w:h="16838" w:orient="portrait"/>
          <w:cols w:equalWidth="0" w:num="1">
            <w:col w:w="11100"/>
          </w:cols>
          <w:pgMar w:left="240" w:top="334" w:right="55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21"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The plan participants and beneficiaries of the Hawkins, Inc. Employee Stock Ownership Plan have the right to receive dividends from and the proceeds from the sale of the shares reported on this Schedule. No person has such a right with respect to more than 5% of the Issuer’s outstanding common stock.</w:t>
      </w:r>
    </w:p>
    <w:p>
      <w:pPr>
        <w:spacing w:after="0" w:line="141" w:lineRule="exact"/>
        <w:rPr>
          <w:sz w:val="20"/>
          <w:szCs w:val="20"/>
          <w:color w:val="auto"/>
        </w:rPr>
      </w:pPr>
    </w:p>
    <w:p>
      <w:pPr>
        <w:ind w:left="800" w:right="460" w:hanging="796"/>
        <w:spacing w:after="0" w:line="257" w:lineRule="auto"/>
        <w:tabs>
          <w:tab w:leader="none" w:pos="7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31" w:lineRule="exact"/>
        <w:rPr>
          <w:sz w:val="20"/>
          <w:szCs w:val="20"/>
          <w:color w:val="auto"/>
        </w:rPr>
      </w:pPr>
    </w:p>
    <w:p>
      <w:pPr>
        <w:ind w:firstLine="815"/>
        <w:spacing w:after="0" w:line="306"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9"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HAWKINS, INC.</w:t>
      </w:r>
    </w:p>
    <w:p>
      <w:pPr>
        <w:spacing w:after="0" w:line="21"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EMPLOYEE STOCK OWNERSHIP TRUST</w:t>
      </w:r>
    </w:p>
    <w:p>
      <w:pPr>
        <w:spacing w:after="0" w:line="151" w:lineRule="exact"/>
        <w:rPr>
          <w:sz w:val="20"/>
          <w:szCs w:val="20"/>
          <w:color w:val="auto"/>
        </w:rPr>
      </w:pPr>
    </w:p>
    <w:p>
      <w:pPr>
        <w:ind w:left="120"/>
        <w:spacing w:after="0"/>
        <w:tabs>
          <w:tab w:leader="none" w:pos="5860" w:val="left"/>
          <w:tab w:leader="none" w:pos="6300" w:val="left"/>
        </w:tabs>
        <w:rPr>
          <w:sz w:val="20"/>
          <w:szCs w:val="20"/>
          <w:color w:val="auto"/>
        </w:rPr>
      </w:pPr>
      <w:r>
        <w:rPr>
          <w:rFonts w:ascii="Arial" w:cs="Arial" w:eastAsia="Arial" w:hAnsi="Arial"/>
          <w:sz w:val="18"/>
          <w:szCs w:val="18"/>
          <w:color w:val="auto"/>
        </w:rPr>
        <w:t>Dated: February 6,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Alerus Financial,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19685</wp:posOffset>
            </wp:positionV>
            <wp:extent cx="32969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96920" cy="8890"/>
                    </a:xfrm>
                    <a:prstGeom prst="rect">
                      <a:avLst/>
                    </a:prstGeom>
                    <a:noFill/>
                  </pic:spPr>
                </pic:pic>
              </a:graphicData>
            </a:graphic>
          </wp:anchor>
        </w:drawing>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Trustee</w:t>
      </w:r>
    </w:p>
    <w:p>
      <w:pPr>
        <w:spacing w:after="0" w:line="158" w:lineRule="exact"/>
        <w:rPr>
          <w:sz w:val="20"/>
          <w:szCs w:val="20"/>
          <w:color w:val="auto"/>
        </w:rPr>
      </w:pPr>
    </w:p>
    <w:p>
      <w:pPr>
        <w:ind w:left="5880"/>
        <w:spacing w:after="0"/>
        <w:tabs>
          <w:tab w:leader="none" w:pos="6300" w:val="left"/>
        </w:tabs>
        <w:rPr>
          <w:sz w:val="20"/>
          <w:szCs w:val="20"/>
          <w:color w:val="auto"/>
        </w:rPr>
      </w:pPr>
      <w:r>
        <w:rPr>
          <w:rFonts w:ascii="Arial" w:cs="Arial" w:eastAsia="Arial" w:hAnsi="Arial"/>
          <w:sz w:val="18"/>
          <w:szCs w:val="18"/>
          <w:color w:val="auto"/>
        </w:rPr>
        <w:t>By:</w:t>
        <w:tab/>
        <w:t>/s/ Richard Joseph</w:t>
      </w:r>
    </w:p>
    <w:p>
      <w:pPr>
        <w:spacing w:after="0" w:line="2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-129540</wp:posOffset>
            </wp:positionV>
            <wp:extent cx="32969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96920" cy="8890"/>
                    </a:xfrm>
                    <a:prstGeom prst="rect">
                      <a:avLst/>
                    </a:prstGeom>
                    <a:noFill/>
                  </pic:spPr>
                </pic:pic>
              </a:graphicData>
            </a:graphic>
          </wp:anchor>
        </w:drawing>
      </w:r>
    </w:p>
    <w:p>
      <w:pPr>
        <w:spacing w:after="0" w:line="212" w:lineRule="exact"/>
        <w:rPr>
          <w:sz w:val="20"/>
          <w:szCs w:val="20"/>
          <w:color w:val="auto"/>
        </w:rPr>
      </w:pPr>
    </w:p>
    <w:p>
      <w:pPr>
        <w:ind w:firstLine="815"/>
        <w:spacing w:after="0" w:line="255"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9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whom copies are to be sent.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80"/>
      </w:cols>
      <w:pgMar w:left="240" w:top="617"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1"/>
      <w:numFmt w:val="decimal"/>
      <w:start w:val="10"/>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bullet"/>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2019-12-11T12:45:13Z</dcterms:created>
  <dcterms:modified xsi:type="dcterms:W3CDTF">2019-12-11T12:45:13Z</dcterms:modified>
</cp:coreProperties>
</file>