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Operations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11,218.056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112.298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224.888 shares acquired June 2020-March 2021 pursuant to the Issuer's dividend reinvestment plan and 724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07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2021-04-08T16:09:29Z</dcterms:created>
  <dcterms:modified xsi:type="dcterms:W3CDTF">2021-04-08T16:09:29Z</dcterms:modified>
</cp:coreProperties>
</file>