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2018</w:t>
      </w:r>
    </w:p>
    <w:p>
      <w:pPr>
        <w:spacing w:after="0" w:line="200" w:lineRule="exact"/>
        <w:rPr>
          <w:sz w:val="24"/>
          <w:szCs w:val="24"/>
          <w:color w:val="auto"/>
        </w:rPr>
      </w:pPr>
    </w:p>
    <w:p>
      <w:pPr>
        <w:spacing w:after="0" w:line="3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Hawkins,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80"/>
          </w:cols>
          <w:pgMar w:left="240" w:top="727" w:right="379" w:bottom="1440" w:gutter="0" w:footer="0" w:header="0"/>
        </w:sectPr>
      </w:pPr>
    </w:p>
    <w:p>
      <w:pPr>
        <w:spacing w:after="0" w:line="33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41-0771293</w:t>
      </w:r>
    </w:p>
    <w:p>
      <w:pPr>
        <w:spacing w:after="0" w:line="61" w:lineRule="exact"/>
        <w:rPr>
          <w:sz w:val="24"/>
          <w:szCs w:val="24"/>
          <w:color w:val="auto"/>
        </w:rPr>
      </w:pPr>
    </w:p>
    <w:p>
      <w:pPr>
        <w:sectPr>
          <w:pgSz w:w="11900" w:h="16838" w:orient="portrait"/>
          <w:cols w:equalWidth="0" w:num="3">
            <w:col w:w="5620" w:space="720"/>
            <w:col w:w="2380" w:space="720"/>
            <w:col w:w="1840"/>
          </w:cols>
          <w:pgMar w:left="240" w:top="727"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66" w:lineRule="exact"/>
        <w:rPr>
          <w:sz w:val="24"/>
          <w:szCs w:val="24"/>
          <w:color w:val="auto"/>
        </w:rPr>
      </w:pPr>
    </w:p>
    <w:p>
      <w:pPr>
        <w:sectPr>
          <w:pgSz w:w="11900" w:h="16838" w:orient="portrait"/>
          <w:cols w:equalWidth="0" w:num="3">
            <w:col w:w="5020" w:space="720"/>
            <w:col w:w="2380" w:space="720"/>
            <w:col w:w="2440"/>
          </w:cols>
          <w:pgMar w:left="240" w:top="727" w:right="37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8"/>
          <w:szCs w:val="18"/>
          <w:b w:val="1"/>
          <w:bCs w:val="1"/>
          <w:color w:val="auto"/>
        </w:rPr>
        <w:t>2381 Rosegate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55413</w:t>
      </w:r>
    </w:p>
    <w:p>
      <w:pPr>
        <w:spacing w:after="0" w:line="72" w:lineRule="exact"/>
        <w:rPr>
          <w:sz w:val="24"/>
          <w:szCs w:val="24"/>
          <w:color w:val="auto"/>
        </w:rPr>
      </w:pPr>
    </w:p>
    <w:p>
      <w:pPr>
        <w:sectPr>
          <w:pgSz w:w="11900" w:h="16838" w:orient="portrait"/>
          <w:cols w:equalWidth="0" w:num="2">
            <w:col w:w="8940" w:space="720"/>
            <w:col w:w="1620"/>
          </w:cols>
          <w:pgMar w:left="240" w:top="727" w:right="37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27" w:right="379" w:bottom="1440" w:gutter="0" w:footer="0" w:header="0"/>
          <w:type w:val="continuous"/>
        </w:sectPr>
      </w:pP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(17 CFR 230.405) or Rule 12b-2 of the Exchange Act (17 CFR 240.12b 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27"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May 1, 2018, Hawkins, Inc. issued a press release announcing preliminary estimated financial results for its fiscal 2018 fourth quarter and fiscal year ended April 1, 2018. A copy of the press release issued by the Registrant is furnished herewith as Exhibit 99.1 hereto and is incorporated herein by reference.</w:t>
      </w:r>
    </w:p>
    <w:p>
      <w:pPr>
        <w:sectPr>
          <w:pgSz w:w="11900" w:h="16838" w:orient="portrait"/>
          <w:cols w:equalWidth="0" w:num="1">
            <w:col w:w="11080"/>
          </w:cols>
          <w:pgMar w:left="240" w:top="576" w:right="57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Times New Roman" w:cs="Times New Roman" w:eastAsia="Times New Roman" w:hAnsi="Times New Roman"/>
          <w:sz w:val="18"/>
          <w:szCs w:val="18"/>
          <w:color w:val="auto"/>
        </w:rPr>
        <w:t>Date: May 1,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0780"/>
          </w:cols>
          <w:pgMar w:left="240" w:top="576" w:right="87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587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800" w:hanging="827"/>
        <w:spacing w:after="0" w:line="282" w:lineRule="auto"/>
        <w:tabs>
          <w:tab w:leader="none" w:pos="21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May 1, 2018, announcing preliminary estimated financial results of Hawkins, Inc. for its fiscal 2018 fourth quarter and fiscal year ended April 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23495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Electronic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Transmission</w:t>
      </w:r>
    </w:p>
    <w:p>
      <w:pPr>
        <w:sectPr>
          <w:pgSz w:w="11900" w:h="16838" w:orient="portrait"/>
          <w:cols w:equalWidth="0" w:num="2">
            <w:col w:w="9320" w:space="720"/>
            <w:col w:w="980"/>
          </w:cols>
          <w:pgMar w:left="280" w:top="580" w:right="599" w:bottom="1440" w:gutter="0" w:footer="0" w:header="0"/>
        </w:sectPr>
      </w:pPr>
    </w:p>
    <w:bookmarkStart w:id="4" w:name="page5"/>
    <w:bookmarkEnd w:id="4"/>
    <w:p>
      <w:pPr>
        <w:ind w:left="10500"/>
        <w:spacing w:after="0"/>
        <w:rPr>
          <w:sz w:val="20"/>
          <w:szCs w:val="20"/>
          <w:color w:val="auto"/>
        </w:rPr>
      </w:pPr>
      <w:r>
        <w:rPr>
          <w:rFonts w:ascii="Times New Roman" w:cs="Times New Roman" w:eastAsia="Times New Roman" w:hAnsi="Times New Roman"/>
          <w:sz w:val="18"/>
          <w:szCs w:val="18"/>
          <w:color w:val="auto"/>
        </w:rPr>
        <w:t>Exhibit 99.1</w:t>
      </w:r>
    </w:p>
    <w:p>
      <w:pPr>
        <w:sectPr>
          <w:pgSz w:w="11900" w:h="16838" w:orient="portrait"/>
          <w:cols w:equalWidth="0" w:num="1">
            <w:col w:w="11420"/>
          </w:cols>
          <w:pgMar w:left="240" w:top="1364"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Contacts: Jeffrey P. Oldenkamp</w:t>
      </w:r>
    </w:p>
    <w:p>
      <w:pPr>
        <w:spacing w:after="0" w:line="75" w:lineRule="exact"/>
        <w:rPr>
          <w:sz w:val="20"/>
          <w:szCs w:val="20"/>
          <w:color w:val="auto"/>
        </w:rPr>
      </w:pPr>
    </w:p>
    <w:p>
      <w:pPr>
        <w:sectPr>
          <w:pgSz w:w="11900" w:h="16838" w:orient="portrait"/>
          <w:cols w:equalWidth="0" w:num="2">
            <w:col w:w="6240" w:space="720"/>
            <w:col w:w="4460"/>
          </w:cols>
          <w:pgMar w:left="240" w:top="1364"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May 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4" w:lineRule="exact"/>
        <w:rPr>
          <w:sz w:val="20"/>
          <w:szCs w:val="20"/>
          <w:color w:val="auto"/>
        </w:rPr>
      </w:pPr>
    </w:p>
    <w:p>
      <w:pPr>
        <w:sectPr>
          <w:pgSz w:w="11900" w:h="16838" w:orient="portrait"/>
          <w:cols w:equalWidth="0" w:num="2">
            <w:col w:w="6980" w:space="720"/>
            <w:col w:w="3720"/>
          </w:cols>
          <w:pgMar w:left="240" w:top="1364"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612/331-6910</w:t>
      </w:r>
    </w:p>
    <w:p>
      <w:pPr>
        <w:spacing w:after="0" w:line="75" w:lineRule="exact"/>
        <w:rPr>
          <w:sz w:val="20"/>
          <w:szCs w:val="20"/>
          <w:color w:val="auto"/>
        </w:rPr>
      </w:pPr>
    </w:p>
    <w:p>
      <w:pPr>
        <w:sectPr>
          <w:pgSz w:w="11900" w:h="16838" w:orient="portrait"/>
          <w:cols w:equalWidth="0" w:num="2">
            <w:col w:w="6980" w:space="720"/>
            <w:col w:w="3720"/>
          </w:cols>
          <w:pgMar w:left="240" w:top="1364"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Jeff.Oldenkamp@HawkinsInc.com</w:t>
      </w:r>
    </w:p>
    <w:p>
      <w:pPr>
        <w:spacing w:after="0" w:line="75" w:lineRule="exact"/>
        <w:rPr>
          <w:sz w:val="20"/>
          <w:szCs w:val="20"/>
          <w:color w:val="auto"/>
        </w:rPr>
      </w:pPr>
    </w:p>
    <w:p>
      <w:pPr>
        <w:sectPr>
          <w:pgSz w:w="11900" w:h="16838" w:orient="portrait"/>
          <w:cols w:equalWidth="0" w:num="2">
            <w:col w:w="6980" w:space="720"/>
            <w:col w:w="3720"/>
          </w:cols>
          <w:pgMar w:left="240" w:top="1364"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Roseville, MN 55113</w:t>
      </w:r>
    </w:p>
    <w:p>
      <w:pPr>
        <w:sectPr>
          <w:pgSz w:w="11900" w:h="16838" w:orient="portrait"/>
          <w:cols w:equalWidth="0" w:num="1">
            <w:col w:w="11420"/>
          </w:cols>
          <w:pgMar w:left="240" w:top="1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HAWKINS, INC. PROVIDES PRELIMINARY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2018 REVENUE AND RANGE FOR ADJUSTED DILUTED EARNINGS PER SHARE</w:t>
      </w:r>
    </w:p>
    <w:p>
      <w:pPr>
        <w:spacing w:after="0" w:line="30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Minneapolis, MN, May 1, 2018 - Hawkins, Inc. (Nasdaq: HWKN) today announced preliminary unaudited revenue and a range for adjusted earnings per share and adjusted EBITDA for its fiscal year ended April 1, 2018.</w:t>
      </w:r>
    </w:p>
    <w:p>
      <w:pPr>
        <w:spacing w:after="0" w:line="1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revenue of $504 million, representing an increase of 4.3% over the prior fiscal year, with growth from all reporting segments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growth of 7% year over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goodwill impairment charge of $39.1 million, or ($3.68) per diluted share, related to the Health and Nutrition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$13 million of debt in the fourth quarter resulting in a full year debt-to-EBITDA ratio below 2.0x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range of ($0.88) to ($0.83)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("EPS") range of $1.48 to $1.53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steps taken in fiscal 2018 to position the Company for improved earnings growth in fiscal 2019 and future years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fiscal 2018, diluted loss per share is expected to be in the range of ($0.88) to ($0.83). The decrease from the prior year’s diluted EPS of $2.13 was driven by the non-cash goodwill impairment charge, rising raw material costs, a significant negative LIFO adjustment, and competitive pressures, offset somewhat by the positive impacts of the Tax Cuts and Jobs Acts (the “Act”). Adjusted diluted EPS is expected to be in the range of $1.48 to $1.53.</w:t>
      </w:r>
    </w:p>
    <w:p>
      <w:pPr>
        <w:spacing w:after="0" w:line="13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fourth quarter, we saw positive revenue growth in all segments which resulted in full year revenue growth in Water Treatment of 7% to $139 million, our Industrial segment growing 4% to $247 million, and Health and Nutrition revenue growth of 2% to $118 million. Overall, fiscal 2018 was a challenging year with raw material cost increases and competitive pressures limiting our ability to pass the full increase in costs on to our customers. Those pressures, however, resulted in the entire organization continuing to be very cost-focused while ensuring we deliver best-in-class service to our customers. This had a direct, positive impact on our results of operations, where our overall selling, general, and administrative costs were flat year over year,” said Patrick Hawkins, Chief Executive Officer and President.</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Hawkins continued, “We are positioned well for fiscal year 2019 due to our focused expense control, end-market price increases accepted in the latter half of the third quarter and during the fourth quarter, and restructuring activities taken in the latter half of fiscal year 2018 that resulted in approximately $0.5 million of severance expense, but will generate approximately $1 million to $1.2 million in future annualized savings. In addition, within our Health and Nutrition segment we are focused on core growth areas, and have seen continued growth in our distribution business, and believe the overall profitability in this business will grow at faster rates than future revenue growth.”</w:t>
      </w:r>
    </w:p>
    <w:p>
      <w:pPr>
        <w:spacing w:after="0" w:line="13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Impairment: </w:t>
      </w:r>
      <w:r>
        <w:rPr>
          <w:rFonts w:ascii="Times New Roman" w:cs="Times New Roman" w:eastAsia="Times New Roman" w:hAnsi="Times New Roman"/>
          <w:sz w:val="18"/>
          <w:szCs w:val="18"/>
          <w:color w:val="auto"/>
        </w:rPr>
        <w:t>The fourth quarter and fiscal year ended April 1, 2018 were negatively impacted by a non-cash goodwill impairment charge of $39.1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($3.68), per diluted share, related to the Health and Nutrition segment. The impairment occurred due to operational challenges at one of our facilities that are being addressed, changes in expectations for future growth as part of our fourth quarter long-term strategic planning process to more closely align with historical rates and expected changes in future product mix. We anticipate the revenue for this business will grow at rates greater than growth in GDP in future years.</w:t>
      </w:r>
    </w:p>
    <w:p>
      <w:pPr>
        <w:spacing w:after="0" w:line="13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Act: </w:t>
      </w:r>
      <w:r>
        <w:rPr>
          <w:rFonts w:ascii="Times New Roman" w:cs="Times New Roman" w:eastAsia="Times New Roman" w:hAnsi="Times New Roman"/>
          <w:sz w:val="18"/>
          <w:szCs w:val="18"/>
          <w:color w:val="auto"/>
        </w:rPr>
        <w:t>In fiscal 2018 we recorded a one-time income tax benefit of $13.9 million, or $1.31 per diluted share, due to the revaluing of our net deferred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at the lower U.S. corporate tax rate of 21% from 35%. In future years, we expect</w:t>
      </w:r>
    </w:p>
    <w:p>
      <w:pPr>
        <w:sectPr>
          <w:pgSz w:w="11900" w:h="16838" w:orient="portrait"/>
          <w:cols w:equalWidth="0" w:num="1">
            <w:col w:w="11420"/>
          </w:cols>
          <w:pgMar w:left="240" w:top="1364" w:right="239" w:bottom="1440" w:gutter="0" w:footer="0" w:header="0"/>
          <w:type w:val="continuous"/>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t>our statutory federal rate to be 21%. We expect the benefit of the Act’s federal rate change to improve our net income by approximately $3 million annually and our overall effective tax rate to be 27% to 29% in future fiscal years.</w:t>
      </w:r>
    </w:p>
    <w:p>
      <w:pPr>
        <w:spacing w:after="0" w:line="117"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LIFO: </w:t>
      </w:r>
      <w:r>
        <w:rPr>
          <w:rFonts w:ascii="Times New Roman" w:cs="Times New Roman" w:eastAsia="Times New Roman" w:hAnsi="Times New Roman"/>
          <w:sz w:val="18"/>
          <w:szCs w:val="18"/>
          <w:color w:val="auto"/>
        </w:rPr>
        <w:t>During fiscal 2018, we incurred approximately $4 million of expense, decreasing gross profit, under the LIFO method of valuing inventory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rising material costs and proactively bringing in inventory in the fourth quarter ahead of projected increases in raw material costs. In fiscal 2017, the LIFO method of valuing inventory increased gross profit by approximately $3 million.</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Adjusted EBITDA, a non-GAAP financial measure, is an important performance indicator and a key compliance measure under the terms of our credit agreement. An explanation of the computation of adjusted EBITDA is presented below. We expect adjusted EBITDA for fiscal 2018 to be in the range of $50.7 million to $51.7 million, compared to fiscal 2017 adjusted EBITDA of $61.8 million. The decrease is due to the combined impact of reduced gross profit in our Industrial segment due to rising material costs and competitive pressures, lower manufactured product sales in our Health and Nutrition segment, and the negative year-over-year LIFO impact of approximately $7 million, partially offset by the favorable year-over-year results in our Water Treatment segment.</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foregoing preliminary unaudited financial information for the fiscal year and fourth quarter ended April 1, 2018 is based upon estimates and subject to completion of our financial closing procedures and external audit process. Such financial information has been prepared by management solely on the basis of currently available information. The preliminary unaudited financial information does not represent and is not a substitute for a comprehensive statement of financial results, and our actual results may differ materially from these estimates because of final adjustments, the completion of our financial closing procedures, including the pending audit of the Company’s annual financial statements, and other developments after the date of this release.</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expects to release actual fourth quarter and full year results on May 31, 2018 after market close, consistent with our year-end process and prior year timing.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Hawkins, Inc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Reconciliation of Non-GAAP Financial Measure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each of these non-GAAP financial measures internally to understand, manage and evaluate our business and to make operating decisions.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these non-GAAP financial measures reflect an additional way of viewing aspects of our operations that, when viewed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results, provides a more complete understanding of the factors and trends affecting our financial condition and results of operations.</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acquisition costs, if applicable.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each non-GAAP financial measure used in this release to its most directly comparable financial measure calculated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is presented below:</w:t>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and EPS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1, 2018 (unaudited)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Diluted (Loss) Earnings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Earnings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per-share data)</w:t>
            </w:r>
          </w:p>
        </w:tc>
        <w:tc>
          <w:tcPr>
            <w:tcW w:w="140" w:type="dxa"/>
            <w:vAlign w:val="bottom"/>
          </w:tcPr>
          <w:p>
            <w:pPr>
              <w:spacing w:after="0"/>
              <w:rPr>
                <w:sz w:val="20"/>
                <w:szCs w:val="20"/>
                <w:color w:val="auto"/>
              </w:rPr>
            </w:pPr>
          </w:p>
        </w:tc>
        <w:tc>
          <w:tcPr>
            <w:tcW w:w="1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1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High End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Low End</w:t>
            </w: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High End</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60" w:type="dxa"/>
            <w:vAlign w:val="bottom"/>
          </w:tcPr>
          <w:p>
            <w:pPr>
              <w:spacing w:after="0"/>
              <w:rPr>
                <w:sz w:val="20"/>
                <w:szCs w:val="20"/>
                <w:color w:val="auto"/>
              </w:rPr>
            </w:pP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06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net deferred tax liabilities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c>
          <w:tcPr>
            <w:tcW w:w="1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39,116</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16,273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22"/>
                <w:szCs w:val="22"/>
                <w:color w:val="auto"/>
              </w:rPr>
            </w:pP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06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April 1, 2018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2, 2017</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High End</w:t>
            </w:r>
          </w:p>
        </w:tc>
        <w:tc>
          <w:tcPr>
            <w:tcW w:w="60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(GAAP)</w:t>
            </w: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16,686</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6"/>
              </w:rPr>
              <w:t>16,686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6"/>
              </w:rPr>
              <w:t>39,116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Stauber acquisition expenses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50,694</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6"/>
              </w:rPr>
              <w:t>51,694</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3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the completion of our financial closing procedures, including the pending audit of the Company’s annual financial statements, and other developments after the date of this release, fluctuations in the prices and availability of our raw materials, changes in demand and customer requirements or processes for our products, and interruptions in production resulting from hazards, transportation limitations or other extraordinary events outside our control that may negatively impact our business or the supply chains in which we participate. Additional information concerning potential factors that could affect future financial results is included in our Annual Report on Form 10-K for the fiscal year ended April 2, 2017,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2019-12-05T06:07:52Z</dcterms:created>
  <dcterms:modified xsi:type="dcterms:W3CDTF">2019-12-05T06:07:52Z</dcterms:modified>
</cp:coreProperties>
</file>