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346075</wp:posOffset>
            </wp:positionH>
            <wp:positionV relativeFrom="page">
              <wp:posOffset>517525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431800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51"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-160020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5" w:lineRule="exact"/>
        <w:rPr>
          <w:sz w:val="24"/>
          <w:szCs w:val="24"/>
          <w:color w:val="auto"/>
        </w:rPr>
      </w:pPr>
    </w:p>
    <w:p>
      <w:pPr>
        <w:ind w:left="2440"/>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April 2, 2017</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No. 0-7647</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-254635</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6" w:lineRule="exact"/>
        <w:rPr>
          <w:sz w:val="24"/>
          <w:szCs w:val="24"/>
          <w:color w:val="auto"/>
        </w:rPr>
      </w:pPr>
    </w:p>
    <w:tbl>
      <w:tblPr>
        <w:tblLayout w:type="fixed"/>
        <w:tblInd w:w="1620" w:type="dxa"/>
        <w:tblCellMar>
          <w:top w:w="0" w:type="dxa"/>
          <w:left w:w="0" w:type="dxa"/>
          <w:bottom w:w="0" w:type="dxa"/>
          <w:right w:w="0" w:type="dxa"/>
        </w:tblCellMar>
      </w:tblPr>
      <w:tr>
        <w:trPr>
          <w:trHeight w:val="186"/>
        </w:trPr>
        <w:tc>
          <w:tcPr>
            <w:tcW w:w="6200" w:type="dxa"/>
            <w:vAlign w:val="bottom"/>
          </w:tcPr>
          <w:p>
            <w:pPr>
              <w:jc w:val="center"/>
              <w:ind w:right="3648"/>
              <w:spacing w:after="0"/>
              <w:rPr>
                <w:sz w:val="20"/>
                <w:szCs w:val="20"/>
                <w:color w:val="auto"/>
              </w:rPr>
            </w:pPr>
            <w:r>
              <w:rPr>
                <w:rFonts w:ascii="Arial" w:cs="Arial" w:eastAsia="Arial" w:hAnsi="Arial"/>
                <w:sz w:val="14"/>
                <w:szCs w:val="14"/>
                <w:b w:val="1"/>
                <w:bCs w:val="1"/>
                <w:color w:val="auto"/>
                <w:w w:val="92"/>
              </w:rPr>
              <w:t>Minnesota</w:t>
            </w:r>
          </w:p>
        </w:tc>
        <w:tc>
          <w:tcPr>
            <w:tcW w:w="1540" w:type="dxa"/>
            <w:vAlign w:val="bottom"/>
          </w:tcPr>
          <w:p>
            <w:pPr>
              <w:jc w:val="right"/>
              <w:ind w:right="148"/>
              <w:spacing w:after="0"/>
              <w:rPr>
                <w:sz w:val="20"/>
                <w:szCs w:val="20"/>
                <w:color w:val="auto"/>
              </w:rPr>
            </w:pPr>
            <w:r>
              <w:rPr>
                <w:rFonts w:ascii="Arial" w:cs="Arial" w:eastAsia="Arial" w:hAnsi="Arial"/>
                <w:sz w:val="14"/>
                <w:szCs w:val="14"/>
                <w:b w:val="1"/>
                <w:bCs w:val="1"/>
                <w:color w:val="auto"/>
              </w:rPr>
              <w:t>41-0771293</w:t>
            </w:r>
          </w:p>
        </w:tc>
      </w:tr>
      <w:tr>
        <w:trPr>
          <w:trHeight w:val="165"/>
        </w:trPr>
        <w:tc>
          <w:tcPr>
            <w:tcW w:w="6200" w:type="dxa"/>
            <w:vAlign w:val="bottom"/>
          </w:tcPr>
          <w:p>
            <w:pPr>
              <w:jc w:val="center"/>
              <w:ind w:right="3668"/>
              <w:spacing w:after="0"/>
              <w:rPr>
                <w:sz w:val="20"/>
                <w:szCs w:val="20"/>
                <w:color w:val="auto"/>
              </w:rPr>
            </w:pPr>
            <w:r>
              <w:rPr>
                <w:rFonts w:ascii="Arial" w:cs="Arial" w:eastAsia="Arial" w:hAnsi="Arial"/>
                <w:sz w:val="14"/>
                <w:szCs w:val="14"/>
                <w:b w:val="1"/>
                <w:bCs w:val="1"/>
                <w:color w:val="auto"/>
                <w:w w:val="94"/>
              </w:rPr>
              <w:t>(State of Incorporation)</w:t>
            </w:r>
          </w:p>
        </w:tc>
        <w:tc>
          <w:tcPr>
            <w:tcW w:w="1540" w:type="dxa"/>
            <w:vAlign w:val="bottom"/>
          </w:tcPr>
          <w:p>
            <w:pPr>
              <w:jc w:val="center"/>
              <w:ind w:left="3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200" w:type="dxa"/>
            <w:vAlign w:val="bottom"/>
          </w:tcPr>
          <w:p>
            <w:pPr>
              <w:spacing w:after="0"/>
              <w:rPr>
                <w:sz w:val="16"/>
                <w:szCs w:val="16"/>
                <w:color w:val="auto"/>
              </w:rPr>
            </w:pPr>
          </w:p>
        </w:tc>
        <w:tc>
          <w:tcPr>
            <w:tcW w:w="154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Identification No.)</w:t>
            </w:r>
          </w:p>
        </w:tc>
      </w:tr>
      <w:tr>
        <w:trPr>
          <w:trHeight w:val="203"/>
        </w:trPr>
        <w:tc>
          <w:tcPr>
            <w:tcW w:w="6200" w:type="dxa"/>
            <w:vAlign w:val="bottom"/>
          </w:tcPr>
          <w:p>
            <w:pPr>
              <w:jc w:val="center"/>
              <w:ind w:right="3668"/>
              <w:spacing w:after="0"/>
              <w:rPr>
                <w:sz w:val="20"/>
                <w:szCs w:val="20"/>
                <w:color w:val="auto"/>
              </w:rPr>
            </w:pPr>
            <w:r>
              <w:rPr>
                <w:rFonts w:ascii="Arial" w:cs="Arial" w:eastAsia="Arial" w:hAnsi="Arial"/>
                <w:sz w:val="14"/>
                <w:szCs w:val="14"/>
                <w:b w:val="1"/>
                <w:bCs w:val="1"/>
                <w:color w:val="auto"/>
                <w:w w:val="90"/>
              </w:rPr>
              <w:t>2381 Rosegate, Roseville, Minnesota</w:t>
            </w:r>
          </w:p>
        </w:tc>
        <w:tc>
          <w:tcPr>
            <w:tcW w:w="1540" w:type="dxa"/>
            <w:vAlign w:val="bottom"/>
          </w:tcPr>
          <w:p>
            <w:pPr>
              <w:jc w:val="right"/>
              <w:ind w:right="308"/>
              <w:spacing w:after="0"/>
              <w:rPr>
                <w:sz w:val="20"/>
                <w:szCs w:val="20"/>
                <w:color w:val="auto"/>
              </w:rPr>
            </w:pPr>
            <w:r>
              <w:rPr>
                <w:rFonts w:ascii="Arial" w:cs="Arial" w:eastAsia="Arial" w:hAnsi="Arial"/>
                <w:sz w:val="14"/>
                <w:szCs w:val="14"/>
                <w:b w:val="1"/>
                <w:bCs w:val="1"/>
                <w:color w:val="auto"/>
              </w:rPr>
              <w:t>55113</w:t>
            </w:r>
          </w:p>
        </w:tc>
      </w:tr>
      <w:tr>
        <w:trPr>
          <w:trHeight w:val="203"/>
        </w:trPr>
        <w:tc>
          <w:tcPr>
            <w:tcW w:w="6200" w:type="dxa"/>
            <w:vAlign w:val="bottom"/>
          </w:tcPr>
          <w:p>
            <w:pPr>
              <w:jc w:val="center"/>
              <w:ind w:right="366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540" w:type="dxa"/>
            <w:vAlign w:val="bottom"/>
          </w:tcPr>
          <w:p>
            <w:pPr>
              <w:jc w:val="center"/>
              <w:ind w:left="348"/>
              <w:spacing w:after="0"/>
              <w:rPr>
                <w:sz w:val="20"/>
                <w:szCs w:val="20"/>
                <w:color w:val="auto"/>
              </w:rPr>
            </w:pPr>
            <w:r>
              <w:rPr>
                <w:rFonts w:ascii="Arial" w:cs="Arial" w:eastAsia="Arial" w:hAnsi="Arial"/>
                <w:sz w:val="14"/>
                <w:szCs w:val="14"/>
                <w:b w:val="1"/>
                <w:bCs w:val="1"/>
                <w:color w:val="auto"/>
                <w:w w:val="98"/>
              </w:rPr>
              <w:t>(Zip Code)</w:t>
            </w:r>
          </w:p>
        </w:tc>
      </w:tr>
      <w:tr>
        <w:trPr>
          <w:trHeight w:val="203"/>
        </w:trPr>
        <w:tc>
          <w:tcPr>
            <w:tcW w:w="6200" w:type="dxa"/>
            <w:vAlign w:val="bottom"/>
          </w:tcPr>
          <w:p>
            <w:pPr>
              <w:jc w:val="right"/>
              <w:ind w:right="1588"/>
              <w:spacing w:after="0"/>
              <w:rPr>
                <w:sz w:val="20"/>
                <w:szCs w:val="20"/>
                <w:color w:val="auto"/>
              </w:rPr>
            </w:pPr>
            <w:r>
              <w:rPr>
                <w:rFonts w:ascii="Arial" w:cs="Arial" w:eastAsia="Arial" w:hAnsi="Arial"/>
                <w:sz w:val="14"/>
                <w:szCs w:val="14"/>
                <w:b w:val="1"/>
                <w:bCs w:val="1"/>
                <w:color w:val="auto"/>
              </w:rPr>
              <w:t>(612) 331-6910</w:t>
            </w:r>
          </w:p>
        </w:tc>
        <w:tc>
          <w:tcPr>
            <w:tcW w:w="1540" w:type="dxa"/>
            <w:vAlign w:val="bottom"/>
          </w:tcPr>
          <w:p>
            <w:pPr>
              <w:spacing w:after="0"/>
              <w:rPr>
                <w:sz w:val="17"/>
                <w:szCs w:val="17"/>
                <w:color w:val="auto"/>
              </w:rPr>
            </w:pPr>
          </w:p>
        </w:tc>
      </w:tr>
      <w:tr>
        <w:trPr>
          <w:trHeight w:val="189"/>
        </w:trPr>
        <w:tc>
          <w:tcPr>
            <w:tcW w:w="6200" w:type="dxa"/>
            <w:vAlign w:val="bottom"/>
          </w:tcPr>
          <w:p>
            <w:pPr>
              <w:jc w:val="center"/>
              <w:ind w:left="192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540" w:type="dxa"/>
            <w:vAlign w:val="bottom"/>
          </w:tcPr>
          <w:p>
            <w:pPr>
              <w:spacing w:after="0"/>
              <w:rPr>
                <w:sz w:val="16"/>
                <w:szCs w:val="16"/>
                <w:color w:val="auto"/>
              </w:rPr>
            </w:pPr>
          </w:p>
        </w:tc>
      </w:tr>
    </w:tbl>
    <w:p>
      <w:pPr>
        <w:spacing w:after="0" w:line="200" w:lineRule="exact"/>
        <w:rPr>
          <w:sz w:val="24"/>
          <w:szCs w:val="24"/>
          <w:color w:val="auto"/>
        </w:rPr>
      </w:pPr>
    </w:p>
    <w:p>
      <w:pPr>
        <w:sectPr>
          <w:pgSz w:w="11900" w:h="16838" w:orient="portrait"/>
          <w:cols w:equalWidth="0" w:num="1">
            <w:col w:w="11400"/>
          </w:cols>
          <w:pgMar w:left="240" w:top="859" w:right="259" w:bottom="1440" w:gutter="0" w:footer="0" w:header="0"/>
        </w:sectPr>
      </w:pPr>
    </w:p>
    <w:p>
      <w:pPr>
        <w:spacing w:after="0" w:line="127" w:lineRule="exact"/>
        <w:rPr>
          <w:sz w:val="24"/>
          <w:szCs w:val="24"/>
          <w:color w:val="auto"/>
        </w:rPr>
      </w:pPr>
    </w:p>
    <w:p>
      <w:pPr>
        <w:jc w:val="right"/>
        <w:ind w:right="26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65" w:lineRule="exact"/>
        <w:rPr>
          <w:sz w:val="24"/>
          <w:szCs w:val="24"/>
          <w:color w:val="auto"/>
        </w:rPr>
      </w:pPr>
    </w:p>
    <w:p>
      <w:pPr>
        <w:jc w:val="right"/>
        <w:ind w:right="260"/>
        <w:spacing w:after="0"/>
        <w:rPr>
          <w:sz w:val="20"/>
          <w:szCs w:val="20"/>
          <w:color w:val="auto"/>
        </w:rPr>
      </w:pPr>
      <w:r>
        <w:rPr>
          <w:rFonts w:ascii="Arial" w:cs="Arial" w:eastAsia="Arial" w:hAnsi="Arial"/>
          <w:sz w:val="14"/>
          <w:szCs w:val="14"/>
          <w:b w:val="1"/>
          <w:bCs w:val="1"/>
          <w:color w:val="auto"/>
        </w:rPr>
        <w:t>Name of exchange on which registered:</w:t>
      </w:r>
    </w:p>
    <w:p>
      <w:pPr>
        <w:spacing w:after="0" w:line="42" w:lineRule="exact"/>
        <w:rPr>
          <w:sz w:val="24"/>
          <w:szCs w:val="24"/>
          <w:color w:val="auto"/>
        </w:rPr>
      </w:pPr>
    </w:p>
    <w:p>
      <w:pPr>
        <w:ind w:left="1520"/>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Common Stock, par value $.05 per share</w:t>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NASDAQ Global Market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100965</wp:posOffset>
            </wp:positionV>
            <wp:extent cx="3001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280" w:space="720"/>
            <w:col w:w="5400"/>
          </w:cols>
          <w:pgMar w:left="240" w:top="859" w:right="259" w:bottom="1440" w:gutter="0" w:footer="0" w:header="0"/>
          <w:type w:val="continuous"/>
        </w:sectPr>
      </w:pPr>
    </w:p>
    <w:p>
      <w:pPr>
        <w:spacing w:after="0" w:line="230" w:lineRule="exact"/>
        <w:rPr>
          <w:sz w:val="24"/>
          <w:szCs w:val="24"/>
          <w:color w:val="auto"/>
        </w:rPr>
      </w:pPr>
    </w:p>
    <w:p>
      <w:pPr>
        <w:ind w:left="340" w:right="210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46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0" w:firstLine="324"/>
        <w:spacing w:after="0" w:line="20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1" w:lineRule="exact"/>
        <w:rPr>
          <w:sz w:val="24"/>
          <w:szCs w:val="24"/>
          <w:color w:val="auto"/>
        </w:rPr>
      </w:pPr>
    </w:p>
    <w:p>
      <w:pPr>
        <w:ind w:left="380"/>
        <w:spacing w:after="0" w:line="181" w:lineRule="exact"/>
        <w:tabs>
          <w:tab w:leader="none" w:pos="1780" w:val="left"/>
          <w:tab w:leader="none" w:pos="3500" w:val="left"/>
          <w:tab w:leader="none" w:pos="6500" w:val="left"/>
          <w:tab w:leader="none" w:pos="91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 o</w:t>
      </w:r>
    </w:p>
    <w:p>
      <w:pPr>
        <w:spacing w:after="0" w:line="186" w:lineRule="exact"/>
        <w:rPr>
          <w:sz w:val="24"/>
          <w:szCs w:val="24"/>
          <w:color w:val="auto"/>
        </w:rPr>
      </w:pPr>
    </w:p>
    <w:p>
      <w:pPr>
        <w:ind w:left="9180"/>
        <w:spacing w:after="0"/>
        <w:rPr>
          <w:sz w:val="20"/>
          <w:szCs w:val="20"/>
          <w:color w:val="auto"/>
        </w:rPr>
      </w:pPr>
      <w:r>
        <w:rPr>
          <w:rFonts w:ascii="Arial" w:cs="Arial" w:eastAsia="Arial" w:hAnsi="Arial"/>
          <w:sz w:val="14"/>
          <w:szCs w:val="14"/>
          <w:color w:val="auto"/>
        </w:rPr>
        <w:t>Emerging growth company o</w:t>
      </w:r>
    </w:p>
    <w:p>
      <w:pPr>
        <w:spacing w:after="0" w:line="253" w:lineRule="exact"/>
        <w:rPr>
          <w:sz w:val="24"/>
          <w:szCs w:val="24"/>
          <w:color w:val="auto"/>
        </w:rPr>
      </w:pPr>
    </w:p>
    <w:p>
      <w:pPr>
        <w:jc w:val="both"/>
        <w:ind w:right="100" w:firstLine="648"/>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340"/>
        <w:spacing w:after="0" w:line="184" w:lineRule="exact"/>
        <w:tabs>
          <w:tab w:leader="none" w:pos="7840" w:val="left"/>
          <w:tab w:leader="none" w:pos="84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jc w:val="both"/>
        <w:ind w:right="100" w:firstLine="324"/>
        <w:spacing w:after="0" w:line="315" w:lineRule="auto"/>
        <w:rPr>
          <w:sz w:val="20"/>
          <w:szCs w:val="20"/>
          <w:color w:val="auto"/>
        </w:rPr>
      </w:pPr>
      <w:r>
        <w:rPr>
          <w:rFonts w:ascii="Arial" w:cs="Arial" w:eastAsia="Arial" w:hAnsi="Arial"/>
          <w:sz w:val="14"/>
          <w:szCs w:val="14"/>
          <w:color w:val="auto"/>
        </w:rPr>
        <w:t>The aggregate market value of voting stock held by non-affiliates of the Registrant on October 2, 2016 (the last business day of the Registrant’s most recently completed second fiscal quarter) was approximately $409.3 million based upon the closing sale price for the Registrant’s common stock on that date as reported by The NASDAQ Stock Market, excluding all shares held by officers and directors of the Registrant and by the Trustees of the Registrant’s Employee Stock Ownership Plan and Trust.</w:t>
      </w:r>
    </w:p>
    <w:p>
      <w:pPr>
        <w:spacing w:after="0" w:line="2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26, 2017, the Registrant had 10,619,541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180975</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41"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ind w:left="100"/>
        <w:spacing w:after="0"/>
        <w:rPr>
          <w:sz w:val="20"/>
          <w:szCs w:val="20"/>
          <w:color w:val="auto"/>
        </w:rPr>
      </w:pPr>
      <w:r>
        <w:rPr>
          <w:rFonts w:ascii="Arial" w:cs="Arial" w:eastAsia="Arial" w:hAnsi="Arial"/>
          <w:sz w:val="16"/>
          <w:szCs w:val="16"/>
          <w:color w:val="auto"/>
        </w:rPr>
        <w:t>Portions of our definitive Proxy Statement for the annual meeting of shareholders to be held August 9, 2017, are incorporated by reference in Part III of this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177165</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91440</wp:posOffset>
            </wp:positionV>
            <wp:extent cx="6877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“expect,” “intend,” “plan,” “believe,” “seek,” “estimate,” “will” and similar expressions may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in this Annual Report on Form 10-K, except where otherwise stated or indicated by the context, “Hawkins,” “we,” “us,” “the Company,” “our,” or “the Registrant” means Hawkins, Inc. References to “fiscal 2018” means our fiscal year ending April 1, 2018, “fiscal 2017” means our fiscal year ended April 2, 2017, “fiscal 2016” means our fiscal year ended April 3, 2016, and “fiscal 2015” means our fiscal year ended March 29,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2"/>
              </w:rPr>
              <w:t>Hawkins, Inc.</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3"/>
              </w:rPr>
              <w:t>Annual Report on Form 10-K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60" w:type="dxa"/>
            <w:vAlign w:val="bottom"/>
            <w:gridSpan w:val="10"/>
          </w:tcPr>
          <w:p>
            <w:pPr>
              <w:jc w:val="center"/>
              <w:ind w:right="2680"/>
              <w:spacing w:after="0"/>
              <w:rPr>
                <w:sz w:val="20"/>
                <w:szCs w:val="20"/>
                <w:color w:val="auto"/>
              </w:rPr>
            </w:pPr>
            <w:r>
              <w:rPr>
                <w:rFonts w:ascii="Arial" w:cs="Arial" w:eastAsia="Arial" w:hAnsi="Arial"/>
                <w:sz w:val="18"/>
                <w:szCs w:val="18"/>
                <w:b w:val="1"/>
                <w:bCs w:val="1"/>
                <w:color w:val="auto"/>
                <w:w w:val="92"/>
              </w:rPr>
              <w:t>For the Fiscal Year Ended April 2, 2017</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980" w:type="dxa"/>
            <w:vAlign w:val="bottom"/>
            <w:gridSpan w:val="7"/>
          </w:tcPr>
          <w:p>
            <w:pPr>
              <w:jc w:val="center"/>
              <w:ind w:right="4080"/>
              <w:spacing w:after="0"/>
              <w:rPr>
                <w:sz w:val="20"/>
                <w:szCs w:val="20"/>
                <w:color w:val="auto"/>
              </w:rPr>
            </w:pPr>
            <w:r>
              <w:rPr>
                <w:rFonts w:ascii="Arial" w:cs="Arial" w:eastAsia="Arial" w:hAnsi="Arial"/>
                <w:sz w:val="18"/>
                <w:szCs w:val="18"/>
                <w:b w:val="1"/>
                <w:bCs w:val="1"/>
                <w:color w:val="auto"/>
                <w:w w:val="98"/>
              </w:rPr>
              <w:t>PART I</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9120" w:type="dxa"/>
            <w:vAlign w:val="bottom"/>
            <w:gridSpan w:val="21"/>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Unresolved Staff Comments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Properties</w:t>
              </w:r>
            </w:hyperlink>
          </w:p>
        </w:tc>
        <w:tc>
          <w:tcPr>
            <w:tcW w:w="7080" w:type="dxa"/>
            <w:vAlign w:val="bottom"/>
            <w:gridSpan w:val="11"/>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340" w:type="dxa"/>
            <w:vAlign w:val="bottom"/>
            <w:gridSpan w:val="5"/>
            <w:shd w:val="clear" w:color="auto" w:fill="CCEEFF"/>
          </w:tcPr>
          <w:p>
            <w:pPr>
              <w:spacing w:after="0" w:line="202"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Legal Proceedings</w:t>
              </w:r>
            </w:hyperlink>
          </w:p>
        </w:tc>
        <w:tc>
          <w:tcPr>
            <w:tcW w:w="7780" w:type="dxa"/>
            <w:vAlign w:val="bottom"/>
            <w:gridSpan w:val="16"/>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120" w:type="dxa"/>
            <w:vAlign w:val="bottom"/>
            <w:gridSpan w:val="21"/>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7"/>
            <w:shd w:val="clear" w:color="auto" w:fill="CCEEFF"/>
          </w:tcPr>
          <w:p>
            <w:pPr>
              <w:jc w:val="center"/>
              <w:ind w:right="4080"/>
              <w:spacing w:after="0"/>
              <w:rPr>
                <w:sz w:val="20"/>
                <w:szCs w:val="20"/>
                <w:color w:val="auto"/>
              </w:rPr>
            </w:pPr>
            <w:r>
              <w:rPr>
                <w:rFonts w:ascii="Arial" w:cs="Arial" w:eastAsia="Arial" w:hAnsi="Arial"/>
                <w:sz w:val="18"/>
                <w:szCs w:val="18"/>
                <w:b w:val="1"/>
                <w:bCs w:val="1"/>
                <w:color w:val="auto"/>
              </w:rPr>
              <w:t>PART II</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120" w:type="dxa"/>
            <w:vAlign w:val="bottom"/>
            <w:gridSpan w:val="21"/>
          </w:tcPr>
          <w:p>
            <w:pPr>
              <w:spacing w:after="0" w:line="20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Market for the Company’s Common Equity, Related Shareholder Matters, and Issuer Purchases of Equity Securities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72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Selected Financial Data</w:t>
              </w:r>
            </w:hyperlink>
          </w:p>
        </w:tc>
        <w:tc>
          <w:tcPr>
            <w:tcW w:w="7400" w:type="dxa"/>
            <w:vAlign w:val="bottom"/>
            <w:gridSpan w:val="14"/>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120" w:type="dxa"/>
            <w:vAlign w:val="bottom"/>
            <w:gridSpan w:val="21"/>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4320" w:type="dxa"/>
            <w:vAlign w:val="bottom"/>
            <w:gridSpan w:val="15"/>
            <w:shd w:val="clear" w:color="auto" w:fill="CCEEFF"/>
          </w:tcPr>
          <w:p>
            <w:pPr>
              <w:spacing w:after="0" w:line="202"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4800" w:type="dxa"/>
            <w:vAlign w:val="bottom"/>
            <w:gridSpan w:val="6"/>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4320" w:type="dxa"/>
            <w:vAlign w:val="bottom"/>
            <w:gridSpan w:val="15"/>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Financial Statements and Supplementary Data</w:t>
              </w:r>
            </w:hyperlink>
          </w:p>
        </w:tc>
        <w:tc>
          <w:tcPr>
            <w:tcW w:w="4800" w:type="dxa"/>
            <w:vAlign w:val="bottom"/>
            <w:gridSpan w:val="6"/>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6480" w:type="dxa"/>
            <w:vAlign w:val="bottom"/>
            <w:gridSpan w:val="18"/>
            <w:shd w:val="clear" w:color="auto" w:fill="CCEEFF"/>
          </w:tcPr>
          <w:p>
            <w:pPr>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Changes in and Disagreements with Accountants on Accounting and Financial Disclosure</w:t>
              </w:r>
            </w:hyperlink>
          </w:p>
        </w:tc>
        <w:tc>
          <w:tcPr>
            <w:tcW w:w="2640" w:type="dxa"/>
            <w:vAlign w:val="bottom"/>
            <w:gridSpan w:val="3"/>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6480" w:type="dxa"/>
            <w:vAlign w:val="bottom"/>
            <w:gridSpan w:val="18"/>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2640" w:type="dxa"/>
            <w:vAlign w:val="bottom"/>
            <w:gridSpan w:val="3"/>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43"/>
        </w:trPr>
        <w:tc>
          <w:tcPr>
            <w:tcW w:w="106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4980" w:type="dxa"/>
            <w:vAlign w:val="bottom"/>
            <w:tcBorders>
              <w:top w:val="single" w:sz="8" w:color="CCEEFF"/>
            </w:tcBorders>
            <w:gridSpan w:val="7"/>
          </w:tcPr>
          <w:p>
            <w:pPr>
              <w:jc w:val="center"/>
              <w:ind w:right="4060"/>
              <w:spacing w:after="0"/>
              <w:rPr>
                <w:sz w:val="20"/>
                <w:szCs w:val="20"/>
                <w:color w:val="auto"/>
              </w:rPr>
            </w:pPr>
            <w:r>
              <w:rPr>
                <w:rFonts w:ascii="Arial" w:cs="Arial" w:eastAsia="Arial" w:hAnsi="Arial"/>
                <w:sz w:val="18"/>
                <w:szCs w:val="18"/>
                <w:b w:val="1"/>
                <w:bCs w:val="1"/>
                <w:color w:val="auto"/>
              </w:rPr>
              <w:t>PART III</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Directors, Executive Officers, and Corporate Governance</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4140" w:type="dxa"/>
            <w:vAlign w:val="bottom"/>
            <w:gridSpan w:val="14"/>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4980" w:type="dxa"/>
            <w:vAlign w:val="bottom"/>
            <w:gridSpan w:val="7"/>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Security Ownership of Certain Beneficial Owners and Management And Related Stockholder Matters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7340" w:type="dxa"/>
            <w:vAlign w:val="bottom"/>
            <w:gridSpan w:val="19"/>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Certain Relationships and Related Transactions, and Director Independence</w:t>
              </w:r>
            </w:hyperlink>
          </w:p>
        </w:tc>
        <w:tc>
          <w:tcPr>
            <w:tcW w:w="1780" w:type="dxa"/>
            <w:vAlign w:val="bottom"/>
            <w:gridSpan w:val="2"/>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Principal Accountant Fees and Services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43"/>
        </w:trPr>
        <w:tc>
          <w:tcPr>
            <w:tcW w:w="106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4980" w:type="dxa"/>
            <w:vAlign w:val="bottom"/>
            <w:tcBorders>
              <w:top w:val="single" w:sz="8" w:color="CCEEFF"/>
            </w:tcBorders>
            <w:gridSpan w:val="7"/>
          </w:tcPr>
          <w:p>
            <w:pPr>
              <w:jc w:val="center"/>
              <w:ind w:right="4080"/>
              <w:spacing w:after="0"/>
              <w:rPr>
                <w:sz w:val="20"/>
                <w:szCs w:val="20"/>
                <w:color w:val="auto"/>
              </w:rPr>
            </w:pPr>
            <w:r>
              <w:rPr>
                <w:rFonts w:ascii="Arial" w:cs="Arial" w:eastAsia="Arial" w:hAnsi="Arial"/>
                <w:sz w:val="18"/>
                <w:szCs w:val="18"/>
                <w:b w:val="1"/>
                <w:bCs w:val="1"/>
                <w:color w:val="auto"/>
                <w:w w:val="98"/>
              </w:rPr>
              <w:t>PART IV</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Exhibits and Financial Statement Schedules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16.</w:t>
            </w:r>
          </w:p>
        </w:tc>
        <w:tc>
          <w:tcPr>
            <w:tcW w:w="1560" w:type="dxa"/>
            <w:vAlign w:val="bottom"/>
            <w:gridSpan w:val="6"/>
          </w:tcPr>
          <w:p>
            <w:pPr>
              <w:spacing w:after="0" w:line="202"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Form 10-K Summary</w:t>
              </w:r>
            </w:hyperlink>
          </w:p>
        </w:tc>
        <w:tc>
          <w:tcPr>
            <w:tcW w:w="1600" w:type="dxa"/>
            <w:vAlign w:val="bottom"/>
            <w:gridSpan w:val="6"/>
          </w:tcPr>
          <w:p>
            <w:pPr>
              <w:spacing w:after="0"/>
              <w:rPr>
                <w:sz w:val="17"/>
                <w:szCs w:val="17"/>
                <w:color w:val="auto"/>
              </w:rPr>
            </w:pPr>
          </w:p>
        </w:tc>
        <w:tc>
          <w:tcPr>
            <w:tcW w:w="5960" w:type="dxa"/>
            <w:vAlign w:val="bottom"/>
            <w:gridSpan w:val="9"/>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240" w:top="36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Hawkins, Inc. distributes, blends and manufactures chemicals and specialty ingredients for our customers in a wide variety of industries. We began our operations primarily as a distributor of bulk chemicals with a strong customer focus. Over the years, we have maintained our strong customer focus and have expanded our business by increasing our sales of value-added chemical products and specialty ingredients, including manufacturing, blending and repackaging certain products. We believe that we create value for our customers through superb service and support, quality products, personalized applications and trustworthy, creative employees.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conduct our business in three segments: Industrial, Water Treatment, and Health and Nutrition. Our Health and Nutrition segment was established as a result of our acquisition of Stauber Performance Ingredients (“Stauber”) in December 2015. Financial information regarding these segments is reported in Item 7 and note 13 of Item 8 of this Annual Report on Form 10-K.</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Our Industrial Group specializes in providing industrial chemicals, products and services to industries such as agriculture, 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processing, electronics, energy, food, pharmaceutical and plating. This group’s principal products are acids, alkalis and industrial and food-grade salts.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25" w:lineRule="exact"/>
        <w:rPr>
          <w:sz w:val="20"/>
          <w:szCs w:val="20"/>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quantities, including liquid caustic soda, sulfuric acid, hydrochloric acid, phosphoric acid, potassium hydroxide and aqua ammonia;</w:t>
      </w:r>
    </w:p>
    <w:p>
      <w:pPr>
        <w:spacing w:after="0" w:line="170" w:lineRule="exact"/>
        <w:rPr>
          <w:rFonts w:ascii="Arial" w:cs="Arial" w:eastAsia="Arial" w:hAnsi="Arial"/>
          <w:sz w:val="18"/>
          <w:szCs w:val="18"/>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liquid phosphates, lactates and other blended products;</w:t>
      </w:r>
    </w:p>
    <w:p>
      <w:pPr>
        <w:spacing w:after="0" w:line="170" w:lineRule="exact"/>
        <w:rPr>
          <w:rFonts w:ascii="Arial" w:cs="Arial" w:eastAsia="Arial" w:hAnsi="Arial"/>
          <w:sz w:val="18"/>
          <w:szCs w:val="18"/>
          <w:color w:val="auto"/>
        </w:rPr>
      </w:pPr>
    </w:p>
    <w:p>
      <w:pPr>
        <w:ind w:left="400" w:hanging="162"/>
        <w:spacing w:after="0"/>
        <w:tabs>
          <w:tab w:leader="none" w:pos="4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Repackages water treatment chemicals for our Water Treatment Group and bulk industrial chemicals to sell in smaller quantities to our customers;</w:t>
      </w:r>
    </w:p>
    <w:p>
      <w:pPr>
        <w:spacing w:after="0" w:line="236" w:lineRule="exact"/>
        <w:rPr>
          <w:rFonts w:ascii="Arial" w:cs="Arial" w:eastAsia="Arial" w:hAnsi="Arial"/>
          <w:sz w:val="17"/>
          <w:szCs w:val="17"/>
          <w:color w:val="auto"/>
        </w:rPr>
      </w:pPr>
    </w:p>
    <w:p>
      <w:pPr>
        <w:ind w:left="400" w:hanging="16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chemicals according to customer formulas and specifications; and</w:t>
      </w:r>
    </w:p>
    <w:p>
      <w:pPr>
        <w:spacing w:after="0" w:line="225" w:lineRule="exact"/>
        <w:rPr>
          <w:rFonts w:ascii="Arial" w:cs="Arial" w:eastAsia="Arial" w:hAnsi="Arial"/>
          <w:sz w:val="18"/>
          <w:szCs w:val="18"/>
          <w:color w:val="auto"/>
        </w:rPr>
      </w:pPr>
    </w:p>
    <w:p>
      <w:pPr>
        <w:ind w:left="420" w:hanging="169"/>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Performs contract and private label bleach packaging.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group’s sales are concentrated primarily in Illinois, Iowa, Kentucky, Minnesota, Missouri, North Dakota, South Dakota, Tennessee and Wisconsin, while the group’s products sold into the food and pharmaceutical markets are sold nationally. The Industrial Group relies on a specially trained sales staff that works directly with customers on their specific needs. The group conducts its business primarily through distribution centers and terminal operations. Agricultural sales within this group tend to be seasonal, with higher sales due to the application of fertilizer during the planting season of March through June given the regions of the country where we are located.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equipment and solutions for potable water, municipal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wastewater, industrial process water and non-residential swimming pool water. This group has the resources and flexibility to treat systems ranging in size from a single small well to a multi-million-gallon-per-day facility.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utilizes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there are significant synergies between our Water Treatment and Industrial Groups in that we are able to obtain a competitive cost position on many of the chemicals sold by the Water Treatment Group due to the volumes of these chemicals purchased by our Industrial Group. In addition, our Industrial and Water Treatment groups share certain of our facilities, which leverage fixed costs across both groups.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group operates out of warehouses in 29 cities supplying products and services to customers primarily in Arkansas, Florida, Illinois, Indiana, Iowa, Kansas, Minnesota, Missouri, Montana, Nebraska, North Dakota, Ohio, Oklahoma, South Dakota, Wisconsin and Wyoming. We added two new Water Treatment branches in fiscal 2016. We entered the Florida market in fiscal 2015 through our acquisition of substantially all the assets of The Dumont Company, Inc. (“Dumont”), with seven operating locations. We expect to continue to invest in existing and new branches to expand the group’s geographic coverage. Our Water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8"/>
          <w:szCs w:val="18"/>
          <w:color w:val="auto"/>
        </w:rPr>
        <w:t>Treatment Group has historically experienced higher sales during April to September, primarily due to a seasonal increase in chemicals used by municipal water treatment facilities.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Health and Nutrition Segment. </w:t>
      </w:r>
      <w:r>
        <w:rPr>
          <w:rFonts w:ascii="Arial" w:cs="Arial" w:eastAsia="Arial" w:hAnsi="Arial"/>
          <w:sz w:val="17"/>
          <w:szCs w:val="17"/>
          <w:color w:val="auto"/>
        </w:rPr>
        <w:t>We established the Health and Nutrition segment of our business in December 2015 through our acquisition of Stauber. Our</w:t>
      </w:r>
      <w:r>
        <w:rPr>
          <w:rFonts w:ascii="Arial" w:cs="Arial" w:eastAsia="Arial" w:hAnsi="Arial"/>
          <w:sz w:val="17"/>
          <w:szCs w:val="17"/>
          <w:i w:val="1"/>
          <w:iCs w:val="1"/>
          <w:color w:val="auto"/>
        </w:rPr>
        <w:t xml:space="preserve"> </w:t>
      </w:r>
      <w:r>
        <w:rPr>
          <w:rFonts w:ascii="Arial" w:cs="Arial" w:eastAsia="Arial" w:hAnsi="Arial"/>
          <w:sz w:val="17"/>
          <w:szCs w:val="17"/>
          <w:color w:val="auto"/>
        </w:rPr>
        <w:t>Health and Nutrition Group specializes in providing ingredient distribution, processing and formulation solutions to manufacturers of nutraceutical, functional food and beverage, personal care, dietary supplement and other nutritional food, health and wellness products. This group offers a diverse product portfolio including minerals, botanicals and herbs, vitamins and amino acids, excipients, joint products, sweeteners and enzymes.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Health and Nutrition Group relies on a specially trained sales and product development staff that works directly with customers on their specific needs. The group’s extensive product portfolio combined with value-added services, including product formulation, sourcing and distribution, processing and blending and quality control and compliance, positions this group as a one-stop ingredient solutions provider to its customers. The group operates out of facilities in California and New York and its products are sold nationally and, in certain cases, internationally.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We have numerous suppliers, including many of the major chemical producers in the United States. We source our health and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ingredients from a wide array of domestic and international vendors. We typically have written distributorship agreements or supply contracts with our chemical suppliers that are periodically renewed. We believe that most of the products we purchase can be obtained from alternative sources should existing relationships be terminated. We are dependent 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times or limit or cut off the supply of materials to us. As a result, we may not be able to supply or manufacture products for our customers.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pursue, patents covering our products. We also have obtained certain trademarks for our products to distinguish them from our competitors’ products. We regard much of the formulae, information and processes that we generate and use in the conduct of our business as proprietary and protectable under applicable copyright, patent, trademark, trade secret and unfair competition laws.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Customer Concentration. </w:t>
      </w:r>
      <w:r>
        <w:rPr>
          <w:rFonts w:ascii="Arial" w:cs="Arial" w:eastAsia="Arial" w:hAnsi="Arial"/>
          <w:sz w:val="18"/>
          <w:szCs w:val="18"/>
          <w:color w:val="auto"/>
        </w:rPr>
        <w:t>In fiscal 2017, none of our customers accounted for 10% or more of our total sales. Sales to our largest customer, which is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segment, represented approximately 4% of our total sales in fiscal 2017, 5% of our total sales in fiscal 2016 and 6% of our total sales in fiscal 2015. Aggregate sales to our five largest customers, four of which are in our Industrial segment and one of which is in our Health and Nutrition segment, represented approximately 12% of our total sales in fiscal 2017, 14% of our total sales in fiscal 2016 and 18% of our total sales in fiscal 2015. No other customer represented more than 2% of our total sales in fiscal 2017. The loss of any of our largest customers, or a substantial portion of their business, could have a material adverse effect on our results of operations.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Competition. </w:t>
      </w:r>
      <w:r>
        <w:rPr>
          <w:rFonts w:ascii="Arial" w:cs="Arial" w:eastAsia="Arial" w:hAnsi="Arial"/>
          <w:sz w:val="17"/>
          <w:szCs w:val="17"/>
          <w:color w:val="auto"/>
        </w:rPr>
        <w:t>We operate in a competitive industry and compete with many producers, distributors and sales agents offering products equivalent to</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the products we offer. Many of our competitors are larger than we are and may have greater financial resources, although no one competitor is dominant in the markets we serve. We compete by offering quality products at competitive prices coupled with outstanding customer service and value-added services or product formulation where needed. Because of our long-standing relationships with many of our suppliers, we are often able to leverage those relationships to obtain products when supplies are scarce or to obtain competitive pricing.</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Geographic Information. </w:t>
      </w:r>
      <w:r>
        <w:rPr>
          <w:rFonts w:ascii="Arial" w:cs="Arial" w:eastAsia="Arial" w:hAnsi="Arial"/>
          <w:sz w:val="18"/>
          <w:szCs w:val="18"/>
          <w:color w:val="auto"/>
        </w:rPr>
        <w:t>Substantially all of our revenues are generated by sales to customers within, and long-lived assets are located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 of our total revenues were from sales to customers outside of the U.S. in fiscal 2017, and approximately 1% of our revenues were from sales to customers outside of the U.S. in both fiscal 2016 and fiscal 2015.</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Working Capital. </w:t>
      </w:r>
      <w:r>
        <w:rPr>
          <w:rFonts w:ascii="Arial" w:cs="Arial" w:eastAsia="Arial" w:hAnsi="Arial"/>
          <w:sz w:val="17"/>
          <w:szCs w:val="17"/>
          <w:color w:val="auto"/>
        </w:rPr>
        <w:t>Due to the nature of our operations, which includes purchases of large quantities of bulk chemicals, the timing of purchases can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changes in working capital and the resulting operating cash flow. Historically, our cash requirements for working capital increase during the period from April through November as caustic soda inventory levels increase with most of the barges received during this period. Additionally, due to seasonality of the Water Treatment business, our accounts receivable balance is generally higher during the period of April through September.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We had 659 employees as of April 2, 2017, including 58 covered by collective bargaining agreements.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i w:val="1"/>
          <w:iCs w:val="1"/>
          <w:color w:val="auto"/>
        </w:rPr>
        <w:t xml:space="preserve">About Us. </w:t>
      </w:r>
      <w:r>
        <w:rPr>
          <w:rFonts w:ascii="Arial" w:cs="Arial" w:eastAsia="Arial" w:hAnsi="Arial"/>
          <w:sz w:val="18"/>
          <w:szCs w:val="18"/>
          <w:color w:val="auto"/>
        </w:rPr>
        <w:t>Hawkins, Inc. was founded in 1938 and incorporated in Minnesota in 1955. We became a publicly-traded company in 1972.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offices are located at 2381 Rosegate, Roseville, Minnesota.</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Available Information. </w:t>
      </w:r>
      <w:r>
        <w:rPr>
          <w:rFonts w:ascii="Arial" w:cs="Arial" w:eastAsia="Arial" w:hAnsi="Arial"/>
          <w:sz w:val="17"/>
          <w:szCs w:val="17"/>
          <w:color w:val="auto"/>
        </w:rPr>
        <w:t>We have made available, free of charge, through our Internet website (http://www.hawkinsinc.com), our Annual Reports on Form 10-K, 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in a highly competitive industry and compete with producers, manufacturers, distributors and sales agents offering products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and customer service. Many of our competitors are larger than we are and may have greater financial resources, more product offerings and a broader geographic reach. As a result, these competitors may be able to offer a broader array of products to a larger geographic area and may be better able than us to withstand changes in conditions within our industry, changes in the prices and availability of raw materials and changes in general economic conditions as well as be able to introduce innovative products that reduce demand for or the profit of our products. Additionally, competitors’ pricing decisions could compel us to decrease our prices, which could adversely affect our margins and profitability. Our ability to maintain or increase our profitability would be dependent upon our ability to offset competitive decreases in the prices and margins of our products by improving production efficiency, investing in infrastructure to reduce freight costs, identifying and selling higher margin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the prices and availability of our raw materials, which may be cyclical in nature, could have a material adverse effect on our operations and the margins we receive on sales of our products.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experience regular and recurring fluctuations in the pricing of our raw materials. Those fluctuations can be significant and occur rapidly. The cyclicality of commodity markets, such as caustic soda, primarily results from changes in the balance between supply and demand and the level of general economic activity. We cannot predict whether the markets for our raw materials will favorably impact or negatively impact the margins we can realize.</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principal chemical raw materials are generally purchased under supply contracts. The prices we pay under these contracts generally lag the market prices of the underlying raw material and the cost of inventory we have on hand, particularly inventories of our bulk commodity chemicals where we have significant volumes stored at our facilities,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In periods of rapidly increasing market prices, our inventory cost position will tend to be favorable, possibly by material amounts, which may positively impact our margins. Conversely, in periods of rapidly decreasing market prices, our inventory cost position will tend to be unfavorable, possibly by material amounts, which may negatively impact our margins.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could have a material adverse effect on our businesses. Although we sell to areas traditionally considered non-cyclical, such as water treatment, food products and health and nutritional ingredients, many of our customers are in businesses that are cyclical in nature, such as the industrial manufacturing and energy industries which include the ethanol and agriculture industries. Downturns in these industries could adversely affect our sales and our financial results by affecting demand for and pricing of our products.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Changes in our customers’ needs or failure of our products to meet customers’ specifications could adversely affect our sales and profitability.</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products are used for a broad range of applications by our customers. Changes in our customers’ product needs or processes may enable our customers to reduce or eliminate consumption of the products that we provide. Customers may also find alternative materials or processes that no longer require our products. Consequently, it is important that we develop new products to replace the sales of products that mature and decline in use.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meet the customers’ specifications, perform in a manner inconsistent with the customers’ expectations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hazards common to chemical manufacturing, blending, storage, handling and transportation, including explosions, fires, severe weather, natural disasters, mechanical failure, unscheduled downtime, transportation interruptions, traffic accidents involving our delivery vehicles,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zoning or other regulatory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upon transportation infrastructure to ship and receive our products and delays in these shipments could adversely affect our results of operations.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maintain a number of owned trucks and trailers, we rely heavily upon transportation provided by third parties (including common carriers, barge companies, rail companies and trans-ocean cargo companies) to deliver products to us and to our customers. Our access to third-party transportation is not guaranteed, and we may be unable to transport our products in a timely manner, or at all, in certain circumstances, or at economically attractive rates. Disruptions in transportation are common, are often out of our control, and can happen suddenly and without warning. Rail limitations, such as limitations in rail capacity, availability of railcars and adverse weather conditions have disrupted or delayed rail shipments in the past and we expect they will continue into the future. Barge shipments are delayed or impossible under certain circumstances, including during times of high or low water levels, when waterways are frozen and when locks and dams are inoperable. Truck transportation has been negatively impacted by a number of factors, including limited availability of qualified drivers and equipment, and limitations on drivers’ hours of service, and may be further impacted by the implementation of federally mandated electronic log books, and we expect these conditions will continue into the future. The volumes handled by, and operating challenges at, ocean ports have at times been volatile and can delay the receipt of goods, or cause the cost of shipping goods to be more expensive. Our failure to ship or receive products in a timely and efficient manner could have a material adverse effect on our financial condition and results of operations.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and safety, transportation and storage laws and regulations cause us to incur substantial costs and may subject us to future liabilities and risks.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numerous federal, state and local environmental, health and safety laws and regulations in the jurisdictions in which we operate, including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The nature of our business exposes us to risks of liability under these laws and regulations. Ongoing compliance with such laws and regulations is an important consideration for us and we invest substantial capital and incur significant operating costs in our compliance efforts.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 In addition, these concerns could influence public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perceptions, impact the commercial viability of the products we sell and increase the costs to comply with increasingly complex regulations, which could have a negative impact on our business, financial condition and results of operations.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we operate a fleet of more than 150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businesses, equipment operation, and safety. We are audited periodically by the DOT to ensure that we are in compliance with various safety,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violate applicable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food, pharmaceutical and nutritional products are subject to government regulation, both in the United States and abroad, which could increase our costs significantly and limit or prevent the sale of such products.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manufacture, packaging, labeling, advertising, promotion, distribution and sale of our food, pharmaceutical and nutritional products are subject to regulation by numerous national and local governmental agencies in the United States and other countries. The primary regulatory bodies in the United States are the Food and Drug Administration (the “FDA”), the United States Department of Agriculture and the Federal Trade Commission, and we are also subject to similar regulators in other countries. Failure to comply with these regulatory requirements may result in various types of penalties or fines. These include injunctions, product withdrawals, recalls, product seizures, fines and criminal prosecutions. Individual states also regulate dietary supplements. A state may interpret claims or products presumptively valid under federal law as illegal under that state’s regulations. Approvals or licensing may be conditioned on reformulation of products or may be unavailable with respect to certain products or product ingredients. Any of these government agencies, as well as legislative bodies, can change existing regulations, or impose new ones, or could take aggressive measures, causing or contributing to a variety of negative consequences, including:</w:t>
      </w:r>
    </w:p>
    <w:p>
      <w:pPr>
        <w:spacing w:after="0" w:line="19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requirements for the reformulation of certain or all products to meet new standards,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recall or discontinuance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record-keeping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documentation of the properties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or different labeling,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event tracking and reporting,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scientific substantiation.</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particular, the FDA’s current good manufacturing practices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supplements, with requirements for quality control, design and construction of manufacturing plants, testing of ingredients and final products, record keeping, and complaints processes. Those who manufacture, package or store dietary supplements must comply with current GMPs. If we or our suppliers fail to comply with current GMPs, the FDA may take enforcement action against us or our suppliers.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or all of the potential negative consequences described above could have a material adverse effect on us or substantially increase the cost of doing business in this area. There can be no assurance that the regulatory environment in which we operate will not change or that such regulatory environment, or any specific action taken against us, will not result in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t>Our businesses expose us to potential product liability claims and recalls, which could adversely affect our financial condition and performance.</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repackaging, blending, mixing and distribution of products by us, including chemical products and products used in food or food ingredients or with medical, pharmaceutical or dietary supplement applications, involve an inherent risk of exposure to product liability claims, product recalls, product seizures and related adverse publicity, including, without limitation, claims for exposure to our products, spills or escape of our products, personal injuries, food-related claims and property damage or environmental claims. A product liability claim, judgment or recall against our customers could also result in substantial and unexpected expenditures for us, affect consumer confidence in our products and divert management’s attention from other responsibilities. Although we maintain product liability insurance, there can be no assurance that the type or level of coverage is adequate or that we will be able to continue to maintain our existing insurance or obtain comparable insurance at a reasonable cost, if at all. A product recall or a partially or completely uninsured judgment against us could have a material adverse effect on our business, financial condition and results of operations.</w:t>
      </w:r>
    </w:p>
    <w:p>
      <w:pPr>
        <w:spacing w:after="0" w:line="17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Demand for our food and nutritional products is highly dependent upon consumers’ perception of the safety and quality of our products, our customers’ products as well as similar products distributed by other companies, and adverse publicity and negative public perception regarding particular ingredients or products or the nutraceuticals industry in general could limit our ability to increase revenue and grow that portion of our business.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Purchasing decisions made by consumers of products that contain our ingredients may be affected by adverse publicity or negative public perception regarding particular ingredients or products or the nutraceuticals industry in general. This negative public perception may include publicity regarding the legality or quality of particular ingredients or products in general or of other companies or our products or ingredients specifically. Negative public perception may also arise from regulatory investigations, regardless of whether those investigations involve us. We are highly dependent upon consumers’ perception of the safety and quality of products that contain our ingredients as well as similar products distributed by other companies. Thus, the mere publication of reports asserting that such products may be harmful could have a material adverse effect on us, regardless of whether these reports are scientifically supported. Publicity related to dietary supplements may also result in increased regulatory scrutiny of our industry. Adverse publicity may have a material adverse effect on our business, financial condition, results of operations and cash flows. There can be no assurance of future favorable scientific results and media attention or of the absence of unfavorable or inconsistent findings.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Water Treatment Group and our agricultural product sales within our Industrial Group are subject to seasonality and weather conditions, which could adversely affect our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Our agricultural product sales are also seasonal, primarily corresponding with the planting and harvesting seasons. Demand in both of these areas is also affected by weather conditions, as either higher or lower than normal precipitation or temperatures may affect water usage and the timing and the amount of consumption of our products. We cannot assure you that seasonality or fluctuating weather conditions will not have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property, business interruption and casualty insurance, but such insurance may not cover all risks associated with the hazards of our businesses and is subject to limitations, including deductibles and limits on the liabilities covered. We may incur losses beyond the limits or outside the coverage of our insurance policies, including liabilities for environmental remediation and product liability. In addition, from time to time, various types of insurance for companies in the chemical or food and nutritional products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entered into a credit facility, and failure to comply with the covenants thereunder may have a material adverse effect.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2015, we entered into a credit agreement (the “Credit Agreement”) with U.S. Bank National Association and other lenders from time to time party thereto (collectively, the “Lenders”), which included senior secured credit facilities (the “Credit Facility”) totaling $165.0 million, consisting of (i) a $100.0 million senior secured term loan credit facility (the “Term Loan Facility”) and (ii) a $65.0 million senior secured revolving loan credit facility (the “Revolving Loan Facility”). The Revolving Loan Facility includes a $5.0 million letter of credit subfacility and $8.0 million swingline subfacility. Loans under the Term Loan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312" w:lineRule="auto"/>
        <w:rPr>
          <w:sz w:val="20"/>
          <w:szCs w:val="20"/>
          <w:color w:val="auto"/>
        </w:rPr>
      </w:pPr>
      <w:r>
        <w:rPr>
          <w:rFonts w:ascii="Arial" w:cs="Arial" w:eastAsia="Arial" w:hAnsi="Arial"/>
          <w:sz w:val="16"/>
          <w:szCs w:val="16"/>
          <w:color w:val="auto"/>
        </w:rPr>
        <w:t>Facility are to be repaid in quarterly installments on the last day of each fiscal quarter, with $5.0 million paid in year one, $7.5 million to be paid in year two, and $10.0 million to be paid in years three through five. As of April 2, 2017, we had $93.1 million outstanding under the Term Loan Facility and $10.0 million outstanding under the Revolving Loan Facility. The remaining outstanding balance on these credit facilities will be repaid in full after five years.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generate sufficient cash flow or otherwise obtain funds necessary to make required payments on the Credit Facility, we will be in default. We are also required to comply with several financial covenants under the Credit Agreement. Our ability to comply with such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contains other customary affirmative and negative covenants, including covenants that restrict the ability of the Company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may adversely affect our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Impairment to the carrying value of our goodwill or other intangible assets could adversely affect our financial condition and consolidated results of operations.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Goodwill represents the excess of the cost of acquired businesses over the fair value of identifiable tangible 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or January 2, 2017 for fiscal 2017. Goodwill impairment testing is at the reporting unit level. For our Industrial and Water Treatment reporting units, we performed an analysis of qualitative factors to determine if it is more likely than not that the fair value of a reporting unit is less than its carrying amount. If that qualitative analysis indicates that an impairment may exist, then we would calculate the amount of the impairment by comparing the fair value of the assets and liabilities to the fair value of the reporting unit. For our Health and Nutrition reporting unit, we performed a quantitative goodwill impairment analysis, which required us to estimate the fair value of this reporting unit and compare the fair value to the reporting unit’s carrying value. The fair value of the reporting unit in excess of the value of the assets and liabilities is the implied fair value of the goodwill. If this amount is less than the carrying amount of goodwill, impairment is recognized for the difference. As of January 2, 2017, the excess fair value over the carrying value of our Health and Nutrition reporting unit was $7.4 million, or 4.8%. A significant amount of judgment is involved in determining if an indication of impairment exists. Factors may include, among others: a significant decline in our expected future cash flows; a sustained, significant decline in our stock price and market capitalization; a significant adverse change in the business climate; unanticipated competition; and slower growth rates. An adverse change in these factors may have a significant impact on the recoverability of the net assets recorded, and the resulting impairment charge could have a material adverse effect on our financial condition and consolidated results of operations.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the useful lives of our intangible assets to determine if they are definite- or indefinite-lived. Reaching a determination on useful life requires significant judgments and assumptions regarding the future effects of obsolescence, demand, competition, other economic factors (such as the stability of the industry, legislative action that results in an uncertain or changing regulatory environment, and expected changes in distribution channels), and the expected lives of other related groups of assets.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cannot accurately predict the amount and timing of any impairment of goodwill and other intangible assets. Should the value of these assets become impaired, there could be a material adverse effect on our financial condition and 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specialized and technical nature of our businesses,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integrate acquisitions into our business, which could result in unanticipated expenses and losses.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available cash and borrowing capacity. The expense incurred in consummating acquisitions, the time it takes to integrate an acquisition or our failure to integrate businesses successfully could result in unanticipated expenses and losses. Furthermore, we may not be able to realize the anticipated benefits from acquisitions.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businesses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businesses are subject to risks stemming from natural disasters or other extraordinary events outside of our control, which could interrupt our production and adversely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businesses. Flooding of the Mississippi River has temporarily shifted the Company’s terminal operations out of its buildings three times since the spring of 2010. We can give no assurance that flooding or other natural disasters will not recur or that there will not be material damage or interruption to our operations in the future from such disasters.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Chemical-related assets may be at greater risk of future terrorist attacks than other possible targets in the United States. Federal law imposes site security requirements, specifically on chemical facilities, which have increased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lease the land where our three main terminals are located and where another significant manufacturing plant is located. We do not have guaranteed lease renewal options and may not be able to renew our leases in the future. Our current lease renewal periods extend out to 2023, 2028, 2029 and 2034. The failure to secure extended lease terms on any one of these facilities may have a material adverse impact on our business, as they are where a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 fourth lease provides that we turn any property remaining on the land over to the lessor for them to maintain or remove at their expense. The cost to relocate our operations could have a material adverse effect on our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corporate office is located in Roseville, Minnesota, where we lease approximately 40,000 square feet under a lease with an initial term through December 31, 2021. We own our principal manufacturing, warehousing, and distribution location in Minneapolis, Minnesota, which consists of approximately 11 acres of land, with six buildings containing a total of 177,000 square feet of office and warehouse space primarily used by our Industrial Group. We have installed sprinkler systems in substantially all of our warehouse facilities for fire protection. We believe that we carry customary levels of insurance covering the replacement of damaged property.</w:t>
      </w:r>
    </w:p>
    <w:p>
      <w:pPr>
        <w:spacing w:after="0" w:line="1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to the facilities described previously, our other facilities are described below. We believe that these facilities, together with those described above, are adequate and suitable for the purposes they serve. Unless noted, each facility is owned by us and is primarily used as office and warehouse.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Group</w:t>
            </w:r>
          </w:p>
        </w:tc>
        <w:tc>
          <w:tcPr>
            <w:tcW w:w="2120" w:type="dxa"/>
            <w:vAlign w:val="bottom"/>
          </w:tcPr>
          <w:p>
            <w:pPr>
              <w:spacing w:after="0"/>
              <w:rPr>
                <w:sz w:val="14"/>
                <w:szCs w:val="14"/>
                <w:color w:val="auto"/>
              </w:rPr>
            </w:pP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320" w:type="dxa"/>
            <w:vAlign w:val="bottom"/>
            <w:vMerge w:val="restart"/>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Approx.</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Industrial</w:t>
            </w: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Camanche, IA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95,000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Centralia, IL (1)</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77,000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Dupo, IL (2)</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64,000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St. Paul, MN (3)</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32,000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Rosemount, MN (4)</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63,000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St Louis, MO</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Water Treatment</w:t>
            </w: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Ft. Smith, AR (5)</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Apopka, FL</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32,100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Big Pine Key, FL (5)</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Hollywood, FL (5)</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5,400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6"/>
              </w:rPr>
              <w:t>LaBelle, FL (5)</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8,200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Thomasville, GA (5)</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35,800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Brooker, FL</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4,640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Tarrytown, FL (5)</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6,500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Swainsboro, GA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57,000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Eldridge, IA</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Slater, IA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Centralia, IL</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39,000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Havana, IL</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Peotone, IL (5)</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Muncie, IN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Garnett, KS</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6"/>
              </w:rPr>
              <w:t>Frankfort, KY</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Columbia, MO (5)</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Billings, MT</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Fargo, ND</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Washburn, ND</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Lincoln, NE (5)</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Tulsa, OK</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7,300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Sioux Falls, SD</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27,000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Rapid City, SD</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Fond du Lac, WI</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24,000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Superior, WI</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43"/>
        </w:trPr>
        <w:tc>
          <w:tcPr>
            <w:tcW w:w="4280" w:type="dxa"/>
            <w:vAlign w:val="bottom"/>
          </w:tcPr>
          <w:p>
            <w:pPr>
              <w:ind w:left="700"/>
              <w:spacing w:after="0"/>
              <w:rPr>
                <w:sz w:val="20"/>
                <w:szCs w:val="20"/>
                <w:color w:val="auto"/>
              </w:rPr>
            </w:pPr>
            <w:r>
              <w:rPr>
                <w:rFonts w:ascii="Arial" w:cs="Arial" w:eastAsia="Arial" w:hAnsi="Arial"/>
                <w:sz w:val="18"/>
                <w:szCs w:val="18"/>
                <w:color w:val="auto"/>
              </w:rPr>
              <w:t>Industrial and Water Treatment</w:t>
            </w: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St. Paul, MN (6)</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59,000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Memphis, TN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41,000</w:t>
            </w:r>
          </w:p>
        </w:tc>
        <w:tc>
          <w:tcPr>
            <w:tcW w:w="0" w:type="dxa"/>
            <w:vAlign w:val="bottom"/>
          </w:tcPr>
          <w:p>
            <w:pPr>
              <w:spacing w:after="0"/>
              <w:rPr>
                <w:sz w:val="1"/>
                <w:szCs w:val="1"/>
                <w:color w:val="auto"/>
              </w:rPr>
            </w:pPr>
          </w:p>
        </w:tc>
      </w:tr>
      <w:tr>
        <w:trPr>
          <w:trHeight w:val="243"/>
        </w:trPr>
        <w:tc>
          <w:tcPr>
            <w:tcW w:w="4280" w:type="dxa"/>
            <w:vAlign w:val="bottom"/>
          </w:tcPr>
          <w:p>
            <w:pPr>
              <w:ind w:left="700"/>
              <w:spacing w:after="0"/>
              <w:rPr>
                <w:sz w:val="20"/>
                <w:szCs w:val="20"/>
                <w:color w:val="auto"/>
              </w:rPr>
            </w:pPr>
            <w:r>
              <w:rPr>
                <w:rFonts w:ascii="Arial" w:cs="Arial" w:eastAsia="Arial" w:hAnsi="Arial"/>
                <w:sz w:val="18"/>
                <w:szCs w:val="18"/>
                <w:color w:val="auto"/>
              </w:rPr>
              <w:t>Health and Nutrition</w:t>
            </w:r>
          </w:p>
        </w:tc>
        <w:tc>
          <w:tcPr>
            <w:tcW w:w="212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Fullerton, CA (7)</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55,800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7"/>
              </w:rPr>
              <w:t>Florida, NY (8)</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107,000</w:t>
            </w:r>
          </w:p>
        </w:tc>
        <w:tc>
          <w:tcPr>
            <w:tcW w:w="0" w:type="dxa"/>
            <w:vAlign w:val="bottom"/>
          </w:tcPr>
          <w:p>
            <w:pPr>
              <w:spacing w:after="0"/>
              <w:rPr>
                <w:sz w:val="1"/>
                <w:szCs w:val="1"/>
                <w:color w:val="auto"/>
              </w:rPr>
            </w:pPr>
          </w:p>
        </w:tc>
      </w:tr>
      <w:tr>
        <w:trPr>
          <w:trHeight w:val="459"/>
        </w:trPr>
        <w:tc>
          <w:tcPr>
            <w:tcW w:w="4280" w:type="dxa"/>
            <w:vAlign w:val="bottom"/>
          </w:tcPr>
          <w:p>
            <w:pPr>
              <w:spacing w:after="0"/>
              <w:rPr>
                <w:sz w:val="24"/>
                <w:szCs w:val="24"/>
                <w:color w:val="auto"/>
              </w:rPr>
            </w:pPr>
          </w:p>
        </w:tc>
        <w:tc>
          <w:tcPr>
            <w:tcW w:w="2120" w:type="dxa"/>
            <w:vAlign w:val="bottom"/>
          </w:tcPr>
          <w:p>
            <w:pPr>
              <w:jc w:val="right"/>
              <w:ind w:right="510"/>
              <w:spacing w:after="0"/>
              <w:rPr>
                <w:sz w:val="20"/>
                <w:szCs w:val="20"/>
                <w:color w:val="auto"/>
              </w:rPr>
            </w:pPr>
            <w:r>
              <w:rPr>
                <w:rFonts w:ascii="Arial" w:cs="Arial" w:eastAsia="Arial" w:hAnsi="Arial"/>
                <w:sz w:val="18"/>
                <w:szCs w:val="18"/>
                <w:color w:val="auto"/>
              </w:rPr>
              <w:t>10</w:t>
            </w:r>
          </w:p>
        </w:tc>
        <w:tc>
          <w:tcPr>
            <w:tcW w:w="2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3" w:name="page14"/>
    <w:bookmarkEnd w:id="13"/>
    <w:p>
      <w:pPr>
        <w:ind w:left="54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includes 10 acres of land located in Centralia, Illinois owned by the Company. The facility includes manufacturing capacity and primarily serves our food-grade products and agriculture businesses.</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land for this manufacturing and packaging facility is leased from a third party, with the lease expiring in May 2023.</w:t>
      </w:r>
    </w:p>
    <w:p>
      <w:pPr>
        <w:spacing w:after="0" w:line="90" w:lineRule="exact"/>
        <w:rPr>
          <w:rFonts w:ascii="Arial" w:cs="Arial" w:eastAsia="Arial" w:hAnsi="Arial"/>
          <w:sz w:val="18"/>
          <w:szCs w:val="18"/>
          <w:color w:val="auto"/>
        </w:rPr>
      </w:pPr>
    </w:p>
    <w:p>
      <w:pPr>
        <w:jc w:val="both"/>
        <w:ind w:left="540" w:hanging="316"/>
        <w:spacing w:after="0" w:line="31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One of the applicable leases runs through 2028, while the other one runs through 2034.</w:t>
      </w:r>
    </w:p>
    <w:p>
      <w:pPr>
        <w:spacing w:after="0" w:line="11"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includes 28 acres of land owned by the Company. This manufacturing facility was constructed by us and has outside storage tanks for the storage of bulk chemicals, as well as numerous smaller tanks for storing and mixing chemicals.</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is leased from a third party and is warehouse space.</w:t>
      </w:r>
    </w:p>
    <w:p>
      <w:pPr>
        <w:spacing w:after="0" w:line="90"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Red Rock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the lease runs until 2029.</w:t>
      </w:r>
    </w:p>
    <w:p>
      <w:pPr>
        <w:spacing w:after="0" w:line="46"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a leased facility comprising administrative offices and a distribution facility. The lease runs through January 2021.</w:t>
      </w:r>
    </w:p>
    <w:p>
      <w:pPr>
        <w:spacing w:after="0" w:line="9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comprised of a 79,000 square foot manufacturing plant which sits on approximately 16 acres, as well as a leased 28,000 square foot warehouse located in close proximity.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0" w:hanging="1296"/>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COMPANY’S COMMON EQUITY, RELATED SHAREHOLDER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4"/>
            <w:shd w:val="clear" w:color="auto" w:fill="CCEEFF"/>
          </w:tcPr>
          <w:p>
            <w:pPr>
              <w:ind w:left="840"/>
              <w:spacing w:after="0"/>
              <w:rPr>
                <w:sz w:val="20"/>
                <w:szCs w:val="20"/>
                <w:color w:val="auto"/>
              </w:rPr>
            </w:pPr>
            <w:r>
              <w:rPr>
                <w:rFonts w:ascii="Arial" w:cs="Arial" w:eastAsia="Arial" w:hAnsi="Arial"/>
                <w:sz w:val="14"/>
                <w:szCs w:val="14"/>
                <w:b w:val="1"/>
                <w:bCs w:val="1"/>
                <w:color w:val="auto"/>
              </w:rPr>
              <w:t>Quarterly Stock Data</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8300" w:type="dxa"/>
            <w:vAlign w:val="bottom"/>
            <w:gridSpan w:val="4"/>
          </w:tcPr>
          <w:p>
            <w:pPr>
              <w:ind w:left="840"/>
              <w:spacing w:after="0"/>
              <w:rPr>
                <w:sz w:val="20"/>
                <w:szCs w:val="20"/>
                <w:color w:val="auto"/>
              </w:rPr>
            </w:pPr>
            <w:r>
              <w:rPr>
                <w:rFonts w:ascii="Arial" w:cs="Arial" w:eastAsia="Arial" w:hAnsi="Arial"/>
                <w:sz w:val="18"/>
                <w:szCs w:val="18"/>
                <w:color w:val="auto"/>
              </w:rPr>
              <w:t>Fiscal 2017</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46.55</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38.60</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40.62</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45.65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35.44</w:t>
            </w:r>
          </w:p>
        </w:tc>
      </w:tr>
      <w:tr>
        <w:trPr>
          <w:trHeight w:val="250"/>
        </w:trPr>
        <w:tc>
          <w:tcPr>
            <w:tcW w:w="8300" w:type="dxa"/>
            <w:vAlign w:val="bottom"/>
            <w:tcBorders>
              <w:bottom w:val="single" w:sz="8" w:color="CCEEFF"/>
            </w:tcBorders>
            <w:gridSpan w:val="4"/>
            <w:shd w:val="clear" w:color="auto" w:fill="CCEEFF"/>
          </w:tcPr>
          <w:p>
            <w:pPr>
              <w:ind w:left="840"/>
              <w:spacing w:after="0"/>
              <w:rPr>
                <w:sz w:val="20"/>
                <w:szCs w:val="20"/>
                <w:color w:val="auto"/>
              </w:rPr>
            </w:pPr>
            <w:r>
              <w:rPr>
                <w:rFonts w:ascii="Arial" w:cs="Arial" w:eastAsia="Arial" w:hAnsi="Arial"/>
                <w:sz w:val="18"/>
                <w:szCs w:val="18"/>
                <w:color w:val="auto"/>
              </w:rPr>
              <w:t>Fiscal 2016</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30.53</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43.17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34.74</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33.94</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37.45</w:t>
            </w:r>
          </w:p>
        </w:tc>
      </w:tr>
      <w:tr>
        <w:trPr>
          <w:trHeight w:val="324"/>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8300" w:type="dxa"/>
            <w:vAlign w:val="bottom"/>
            <w:gridSpan w:val="4"/>
            <w:shd w:val="clear" w:color="auto" w:fill="CCEEFF"/>
          </w:tcPr>
          <w:p>
            <w:pPr>
              <w:ind w:left="840"/>
              <w:spacing w:after="0"/>
              <w:rPr>
                <w:sz w:val="20"/>
                <w:szCs w:val="20"/>
                <w:color w:val="auto"/>
              </w:rPr>
            </w:pPr>
            <w:r>
              <w:rPr>
                <w:rFonts w:ascii="Arial" w:cs="Arial" w:eastAsia="Arial" w:hAnsi="Arial"/>
                <w:sz w:val="14"/>
                <w:szCs w:val="14"/>
                <w:b w:val="1"/>
                <w:bCs w:val="1"/>
                <w:color w:val="auto"/>
              </w:rPr>
              <w:t>Cash Dividends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4"/>
              </w:rPr>
              <w:t>Declared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Paid</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8300" w:type="dxa"/>
            <w:vAlign w:val="bottom"/>
            <w:gridSpan w:val="4"/>
          </w:tcPr>
          <w:p>
            <w:pPr>
              <w:ind w:left="840"/>
              <w:spacing w:after="0"/>
              <w:rPr>
                <w:sz w:val="20"/>
                <w:szCs w:val="20"/>
                <w:color w:val="auto"/>
              </w:rPr>
            </w:pPr>
            <w:r>
              <w:rPr>
                <w:rFonts w:ascii="Arial" w:cs="Arial" w:eastAsia="Arial" w:hAnsi="Arial"/>
                <w:sz w:val="18"/>
                <w:szCs w:val="18"/>
                <w:color w:val="auto"/>
              </w:rPr>
              <w:t>Fiscal 2018</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4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1st Quarter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r>
      <w:tr>
        <w:trPr>
          <w:trHeight w:val="243"/>
        </w:trPr>
        <w:tc>
          <w:tcPr>
            <w:tcW w:w="8300" w:type="dxa"/>
            <w:vAlign w:val="bottom"/>
            <w:gridSpan w:val="4"/>
          </w:tcPr>
          <w:p>
            <w:pPr>
              <w:ind w:left="840"/>
              <w:spacing w:after="0"/>
              <w:rPr>
                <w:sz w:val="20"/>
                <w:szCs w:val="20"/>
                <w:color w:val="auto"/>
              </w:rPr>
            </w:pPr>
            <w:r>
              <w:rPr>
                <w:rFonts w:ascii="Arial" w:cs="Arial" w:eastAsia="Arial" w:hAnsi="Arial"/>
                <w:sz w:val="18"/>
                <w:szCs w:val="18"/>
                <w:color w:val="auto"/>
              </w:rPr>
              <w:t>Fiscal 2017</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0.42</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0.40</w:t>
            </w:r>
          </w:p>
        </w:tc>
      </w:tr>
      <w:tr>
        <w:trPr>
          <w:trHeight w:val="250"/>
        </w:trPr>
        <w:tc>
          <w:tcPr>
            <w:tcW w:w="8300" w:type="dxa"/>
            <w:vAlign w:val="bottom"/>
            <w:tcBorders>
              <w:bottom w:val="single" w:sz="8" w:color="CCEEFF"/>
            </w:tcBorders>
            <w:gridSpan w:val="4"/>
            <w:shd w:val="clear" w:color="auto" w:fill="CCEEFF"/>
          </w:tcPr>
          <w:p>
            <w:pPr>
              <w:ind w:left="840"/>
              <w:spacing w:after="0"/>
              <w:rPr>
                <w:sz w:val="20"/>
                <w:szCs w:val="20"/>
                <w:color w:val="auto"/>
              </w:rPr>
            </w:pPr>
            <w:r>
              <w:rPr>
                <w:rFonts w:ascii="Arial" w:cs="Arial" w:eastAsia="Arial" w:hAnsi="Arial"/>
                <w:sz w:val="18"/>
                <w:szCs w:val="18"/>
                <w:color w:val="auto"/>
              </w:rPr>
              <w:t>Fiscal 2016</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common shares are traded on The NASDAQ Global Market under the symbol “HWKN.” The price information represents sales prices as reported by The NASDAQ Global Market. As of May 26, 2017, shares of our common stock were held by approximately 422 shareholders of record.</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first started paying cash dividends in 1985 and have continued to do so since. Future dividend levels will be dependent upon our consolidated results of operations, financial position, cash flows and other factors, and are subject to approval by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share repurchase activity in the fourth quarter of fiscal 2017:</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7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Total Number of Shares</w:t>
            </w:r>
          </w:p>
        </w:tc>
        <w:tc>
          <w:tcPr>
            <w:tcW w:w="540" w:type="dxa"/>
            <w:vAlign w:val="bottom"/>
          </w:tcPr>
          <w:p>
            <w:pPr>
              <w:spacing w:after="0"/>
              <w:rPr>
                <w:sz w:val="14"/>
                <w:szCs w:val="14"/>
                <w:color w:val="auto"/>
              </w:rPr>
            </w:pPr>
          </w:p>
        </w:tc>
        <w:tc>
          <w:tcPr>
            <w:tcW w:w="16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9"/>
              </w:rPr>
              <w:t>Average Price Paid Per</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 that</w:t>
            </w:r>
          </w:p>
        </w:tc>
        <w:tc>
          <w:tcPr>
            <w:tcW w:w="0" w:type="dxa"/>
            <w:vAlign w:val="bottom"/>
          </w:tcPr>
          <w:p>
            <w:pPr>
              <w:spacing w:after="0"/>
              <w:rPr>
                <w:sz w:val="1"/>
                <w:szCs w:val="1"/>
                <w:color w:val="auto"/>
              </w:rPr>
            </w:pPr>
          </w:p>
        </w:tc>
      </w:tr>
      <w:tr>
        <w:trPr>
          <w:trHeight w:val="149"/>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May Yet be Purchased under Plans or</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Purchased</w:t>
            </w:r>
          </w:p>
        </w:tc>
        <w:tc>
          <w:tcPr>
            <w:tcW w:w="5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Share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Announced Plan or Program</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1/2/2017-1/29/2017</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112,546</w:t>
            </w: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Arial" w:cs="Arial" w:eastAsia="Arial" w:hAnsi="Arial"/>
                <w:sz w:val="18"/>
                <w:szCs w:val="18"/>
                <w:color w:val="auto"/>
              </w:rPr>
              <w:t>1/30/2017-2/26/2017</w:t>
            </w: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10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19"/>
              <w:spacing w:after="0"/>
              <w:rPr>
                <w:sz w:val="20"/>
                <w:szCs w:val="20"/>
                <w:color w:val="auto"/>
              </w:rPr>
            </w:pPr>
            <w:r>
              <w:rPr>
                <w:rFonts w:ascii="Arial" w:cs="Arial" w:eastAsia="Arial" w:hAnsi="Arial"/>
                <w:sz w:val="18"/>
                <w:szCs w:val="18"/>
                <w:color w:val="auto"/>
              </w:rPr>
              <w:t>112,546</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2/26/2017-04/2/2017</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13,015</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0"/>
              </w:rPr>
              <w:t>(1)</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48.45</w:t>
            </w:r>
          </w:p>
        </w:tc>
        <w:tc>
          <w:tcPr>
            <w:tcW w:w="210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112,546</w:t>
            </w:r>
          </w:p>
        </w:tc>
        <w:tc>
          <w:tcPr>
            <w:tcW w:w="0" w:type="dxa"/>
            <w:vAlign w:val="bottom"/>
          </w:tcPr>
          <w:p>
            <w:pPr>
              <w:spacing w:after="0"/>
              <w:rPr>
                <w:sz w:val="1"/>
                <w:szCs w:val="1"/>
                <w:color w:val="auto"/>
              </w:rPr>
            </w:pPr>
          </w:p>
        </w:tc>
      </w:tr>
      <w:tr>
        <w:trPr>
          <w:trHeight w:val="237"/>
        </w:trPr>
        <w:tc>
          <w:tcPr>
            <w:tcW w:w="2120" w:type="dxa"/>
            <w:vAlign w:val="bottom"/>
          </w:tcPr>
          <w:p>
            <w:pPr>
              <w:ind w:left="42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13,015</w:t>
            </w:r>
          </w:p>
        </w:tc>
        <w:tc>
          <w:tcPr>
            <w:tcW w:w="5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tcBorders>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5" w:name="page16"/>
    <w:bookmarkEnd w:id="15"/>
    <w:p>
      <w:pPr>
        <w:ind w:right="20" w:firstLine="8"/>
        <w:spacing w:after="0" w:line="308" w:lineRule="auto"/>
        <w:tabs>
          <w:tab w:leader="none" w:pos="27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shares of common stock in this row represent shares that were surrendered to us by stock plan participants to satisfy minimum withholding tax obligations related to the vesting of restricted stock awards and are not shares purchased under the Board of Directors authorization described above.</w:t>
      </w:r>
    </w:p>
    <w:p>
      <w:pPr>
        <w:spacing w:after="0" w:line="146" w:lineRule="exact"/>
        <w:rPr>
          <w:rFonts w:ascii="Arial" w:cs="Arial" w:eastAsia="Arial" w:hAnsi="Arial"/>
          <w:sz w:val="17"/>
          <w:szCs w:val="17"/>
          <w:color w:val="auto"/>
        </w:rPr>
      </w:pPr>
    </w:p>
    <w:p>
      <w:pPr>
        <w:jc w:val="both"/>
        <w:ind w:firstLine="8"/>
        <w:spacing w:after="0" w:line="259" w:lineRule="auto"/>
        <w:tabs>
          <w:tab w:leader="none" w:pos="28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Board of Directors has authorized a share repurchase program of up to 300,000 shares of our outstanding common stock. The shares may be repurchased on the open market or in privately negotiated transactions subject to applicable securities laws and regulations. We did not sell or purchase any shares of our common stock during fiscal 2017. As of April 2, 2017, the maximum number of shares available to be repurchased under the share repurchase program was 112,546.</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the NASDAQ Industrial Index, the NASDAQ Composite Index, the Russell 2000 Index and the S&amp;P Small Cap 600 Index on April 1, 2012,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230505</wp:posOffset>
            </wp:positionV>
            <wp:extent cx="5257165" cy="4116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Selected financial data for the Company is presented in the table below and should be read in conjunction with Management’s Discussion and Analysis of Financial Condition and Results of Operations included in Item 7 and the Company’s Financial Statements and Notes to Financial Statements included in Item 8 of this Annual Report on Form 10-K. Total assets shown below are for the Company’s total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6"/>
        </w:trPr>
        <w:tc>
          <w:tcPr>
            <w:tcW w:w="5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360" w:type="dxa"/>
            <w:vAlign w:val="bottom"/>
            <w:gridSpan w:val="5"/>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483,593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413,976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364,023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348,263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350,387</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98,073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80,257</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65,791</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61,600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56,936</w:t>
            </w: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22,555</w:t>
            </w:r>
          </w:p>
        </w:tc>
        <w:tc>
          <w:tcPr>
            <w:tcW w:w="380" w:type="dxa"/>
            <w:vAlign w:val="bottom"/>
          </w:tcPr>
          <w:p>
            <w:pPr>
              <w:spacing w:after="0"/>
              <w:rPr>
                <w:sz w:val="23"/>
                <w:szCs w:val="23"/>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18,143</w:t>
            </w:r>
          </w:p>
        </w:tc>
        <w:tc>
          <w:tcPr>
            <w:tcW w:w="2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19,214</w:t>
            </w:r>
          </w:p>
        </w:tc>
        <w:tc>
          <w:tcPr>
            <w:tcW w:w="3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18,094</w:t>
            </w:r>
          </w:p>
        </w:tc>
        <w:tc>
          <w:tcPr>
            <w:tcW w:w="36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17,108</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38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1.81</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1.62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0.80</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0.76</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0.68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dividends paid per common share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0.82</w:t>
            </w:r>
          </w:p>
        </w:tc>
        <w:tc>
          <w:tcPr>
            <w:tcW w:w="38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0.78</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0.74</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0.70</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0.66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418,584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436,491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248,462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237,193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222,148</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 - The reported number for fiscal 2013 is net income from continuing operations.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Stauber Performance Ingredients near the end of the third quarter of fiscal 2016, and we acquired substantially all the assets of Davis Supply, Inc. near the end of the second quarter of fiscal 2016 and The Dumont Company, Inc. in the third quarter of fiscal 2015. The results of these operations since the acquisition dates are included in our consolidated results of operations.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fiscal 2017, 2016 and 2015. Fiscal 2016 was a 53-week year, whereas fiscal 2017 and 2015 were 52-week years. This discussion should be read in conjunction with the consolidated Financial Statements and Notes to Consolidated Financial Statements included in Item 8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Business Expansion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Near the end of the third quarter of fiscal 2016, we acquired Stauber Performance Ingredients (“Stauber”) for $157.0 million on a cash-free, debt-free basis, subject to a customary working capital adjustment. The total consideration for the acquisition was $158.2 million ($156.7 million net of cash acquired). Stauber operates out of facilities in New York and California and blends and distributes specialty products and ingredients to manufacturers of nutraceutical, functional food and beverage, personal care, dietary supplement, and other nutritional food, health and wellness products. The acquisition expanded our portfolio of value-added specialty products within new markets. The results of operations since the acquisition date, and the assets, including the goodwill associated with the acquisition, are reported in our Health and Nutrition operating segment, starting with our results for the fourth quarter of fiscal 2016. Direct costs of $3.3 million related to this acquisition, consisting mainly of professional and consulting fees, were expensed as incurred during the fiscal year, and are classified as selling, general and administrative expenses in our consolidated statement of income.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In the second quarter of fiscal 2016, we acquired substantially all the assets of Davis Supply, Inc. (“Davis”) for $4.5 million under the terms of an asset purchase agreement with Davis and its shareholders. Davis was a water treatment chemical distribution company operating in Florida, and upon acquisition we integrated this business into our existing Florida locations. The results of operations after the date of acquisition and the acquired assets are included in our Water Treatment Segment.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third quarter of fiscal 2015, we acquired substantially all the assets of The Dumont Company, Inc. (“Dumont”) for $10.1 million under the terms of an asset purchase agreement with Dumont and its shareholders. Dumont was a water treatment chemical distribution company serving municipal water and wastewater treatment, private utilities, commercial swimming pools, irrigation water treatment and food processing chemical markets. Through this acquisition we added seven operating locations across Florida. The results of operations since the acquisition date are included in our Water Treatment Segment.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acquisitions discussed above, we opened two new branches for our Water Treatment Group in fiscal 2016. We expect to continue to invest in existing and new branches to expand our Water Treatment Group’s geographic coverage. The cost of any one of these expansion branches is not expected to be material. In addition, over the past three years, we have proactively added route sales and other support personnel to Water Treatment Group branch offices within our existing geographic coverage area. While these additions add costs in the near term, we expect these investments to better position us for future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Operating Segment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Stauber acquisition in fiscal 2016, we established our Health and Nutrition operating segment. This segment specializes in providing ingredient distribution, processing and formulation solutions to manufacturers of nutraceutical, functional food and beverage, personal care, dietary supplement and other nutritional food, health and wellness products. This group offers a diverse product portfolio including minerals, botanicals and herbs, vitamins and amino acids, excipients, joint products, sweeteners and enzymes.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this segment began in the fourth quarter of fiscal 2016, there is no comparison to the prior year in the fiscal 2016 to fiscal 2015 year-over-year discussion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fiscal 2015,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No shares were repurchased during fiscal 2017. During fiscal 2016, we repurchased 127,852 shares of common stock with an aggregate purchase price of $4.8 million, and during fiscal 2015 we repurchased 59,602 shares of common stock with an aggregate purchase price of $2.2 million. The remaining balance of shares available to be purchased under the share repurchase program is 112,546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our financial performance in fiscal 2017 is provided below:</w:t>
      </w:r>
    </w:p>
    <w:p>
      <w:pPr>
        <w:spacing w:after="0" w:line="225" w:lineRule="exact"/>
        <w:rPr>
          <w:sz w:val="20"/>
          <w:szCs w:val="20"/>
          <w:color w:val="auto"/>
        </w:rPr>
      </w:pPr>
    </w:p>
    <w:p>
      <w:pPr>
        <w:ind w:left="560" w:hanging="336"/>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$483.6 million, a 16.8% increase from fiscal 2016;</w:t>
      </w:r>
    </w:p>
    <w:p>
      <w:pPr>
        <w:spacing w:after="0" w:line="225" w:lineRule="exact"/>
        <w:rPr>
          <w:rFonts w:ascii="Arial" w:cs="Arial" w:eastAsia="Arial" w:hAnsi="Arial"/>
          <w:sz w:val="18"/>
          <w:szCs w:val="18"/>
          <w:color w:val="auto"/>
        </w:rPr>
      </w:pPr>
    </w:p>
    <w:p>
      <w:pPr>
        <w:ind w:left="660" w:hanging="40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 profit of $98.1 million, a $17.8 million, or 22.2%, increase from fiscal 2016; and</w:t>
      </w:r>
    </w:p>
    <w:p>
      <w:pPr>
        <w:spacing w:after="0" w:line="225" w:lineRule="exact"/>
        <w:rPr>
          <w:rFonts w:ascii="Arial" w:cs="Arial" w:eastAsia="Arial" w:hAnsi="Arial"/>
          <w:sz w:val="18"/>
          <w:szCs w:val="18"/>
          <w:color w:val="auto"/>
        </w:rPr>
      </w:pPr>
    </w:p>
    <w:p>
      <w:pPr>
        <w:ind w:left="560" w:hanging="336"/>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 of $44.9 million.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maintain relatively constant gross profit dollars per unit sold on each of our products as the cost of our raw materials increase or decrease, subject to competitive pricing pressures that may negatively impact our gross profit dollars per unit sold. Since we expect that we will continue to experience fluctuations in our raw material costs and resulting prices in the future, we believe that gross profit dollars is the best measure of our profitability from the sale of our products, as opposed to gross profit as a percentage of sales.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the last in, first out (“LIFO”) method of valuing the majority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Our LIFO reserve decreased by $2.7 million in fiscal 2017 due to a reduction in inventory costs per unit over a wide variety of products and lower volumes of certain inventory on hand,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resulting in an increase to our reported gross profit for the year. Our LIFO reserve decreased by $1.4 million in fiscal 2016 due to a decrease in certain inventory volumes on hand, along with lower commodity prices, resulting in an increase to our reported gross profit for the year.</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Fiscal 2017</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Fiscal 2016</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Fiscal 2015</w:t>
            </w: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(79.7)%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7"/>
        </w:trPr>
        <w:tc>
          <w:tcPr>
            <w:tcW w:w="6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(12.3)%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580" w:type="dxa"/>
            <w:vAlign w:val="bottom"/>
          </w:tcPr>
          <w:p>
            <w:pPr>
              <w:jc w:val="right"/>
              <w:spacing w:after="0"/>
              <w:rPr>
                <w:sz w:val="20"/>
                <w:szCs w:val="20"/>
                <w:color w:val="auto"/>
              </w:rPr>
            </w:pPr>
            <w:r>
              <w:rPr>
                <w:rFonts w:ascii="Arial" w:cs="Arial" w:eastAsia="Arial" w:hAnsi="Arial"/>
                <w:sz w:val="18"/>
                <w:szCs w:val="18"/>
                <w:color w:val="auto"/>
              </w:rPr>
              <w:t>(0.5)%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increased $69.6 million, or 16.8%, to $483.6 million for fiscal 2017, as compared to sales of $414.0 million for fiscal 2016. Fiscal 2017 includes a full year of operating results for our Health and Nutrition segment whereas fiscal 2016 included only one quarter of Health and Nutrition segment results due to the timing of the Stauber acquisition.</w:t>
      </w:r>
    </w:p>
    <w:p>
      <w:pPr>
        <w:spacing w:after="0" w:line="18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$13.2 million, or 5.2%, to $238.6 million for fiscal 2017. Sales of bulk commodity products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segment were approximately 19% of sales in fiscal 2017 compared to 20% in fiscal 2016. Sales volumes were down year over year, largely driven by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the prior year. These lower volumes, together with lower raw material costs on certain products which drove lower selling prices, resulted in the decrease in sales dollars.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$0.6 million, or 0.5%, to $129.0 million for fiscal 2017. Sales of bulk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Water Treatment segment were approximately 15% of sales in fiscal 2017 compared to 16% in fiscal 2016. Sales dollars increased slightly, despite the inclusion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the prior year, due to the business we acquired late in the second quarter of fiscal 2016 and increased volumes of specialized products.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Sales for our Health and Nutrition segment were $116.1 million in fiscal 2017, compared to $33.9 million for fiscal 2016, as</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included only one quarter of activity due to the timing of the Stauber acquisition. This compares to pro forma sales of $121.6 million for the comparable prior full-year period, which included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Gross profit was $98.1 million, or 20.3% of sales, for fiscal 2017, an increase of $17.8 million from $80.3 million, or 19.4% of sales, for fiscal 2016. The current year includes a full year of operating results for our Health and Nutrition segment as opposed to just one quarter of Health and Nutrition segment results in the prior year due to the timing of the Stauber acquisition. We estimated the total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 year to be approximately $2.1 million of additional gross profit in that year. The LIFO method of valuing inventory increased gross profit by $2.7 million for fiscal 2017, and increased gross profit by $1.4 million for fiscal 2016.</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$38.9 million, or 16.3% of sales, for fiscal 2017, an increase of $0.9 million from $38.0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15.1% of sales, for fiscal 2016. The LIFO method of valuing inventory increased gross profit by $2.0 million in the current year and $1.0 million in the prior year. We estimated the gross profit impact of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in our Industrial segment in fiscal 2016 to be approximately $1.0 million of additional gross profit in that year. Despite lower sales volumes, driven largely by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in the prior year, gross profit dollars increased due to improved per-unit margins from certain of our specialized products, and the year-over-year impact from LIFO. Gross profit as a percentage of sales improved over the prior year because of the same drivers noted above in addition to lower selling prices in the current year driven by lower raw material costs on certain products.</w:t>
      </w:r>
    </w:p>
    <w:p>
      <w:pPr>
        <w:spacing w:after="0" w:line="19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$0.5 million to $36.0 million, or 27.9% of sales, for fiscal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$35.5 million, or 27.6% of sales, for fiscal 2016. The LIFO method of valuing inventory increased gross profit by $0.7 million in the current and $0.4 million in the prior year. We estimated the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 to be approximately $0.6 million of additional gross profit in that year. Gross profit increased due to increased sales volumes of specialized products that have higher per-unit margins as well as profits from the business we acquired late in the second quarter of fiscal 2016.</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Gross profit for our Health and Nutrition segment was $23.2 million, or 20.0% of sales, in fiscal 2017, compared to $6.8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20.1% of sales, for fiscal 2016, as the prior year included only one quarter of activity due to the timing of the Stauber acquisition. Inventories in this segment are valued using the first-in, first-out (“FIFO”) method. We estimated the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 to be approximately $0.5 million of additional gross profit in that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Selling, general and administrative (“SG&amp;A”) expenses increased $10.3 million to $59.4 million, or 12.3% of sales, for fiscal 2017, as compared to $49.1 million, or 11.9% of sales, for fiscal 2016. We estimated the total impact to SG&amp;A expenses of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in fiscal 2016 to be approximately $0.9 million of additional expense in that year. We allocate certain corporate expenses to our operating segments, and we began allocating a portion of these costs to the Health and Nutrition segment in fiscal 2017. Corporate costs allocated to Health and Nutrition were $1.9 million for fiscal 2017; these costs would have been allocated to Industrial (approximately $1.2 million) and Water Treatment (approximately $0.7 million) in past years. Excluding the impact of corporate allocations, SG&amp;A expenses in our Health and Nutrition segment increased by $8.1 million in fiscal 2017 as compared to fiscal 2016. Fiscal 2016 included only one quarter of activity due to the timing of the Stauber acquisition, and included $3.3 million of non-recurring costs directly related to the Stauber acquisition. SG&amp;A expenses in our Health and Nutrition segment include $4.8 million of amortization expense on acquired intangible assets in fiscal 2017 and $1.2 million in fiscal 2016. SG&amp;A expenses incurred elsewhere in the company increased by $2.2 million compared to the prior year, largely due to the addition of sales and support personnel in our Industrial and Water Treatment segments.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was $38.7 million, or 8.0% of sales, for fiscal 2017, as compared to $31.2 million, or 7.5% of sales, for fiscal 2016. Operating income reported in our segments is impacted by corporate allocations of certain SG&amp;A costs. After corporate allocations, operating income in our Health and Nutrition segment was $5.5 million for fiscal 2017, compared to a loss of $0.9 million for fiscal 2016, which included only one quarter of operations and included $3.3 million of expenses related to our acquisition of Stauber. Operating income in our Industrial segment increased by $1.2 million primarily as a result of the gross profit improvement discussed above. Operating income for the Water Treatment segment was flat compared to the prior year as the increase in gross profit was offset by increased SG&amp;A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increased by $1.8 million for fiscal 2017 due to the interest costs on the debt added at the end of the third quarter of fiscal 2016 to partially fund the Stauber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income tax rate was 37.4% for fiscal 2017 compared to 40.2% for fiscal 2016. Our effective tax rate for fiscal 2016 was negatively impacted by income tax expense of approximately $0.5 million associated with $1.4 million of Stauber acquisition related expenditures which were not deductible for tax purposes and were recorded as discrete items during fiscal 2016. Our effective tax rate for 2016 was also negatively impacted by $0.2 million related to a preliminary audit finding by a state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tax jurisdiction covering multiple years. The effective tax rate is generally impacted by projected levels of taxable income, permanent items, and state taxes.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Compared to Fiscal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increased $50.0 million, or 13.7%, to $414.0 million for fiscal 2016, as compared to sales of $364.0 million for fiscal 2015. Our newly-established Health and Nutrition segment accounted for $33.9 million of the year-over-year increase and water treatment locations acquired in fiscal 2015 and 2016 accounted for $12.6 million of the increase.</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Industrial segment sales increased $2.7 million, or 1.1%, to $251.7 million for fiscal 2016. Sales of bulk commodity products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segment were approximately 20% of sales in fiscal 2016 compared to 23% in fiscal 2015. An overall increase in sales volumes, driven in part by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in fiscal 2016, along with a shift in product mix to more sales of products that carry higher per-unit selling prices, more than offset the impact of lower selling prices due to lower product costs and lower volumes sold on certain bulk commodity products.</w:t>
      </w:r>
    </w:p>
    <w:p>
      <w:pPr>
        <w:spacing w:after="0" w:line="1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$13.4 million, or 11.6%, to $128.3 million for fiscal 2016. Sales of bulk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Water Treatment segment were approximately 16% of sales in fiscal 2016 compared to 19% in fiscal 2015. Our locations acquired in fiscal 2015 and 2016 accounted for $12.6 million of the total increase in sales. Also contributing to the year-over-year increase was an overall increase in sales volumes at our other locations, driven by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 and higher sales volumes of specialty products, partially offset by lower volumes sold and lower selling prices on certain bulk commodity products.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Sales for our newly established Health and Nutrition segment were $33.9 million for the fourth quarter and full year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Gross profit was $80.3 million, or 19.4% of sales, for fiscal 2016, an increase of $14.5 million from $65.8 million, or 18.1% of sales, for fiscal 2015. Our newly established Health and Nutrition segment accounted for $6.8 million of the increase, including an estimated $0.5 million related to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 Including the Health and Nutrition segment, we estimate the total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to be approximately $2.1 million of additional gross profit for the year. The LIFO method of valuing inventory increased gross profit by $1.4 million for fiscal 2016, while it decreased gross profit by $0.4 million for fiscal 2015.</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$38.0 million, or 15.1% of sales, for fiscal 2016, an increase of $4.3 million from $33.6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13.5% of sales, for fiscal 2015. We estimate the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the Industrial segment to be approximately $1.0 million of additional gross profit for the year. An increase in sales of specialized products that carry higher per-unit margins were partially offset by lower sales of bulk commodity products, which carry lower per-unit margins. The LIFO method of valuing inventory increased gross profit in our industrial segment by $1.0 million in fiscal 2016, while it decreased gross profit by $0.3 million in fiscal 2015.</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increased $3.3 million to $35.5 million, or 27.6% of sales, for fiscal 2016,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$32.2 million, or 28.0% of sales, for fiscal 2015. The increase in gross profit dollars was largely driven by profits from our locations acquired in fiscal 2015 and 2016. We estimate the gross profit impact of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to be approximately $0.6 million of additional gross profit for the year. In addition, product margins at many of our other locations increased year over year on increased volumes, offset somewhat by increased operating expenses. The LIFO method of valuing inventory increased gross profit by $0.4 million in fiscal 2016, while it decreased gross profit by $0.1 million in fiscal 2015.</w:t>
      </w:r>
    </w:p>
    <w:p>
      <w:pPr>
        <w:spacing w:after="0" w:line="18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Gross profit for our newly established Health and Nutrition segment was $6.8 million for the fourth quarter and full year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2016. We estimate the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to be approximately $0.5 million of additional gross profit for the year. Inventories in this segment are valued using the FIFO method.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expenses increased $13.7 million to $49.1 million, or 11.9% of sales, for fiscal 2016, as compared to $35.4 million, or 9.7% of sales, for fiscal 2015. Our newly established Health and Nutrition segment accounted for $7.7 million of the increase,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jc w:val="both"/>
        <w:spacing w:after="0" w:line="237" w:lineRule="auto"/>
        <w:rPr>
          <w:sz w:val="20"/>
          <w:szCs w:val="20"/>
          <w:color w:val="auto"/>
        </w:rPr>
      </w:pPr>
      <w:r>
        <w:rPr>
          <w:rFonts w:ascii="Arial" w:cs="Arial" w:eastAsia="Arial" w:hAnsi="Arial"/>
          <w:sz w:val="18"/>
          <w:szCs w:val="18"/>
          <w:color w:val="auto"/>
        </w:rPr>
        <w:t>including $3.3 million in non-recurring costs directly related to the acquisition and $0.3 million related to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 SG&amp;A expenses from our Water Treatment locations acquired in fiscal 2015 and 2016 accounted for $1.8 million of the increase. Other drivers of the remaining expense increase are the addition of sales personnel in both our Water Treatment and Industrial segments and added administrative positions to support our business growth needs, with an estimated $0.6 million of the increase attributable to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income was $31.2 million, or 7.5% of sales, for fiscal 2016, as compared to $30.4 million, or 8.4% of sales, for fiscal 2015. Operating income was negatively impacted by $3.3 million of non-recurring costs directly associated with the acquisition, which are included in our Health and Nutrition Segment. Operating income for the Industrial segment increased by $2.0 million as a result of the gross profit and SG&amp;A changes discussed above. Operating income for the Water Treatment segment decreased $0.4 million, as increased SG&amp;A expenses more than offset increases in gross profit as discussed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by $0.8 million for fiscal 2016 due to the interest costs on the debt added in fiscal 2016 to partially fund the Stauber acquisition.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income tax rate was 40.2% for fiscal 2016 compared to 36.9% for fiscal 2015. Our effective tax rate for fiscal 2016 was negatively impacted by income tax expense of approximately $0.5 million associated with $1.4 million of Stauber acquisition related expenditures which were not deductible for tax purposes and were recorded as discrete items during fiscal 2016. Our effective tax rate for 2016 was also negatively impacted by $0.2 million related to a preliminary audit finding by a state income tax jurisdiction covering multiple years. The effective tax rate is generally impacted by projected levels of taxable income, permanent items, and state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provided by operating activities in fiscal 2017 was $44.9 million compared to $36.3 million in fiscal 2016 and $20.7 million in fiscal 2015. The increase in cash provided by operating activities in fiscal 2017 as compared to fiscal 2016 was primarily due to the added operating activity of the Health and Nutrition segment established near the end of the third quarter of fiscal 2016. The increase in cash provided by operating activities from fiscal 2015 to fiscal 2016 was driven by the timing of inventory purchases. Our inventory levels at the start of fiscal 2015 were low and we expended significant dollars to increase our inventories during that fiscal year. Due to the nature of our operations, which includes purchases of large quantities of bulk chemicals, the timing of purchases can result in significant changes in working capital and the resulting operating cash flow. Historically, our cash requirements for working capital increase during the period from April through November as caustic soda inventory levels increase as most of our barges are received during this period.</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used in investing activities was $23.5 million in fiscal 2017 compared to $151.4 million in fiscal 2016 and $26.4 million in fiscal 2015. Capital expenditures were $21.6 million in fiscal 2017, $24.2 million in fiscal 2016 and $14.6 million in fiscal 2015. Capital expenditures in fiscal 2017 included $10.7 million related to facility improvements, replacement equipment, new and replacement containers and Water Treatment trucks, and $8.4 million related to business expansion, inventory storage and process improvements, including the purchase of two of our previously-leased Florida locations. Total capital spending in fiscal 2018 is currently expected to be comparable to fiscal 2017. We paid $2.2 million of additional purchase price for Stauber as closing cash, debt, and working capital balances were finalized early in fiscal 2017. In fiscal 2016, we expended $159.0 million, net of cash acquired, to complete the Stauber and Davis acquisitions, and in fiscal 2015 we expended $10.1 million for the Dumont acquisition. Net cash of $31.7 million was provided by sales of investments during fiscal 2016 as we liquidated our investments to partially fund the Stauber acquisition.</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used in financing activities was $34.5 million in fiscal 2017, as compared to cash provided by financing activities of $116.4 million in fiscal 2016 and cash used in financing activities of $9.1 million in fiscal 2015. Included in cash used in financing activities for fiscal 2017 were debt repayments of $5.6 million on our Term Loan Facility (as defined below) and $21.0 million on our Revolving Loan Facility (as defined below). During fiscal 2016, we received $131.0 million in connection with the credit facility we entered into to fund the Stauber acquisition. We paid out cash dividends of $8.7 million in fiscal 2017, $8.3 million in fiscal 2016 and $7.9 million in fiscal 2015. We used $4.8 million in fiscal 2016 and $2.2 million in fiscal 2015 for share repurchases under our board-authorized share repurchase program. We did not repurchase any shares under the program in fiscal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Our cash balance was $6.9 million at April 2, 2017, a decrease of $13.2 million as compared with April 3, 2016. Cash flows generated by operations during fiscal 2017 were offset by debt repayments, capital expenditures and dividend payments.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2015, in connection with the Stauber acquisition described more fully in Note 2 to the consolidated financial statements, we entered into a credit agreement (the “Credit Agreement”) with U.S. Bank National Association (“U.S. Bank”) as Sole Lead Arranger and Sole Book Runner and other lenders from time to time party thereto (collectively, the “Lenders”), whereby U.S. Bank is also serving as Administrative Agent. The Credit Agreement included senior secured credit facilities (the “Credit Facility”) totaling $165.0 million, consisting of a $100.0 million senior secured term loan credit facility (the “Term Loan Facility”) and a $65.0 million senior secured revolving loan credit facility (the “Revolving Loan Facility”). The Revolving Loan Facility includes a letter of credit subfacility in the amount of $5.0 million and a swingline subfacility in the amount of $8.0 million. The Term Loan facility requires mandatory quarterly repayments as outlined in Note 7 to the consolidated financial statements, with the balance due at maturity. The Credit Facility is scheduled to terminate on December 23, 2020. The Credit Facility is secured by substantially all our personal property assets and those of our subsidiaries.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Borrowings under the Credit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U.S. Bank’s prime rate, (2) the Federal Funds Effective Rate plus 0.5%, or (3) one-month LIBOR for U.S. dollars plus 1.0%. The LIBOR margin is 1.125%, 1.25% or 1.5%, depending on our leverage ratio. The base rate margin is 0.125%, 0.25% or 0.5%, depending on our leverage ratio. At April 2, 2017, the effective interest rate on our borrowings was approximately 2.2%.</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20, 2016, we entered into an interest rate swap agreement to manage the risk associated with a portion of our variable-rate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will begin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used $131.0 million of the proceeds from the Credit Facility to fund our acquisition of Stauber in fiscal 2016. During fiscal 2017, we repaid $5.6 million on the Term Loan Facility as required under the Credit Agreement and repaid $21.0 million on the Revolving Loan Facility. Accordingly, as of April 2, 2017, we had $55.0 million remaining available under the Credit Facility, which may be used for working capital, capital expenditures, restricted payments, acquisitions permitted under the credit agreement, and other general corporate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of $0.7 million paid to lenders are reflected as a reduction of long-term debt and will be amortized as interest expense over the term of the credit facility. As of April 2, 2017, the unamortized balance of these costs was $0.5 million, and is reflected as a reduction of debt on our consolidated balance sheet.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As of April 2, 2017, we were in compliance with all required covenants.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2"/>
              </w:rPr>
              <w:t>Payments Due by Fiscal Period</w:t>
            </w: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280" w:type="dxa"/>
            <w:vAlign w:val="bottom"/>
          </w:tcPr>
          <w:p>
            <w:pPr>
              <w:spacing w:after="0"/>
              <w:rPr>
                <w:sz w:val="13"/>
                <w:szCs w:val="13"/>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88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Pr>
          <w:p>
            <w:pPr>
              <w:spacing w:after="0"/>
              <w:rPr>
                <w:sz w:val="13"/>
                <w:szCs w:val="13"/>
                <w:color w:val="auto"/>
              </w:rPr>
            </w:pPr>
          </w:p>
        </w:tc>
        <w:tc>
          <w:tcPr>
            <w:tcW w:w="8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3"/>
                <w:szCs w:val="13"/>
                <w:color w:val="auto"/>
              </w:rPr>
            </w:pPr>
          </w:p>
        </w:tc>
        <w:tc>
          <w:tcPr>
            <w:tcW w:w="9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More than</w:t>
            </w:r>
          </w:p>
        </w:tc>
        <w:tc>
          <w:tcPr>
            <w:tcW w:w="360" w:type="dxa"/>
            <w:vAlign w:val="bottom"/>
          </w:tcPr>
          <w:p>
            <w:pPr>
              <w:spacing w:after="0"/>
              <w:rPr>
                <w:sz w:val="13"/>
                <w:szCs w:val="13"/>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5 Years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Arial" w:cs="Arial" w:eastAsia="Arial" w:hAnsi="Arial"/>
                <w:sz w:val="18"/>
                <w:szCs w:val="18"/>
                <w:color w:val="auto"/>
              </w:rPr>
              <w:t>Senior secured term loan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8,125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10,000</w:t>
            </w: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65,000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93,125</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Senior secured revolver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10,000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Interest payments (3)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2,344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2,145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1,925</w:t>
            </w: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1,358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2,705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2,317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2,041</w:t>
            </w: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1,795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1,105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2,933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Pension withdrawal liability (4)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467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467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5,373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principal payments only. See Note 7 of our consolidated Financial Statements for further information.</w:t>
      </w:r>
    </w:p>
    <w:p>
      <w:pPr>
        <w:spacing w:after="0" w:line="23" w:lineRule="exact"/>
        <w:rPr>
          <w:rFonts w:ascii="Arial" w:cs="Arial" w:eastAsia="Arial" w:hAnsi="Arial"/>
          <w:sz w:val="18"/>
          <w:szCs w:val="18"/>
          <w:color w:val="auto"/>
        </w:rPr>
      </w:pPr>
    </w:p>
    <w:p>
      <w:pPr>
        <w:ind w:left="420" w:right="940" w:hanging="412"/>
        <w:spacing w:after="0" w:line="250"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balance outstanding as of April 2, 2017, and assumes such amount remains outstanding until its maturity date. See Note 7 of our consolidated Financial Statements for further information.</w:t>
      </w:r>
    </w:p>
    <w:p>
      <w:pPr>
        <w:ind w:left="420" w:right="180" w:hanging="412"/>
        <w:spacing w:after="0" w:line="250"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interest payments and commitment fees payable on outstanding balances under our term loan and revolver, and assumes interest rates remain unchanged from the rate as of April 2, 2017.</w:t>
      </w:r>
    </w:p>
    <w:p>
      <w:pPr>
        <w:ind w:left="420" w:hanging="412"/>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relates to our withdrawal from a multiemployer pension plan. Payments on this obligation began in fiscal 2014 and will continue through 2034.</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We recognize revenue when there is evidence that the customer has agreed to purchase the product, the price and terms of the sale are</w:t>
      </w:r>
      <w:r>
        <w:rPr>
          <w:rFonts w:ascii="Arial" w:cs="Arial" w:eastAsia="Arial" w:hAnsi="Arial"/>
          <w:sz w:val="16"/>
          <w:szCs w:val="16"/>
          <w:i w:val="1"/>
          <w:iCs w:val="1"/>
          <w:color w:val="auto"/>
        </w:rPr>
        <w:t xml:space="preserve"> </w:t>
      </w:r>
      <w:r>
        <w:rPr>
          <w:rFonts w:ascii="Arial" w:cs="Arial" w:eastAsia="Arial" w:hAnsi="Arial"/>
          <w:sz w:val="16"/>
          <w:szCs w:val="16"/>
          <w:color w:val="auto"/>
        </w:rPr>
        <w:t>fixed, the product has shipped and title has passed to our customer, performance has occurred, and collection of the receivable is reasonably assured.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LIFO Reserve </w:t>
      </w:r>
      <w:r>
        <w:rPr>
          <w:rFonts w:ascii="Arial" w:cs="Arial" w:eastAsia="Arial" w:hAnsi="Arial"/>
          <w:sz w:val="18"/>
          <w:szCs w:val="18"/>
          <w:color w:val="auto"/>
        </w:rPr>
        <w:t>- Certain of our inventories are valued at the lower of cost or market with cost being determined using the LIFO method. We may incur</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fluctuations in our LIFO reserve and, as a result, gross margins, due primarily to changes in the level of inventory on hand and the per-unit cost of large-volume components of our inventory. The prices for this inventory fluctuate depending on the balance between supply and demand. Management reviews the LIFO reserve on a quarterly basis. Inventories not valued used the LIFO method are valued at the lower of cost or market with cost being determined using the FIFO method.</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Goodwill and Infinite-life Intangible Assets </w:t>
      </w:r>
      <w:r>
        <w:rPr>
          <w:rFonts w:ascii="Arial" w:cs="Arial" w:eastAsia="Arial" w:hAnsi="Arial"/>
          <w:sz w:val="16"/>
          <w:szCs w:val="16"/>
          <w:color w:val="auto"/>
        </w:rPr>
        <w:t>- Goodwill represents the excess of the cost of acquired businesses over the fair value of identifiable tangible net</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or January 2, 2017 for fiscal 2017. For our Industrial and Water Treatment reporting units, we performed an analysis of qualitative factors to determine whether it is more likely than not that the fair value of either of these reporting units is less than its carrying amount as a basis for determining whether it 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necessary to perform a quantitative goodwill impairment test. Based on management’s analysis of qualitative factors, we determined that it was not necessary to perform a quantitative goodwill impairment test for either of these reporting units.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our Health and Nutrition reporting unit, we performed a quantitative goodwill impairment analysis, which required us to estimate the fair value of this reporting unit and compare the fair value to the reporting unit’s carrying value. We determined the fair value of this reporting unit using a discounted cash flow approach, guideline company market approach and reference transaction market approach. The discounted cash flow approach calculates the present value of projected future cash flows using appropriate discount rates. The guideline company market approach provides indications of value based on market multiples (enterprise value divided by earnings before interest, taxes, depreciation and amortization “EBITDA”) for selected public companies involved in similar lines of business, and the reference transaction market approach provides indications of value based on multiples paid for recent selected acquisitions by companies in similar lines of business. The fair values derived from these valuation methods are then weighted to determine an estimated fair value for the reporting unit, which is compared to the carrying value of the reporting unit to determine whether impairment exists. We then compared the total fair values for all reporting units to our overall market capitalization as a test of the reasonableness of this approach. For this comparison, the fair value of the Industrial and Water Treatment reporting units was estimated based on a multiple of EBITDA.</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early adopted ASU 2017-04, which simplifies the accounting for goodwill impairment. This new guidance removes step two of the goodwill impairment test, which required a hypothetical purchase price allocation. Instead, to the extent a reporting unit’s carrying amount exceeds its fair value, the reporting unit’s goodwill is considered impaired, and we must recognize an impairment charge for the amount by which the carrying amount exceeds the reporting unit’s fair value.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the fair value of our Health and Nutrition reporting unit using the discounted cash flow approach, we considered our projected operating results and then made a number of assumptions. These assumptions included future business plans, economic projections and market data as well as management estimates regarding future cash flows and operating results. The key assumptions we used in preparing our discounted cash flow analysis are (1) projected cash flows, (2) risk adjusted discount rate, and (3) expected long term growth rate.</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assumptions we used in estimating our Health and Nutrition reporting unit fair value are sensitive and variances in these assumptions could have a significant effect on the determination of impairment of our indefinite-lived intangible assets. Further, we cannot predict what future events may occur that could adversely affect the reported value of our indefinite-lived intangible assets. If we are required to take an impairment charge in the future, it could have a material effect on our consolidated financial statements. However, any such charge, if taken, will not have any impact on our ability to comply with the covenants contained in our current credit agreement because non-cash charges required by GAAP, including goodwill impairment charges, are excluded from the calculation of adjusted EBITDA for purposes of meeting the fixed charge coverage ratio or total cash flow leverage ratio in that agreement.</w:t>
      </w:r>
    </w:p>
    <w:p>
      <w:pPr>
        <w:spacing w:after="0" w:line="8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resulting fair values for each method were weighted using 50% for the discounted cash flow method, and 25% for both of the market approaches, to determine a concluded enterprise value for the Health and Nutrition reporting unit. Our Health and Nutrition reporting unit passed the impairment test, as its estimated fair value was in excess of its carrying value. The excess fair value of this reporting unit was $7.4 million, or 4.8%. The amount of goodwill in our Health and Nutrition reporting unit is $84.1 million. We will continue to monitor this reporting unit for potential impairment.</w:t>
      </w:r>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Business Acquisitions - </w:t>
      </w:r>
      <w:r>
        <w:rPr>
          <w:rFonts w:ascii="Arial" w:cs="Arial" w:eastAsia="Arial" w:hAnsi="Arial"/>
          <w:sz w:val="18"/>
          <w:szCs w:val="18"/>
          <w:color w:val="auto"/>
        </w:rPr>
        <w:t>We account for acquired businesses using the acquisition method of accounting which requires that the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be recorded at the date of acquisition at their respective fair values. The judgments made in determining the estimated fair value assigned to each class of assets acquired and liabilities assumed, as well as asset lives, can materially impact net income. Accordingly, for significant items, we typically obtain assistance from a third-party valuation expert.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several methods that can be used to determine the fair value of assets acquired and liabilities assumed in a business combination. For intangible assets, we normally utilize one or more forms of the “income method.” This method starts with a forecast of all of the expected future net cash flows attributable to the subject intangible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projected future cash flows (including timing) and the discount rate reflecting the risks inherent in the future cash flows.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Estimating the useful life of an intangible asset also requires judgment. For example, different types of intangible assets will have different useful lives, influenced by the nature of the asset, competitive environment, and rate of change in the industry. Certain assets may even be considered to have indefinite useful lives. All of these judgments and estimates can significantly impact the determination of the amortization period of the intangible asset, and thus net income.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2016-09 which provides accounting guidance intended to improve the accounting for share-based payment transactions. This guidance outlines new provisions intended to simplify various aspects related to accounting for share-based payments and their presentation in the financial statements and will be effective for years beginning after December 15, 2016 (our fiscal year ending April 1, 2018) and interim periods within those years. We do not expect the impact of this guidance to have a material impact on our results of operations and financial position.</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2016, the FASB issued ASU 2016-02 which provides new accounting guidance requiring lessees to recognize most leases as assets and liabilities on the balance sheet. This guidance will be effective for interim periods beginning after December 15, 2018 (our fiscal year ended March 30, 2020). We are currently evaluating the impact of this accounting pronouncement on our results of operations and financial position.</w:t>
      </w:r>
    </w:p>
    <w:p>
      <w:pPr>
        <w:spacing w:after="0" w:line="3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the FASB issued ASU 2016-01 which provides guidance that addresses certain aspects of recognition, measurement, presentation, and disclosure of financial instruments. This guidance will be effective for annual reporting periods beginning after December 15, 2017 (our fiscal year ending March 31, 2019), and interim periods within those annual periods. Early adoption is not permitted. We are currently evaluating the impact that this guidance will have on our results of operations and financial position.</w:t>
      </w:r>
    </w:p>
    <w:p>
      <w:pPr>
        <w:spacing w:after="0" w:line="3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ASU 2015-11 which requires companies to change the measurement principal for inventory measured using the FIFO or average cost method from the lower of cost or market to the lower of cost and net realizable value. Treatment of inventory valued under the LIFO method is unchanged by this guidance. The new guidance will be applied prospectively and will be effective for fiscal years beginning after December 15, 2016 (our fiscal year ending April 1, 2018), and interim periods within those years. We do not expect the impact of this guidance to have a material impact on our results of operations and financial position.</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2014, the FASB issued ASU 2014-09 which provides new accounting requirements for recognition of revenue from contracts with customers. The requirements of the new standard will be effective for annual reporting periods beginning after December 15, 2017 (our fiscal year ending March 31, 2019), and interim periods within those annual periods. We have performed a preliminary evaluation of the effect of adoption on our consolidated financial statements, and we do not currently expect a material impact on our results of operations, cash flows or financial position. We anticipate we will expand our consolidated financial statement disclosures to comply with the ASU. We have not yet decided on our transition method upon adoption.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“Note 1 - Nature of Business and Significant Accounting Policies” of the Notes to Consolidated Financial Statements for information regarding recently adopted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exposed to market risks related to interest rates. Our exposure to changes in interest rates is limited to borrowings under our credit facility. A 25 basis point change in interest rates on the variable-rate portion of debt not covered by the interest rate swap would potentially increase or decrease annual interest expense by approximately $0.2 million. Other types of market risk, such as foreign currency risk, do not arise in the normal course of our business activities.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Hawkins, Inc.:</w:t>
      </w:r>
    </w:p>
    <w:p>
      <w:pPr>
        <w:spacing w:after="0" w:line="14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We have audited the accompanying consolidated balance sheets of Hawkins, Inc. and subsidiaries (the Company) as of April 2, 2017 and April 3, 2016, and the related consolidated statements of income, comprehensive income, shareholders’ equity, and cash flows for each of the years in the three-year period ended April 2, 2017. In connection with our audits of the consolidated financial statements, we also have audited the financial statement schedule for each of the years in the three-year period ended April 2, 2017, listed in schedule II of this Form 10-K. We also have audited the Company’s internal control over financial reporting as of April 2,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Hawkins, Inc. and subsidiaries as of April 2, 2017, and April 3, 2016, and the results of their operations and their cash flows for each of the years in the three-year period ended April 2, 2017, in conformity with U.S. generally accepted accounting principles. Also, in our opinion, the financial statement schedule referred to above, when considered in relation to the basic consolidated financial statements taken as a while, presents fairly, in all material respects, the information set forth therein. Also in our opinion, Hawkins, Inc. and subsidiaries maintained, in all material respects, effective internal control over financial reporting as of April 2, 2017, based on criteria established in Internal Control - Integrated Framework (2013) issued by the Committee of Sponsoring Organizations of the Treadway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June 1, 2017</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364" w:right="279" w:bottom="1440" w:gutter="0" w:footer="0" w:header="0"/>
        </w:sectPr>
      </w:pPr>
    </w:p>
    <w:bookmarkStart w:id="27" w:name="page28"/>
    <w:bookmarkEnd w:id="27"/>
    <w:p>
      <w:pPr>
        <w:ind w:left="10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 2017</w:t>
            </w:r>
          </w:p>
        </w:tc>
        <w:tc>
          <w:tcPr>
            <w:tcW w:w="260" w:type="dxa"/>
            <w:vAlign w:val="bottom"/>
          </w:tcPr>
          <w:p>
            <w:pPr>
              <w:spacing w:after="0"/>
              <w:rPr>
                <w:sz w:val="16"/>
                <w:szCs w:val="16"/>
                <w:color w:val="auto"/>
              </w:rPr>
            </w:pPr>
          </w:p>
        </w:tc>
        <w:tc>
          <w:tcPr>
            <w:tcW w:w="1360" w:type="dxa"/>
            <w:vAlign w:val="bottom"/>
          </w:tcPr>
          <w:p>
            <w:pPr>
              <w:jc w:val="right"/>
              <w:ind w:right="348"/>
              <w:spacing w:after="0"/>
              <w:rPr>
                <w:sz w:val="20"/>
                <w:szCs w:val="20"/>
                <w:color w:val="auto"/>
              </w:rPr>
            </w:pPr>
            <w:r>
              <w:rPr>
                <w:rFonts w:ascii="Arial" w:cs="Arial" w:eastAsia="Arial" w:hAnsi="Arial"/>
                <w:sz w:val="14"/>
                <w:szCs w:val="14"/>
                <w:b w:val="1"/>
                <w:bCs w:val="1"/>
                <w:color w:val="auto"/>
              </w:rPr>
              <w:t>April 3, 2016</w:t>
            </w:r>
          </w:p>
        </w:tc>
        <w:tc>
          <w:tcPr>
            <w:tcW w:w="0" w:type="dxa"/>
            <w:vAlign w:val="bottom"/>
          </w:tcPr>
          <w:p>
            <w:pPr>
              <w:spacing w:after="0"/>
              <w:rPr>
                <w:sz w:val="1"/>
                <w:szCs w:val="1"/>
                <w:color w:val="auto"/>
              </w:rPr>
            </w:pPr>
          </w:p>
        </w:tc>
      </w:tr>
      <w:tr>
        <w:trPr>
          <w:trHeight w:val="177"/>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6,861</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20,014</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Trade receivables, less allowance for doubtful accounts of $468 for 2017 and $602 for 2016</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57,298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59,271</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51,249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47,719</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Income taxes receivable</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1,273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6,062</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4,238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4,222</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120,919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137,288</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Land</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9,097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9,085</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Buildings and improvements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89,840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84,391</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Machinery and equipment</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82,910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75,132</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Transportation equipment</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22,442</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Office furniture and equipment including computer systems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15,273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13,798</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221,518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204,848</w:t>
            </w:r>
          </w:p>
        </w:tc>
        <w:tc>
          <w:tcPr>
            <w:tcW w:w="0" w:type="dxa"/>
            <w:vAlign w:val="bottom"/>
          </w:tcPr>
          <w:p>
            <w:pPr>
              <w:spacing w:after="0"/>
              <w:rPr>
                <w:sz w:val="1"/>
                <w:szCs w:val="1"/>
                <w:color w:val="auto"/>
              </w:rPr>
            </w:pPr>
          </w:p>
        </w:tc>
      </w:tr>
      <w:tr>
        <w:trPr>
          <w:trHeight w:val="191"/>
        </w:trPr>
        <w:tc>
          <w:tcPr>
            <w:tcW w:w="7020" w:type="dxa"/>
            <w:vAlign w:val="bottom"/>
          </w:tcPr>
          <w:p>
            <w:pPr>
              <w:ind w:left="700"/>
              <w:spacing w:after="0"/>
              <w:rPr>
                <w:sz w:val="20"/>
                <w:szCs w:val="20"/>
                <w:color w:val="auto"/>
              </w:rPr>
            </w:pPr>
            <w:r>
              <w:rPr>
                <w:rFonts w:ascii="Arial" w:cs="Arial" w:eastAsia="Arial" w:hAnsi="Arial"/>
                <w:sz w:val="14"/>
                <w:szCs w:val="14"/>
                <w:color w:val="auto"/>
              </w:rPr>
              <w:t>Less accumulated depreciation</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99,978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88,527</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property, plant, and equipment</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121,540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116,321</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97,556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97,724</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76,883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82,934</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1,686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2,224</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other assets</w:t>
            </w:r>
          </w:p>
        </w:tc>
        <w:tc>
          <w:tcPr>
            <w:tcW w:w="24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176,125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182,882</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418,584</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436,491</w:t>
            </w:r>
          </w:p>
        </w:tc>
        <w:tc>
          <w:tcPr>
            <w:tcW w:w="0" w:type="dxa"/>
            <w:vAlign w:val="bottom"/>
          </w:tcPr>
          <w:p>
            <w:pPr>
              <w:spacing w:after="0"/>
              <w:rPr>
                <w:sz w:val="1"/>
                <w:szCs w:val="1"/>
                <w:color w:val="auto"/>
              </w:rPr>
            </w:pPr>
          </w:p>
        </w:tc>
      </w:tr>
      <w:tr>
        <w:trPr>
          <w:trHeight w:val="60"/>
        </w:trPr>
        <w:tc>
          <w:tcPr>
            <w:tcW w:w="70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Accounts payable — trade</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29,756</w:t>
            </w:r>
          </w:p>
        </w:tc>
        <w:tc>
          <w:tcPr>
            <w:tcW w:w="12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30,121</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payable</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4,466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4,226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Accrued payroll and employee benefits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9,979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8,787</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7,989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Due to sellers of acquired business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6,829</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Container deposits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Other current liabilities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1,967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3,232</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55,672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59,765</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94,626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123,616</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PENSION WITHDRAWAL LIABILITY</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5,968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6,282</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2,450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3,611</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42,040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42,242</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200,756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235,516</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02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w w:val="94"/>
              </w:rPr>
              <w:t>Common stock; authorized: 30,000,000 shares of $0.05 par value; 10,582,596 and 10,512,471 shares issued and</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outstanding for 2017 and 2016, respectively</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51,104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48,189</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165,897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152,265</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Accumulated other comprehensive income (loss)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shareholders’ equity</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217,828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200,975</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418,584</w:t>
            </w:r>
          </w:p>
        </w:tc>
        <w:tc>
          <w:tcPr>
            <w:tcW w:w="12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436,491</w:t>
            </w:r>
          </w:p>
        </w:tc>
        <w:tc>
          <w:tcPr>
            <w:tcW w:w="0" w:type="dxa"/>
            <w:vAlign w:val="bottom"/>
          </w:tcPr>
          <w:p>
            <w:pPr>
              <w:spacing w:after="0"/>
              <w:rPr>
                <w:sz w:val="1"/>
                <w:szCs w:val="1"/>
                <w:color w:val="auto"/>
              </w:rPr>
            </w:pPr>
          </w:p>
        </w:tc>
      </w:tr>
      <w:tr>
        <w:trPr>
          <w:trHeight w:val="65"/>
        </w:trPr>
        <w:tc>
          <w:tcPr>
            <w:tcW w:w="702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300"/>
          </w:cols>
          <w:pgMar w:left="800" w:top="580" w:right="79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300"/>
          </w:cols>
          <w:pgMar w:left="800" w:top="580" w:right="7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 2017</w:t>
            </w:r>
          </w:p>
        </w:tc>
        <w:tc>
          <w:tcPr>
            <w:tcW w:w="20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April 3, 2016</w:t>
            </w:r>
          </w:p>
        </w:tc>
        <w:tc>
          <w:tcPr>
            <w:tcW w:w="260" w:type="dxa"/>
            <w:vAlign w:val="bottom"/>
          </w:tcPr>
          <w:p>
            <w:pPr>
              <w:spacing w:after="0"/>
              <w:rPr>
                <w:sz w:val="22"/>
                <w:szCs w:val="22"/>
                <w:color w:val="auto"/>
              </w:rPr>
            </w:pPr>
          </w:p>
        </w:tc>
        <w:tc>
          <w:tcPr>
            <w:tcW w:w="1440" w:type="dxa"/>
            <w:vAlign w:val="bottom"/>
          </w:tcPr>
          <w:p>
            <w:pPr>
              <w:jc w:val="right"/>
              <w:ind w:right="271"/>
              <w:spacing w:after="0"/>
              <w:rPr>
                <w:sz w:val="20"/>
                <w:szCs w:val="20"/>
                <w:color w:val="auto"/>
              </w:rPr>
            </w:pPr>
            <w:r>
              <w:rPr>
                <w:rFonts w:ascii="Arial" w:cs="Arial" w:eastAsia="Arial" w:hAnsi="Arial"/>
                <w:sz w:val="14"/>
                <w:szCs w:val="14"/>
                <w:b w:val="1"/>
                <w:bCs w:val="1"/>
                <w:color w:val="auto"/>
              </w:rPr>
              <w:t>March 29, 2015</w:t>
            </w:r>
          </w:p>
        </w:tc>
      </w:tr>
      <w:tr>
        <w:trPr>
          <w:trHeight w:val="250"/>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364,023</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(385,520)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(298,232)</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65,791</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(59,381)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(35,375)</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30,416</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30,454</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(11,240)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19,214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10,536,347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10,524,730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10,568,582</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10,596,110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10,578,042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10,633,554</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1.82</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324"/>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0.76</w:t>
            </w:r>
          </w:p>
        </w:tc>
      </w:tr>
      <w:tr>
        <w:trPr>
          <w:trHeight w:val="27"/>
        </w:trPr>
        <w:tc>
          <w:tcPr>
            <w:tcW w:w="6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6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19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April 2, 2017</w:t>
            </w:r>
          </w:p>
        </w:tc>
        <w:tc>
          <w:tcPr>
            <w:tcW w:w="460" w:type="dxa"/>
            <w:vAlign w:val="bottom"/>
          </w:tcPr>
          <w:p>
            <w:pPr>
              <w:spacing w:after="0"/>
              <w:rPr>
                <w:sz w:val="16"/>
                <w:szCs w:val="16"/>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April 3, 2016</w:t>
            </w:r>
          </w:p>
        </w:tc>
        <w:tc>
          <w:tcPr>
            <w:tcW w:w="380" w:type="dxa"/>
            <w:vAlign w:val="bottom"/>
          </w:tcPr>
          <w:p>
            <w:pPr>
              <w:spacing w:after="0"/>
              <w:rPr>
                <w:sz w:val="16"/>
                <w:szCs w:val="16"/>
                <w:color w:val="auto"/>
              </w:rPr>
            </w:pPr>
          </w:p>
        </w:tc>
        <w:tc>
          <w:tcPr>
            <w:tcW w:w="1320" w:type="dxa"/>
            <w:vAlign w:val="bottom"/>
          </w:tcPr>
          <w:p>
            <w:pPr>
              <w:jc w:val="right"/>
              <w:ind w:right="13"/>
              <w:spacing w:after="0"/>
              <w:rPr>
                <w:sz w:val="20"/>
                <w:szCs w:val="20"/>
                <w:color w:val="auto"/>
              </w:rPr>
            </w:pPr>
            <w:r>
              <w:rPr>
                <w:rFonts w:ascii="Arial" w:cs="Arial" w:eastAsia="Arial" w:hAnsi="Arial"/>
                <w:sz w:val="14"/>
                <w:szCs w:val="14"/>
                <w:b w:val="1"/>
                <w:bCs w:val="1"/>
                <w:color w:val="auto"/>
              </w:rPr>
              <w:t>March 29, 2015</w:t>
            </w:r>
          </w:p>
        </w:tc>
      </w:tr>
      <w:tr>
        <w:trPr>
          <w:trHeight w:val="324"/>
        </w:trPr>
        <w:tc>
          <w:tcPr>
            <w:tcW w:w="616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22,555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18,143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19,214</w:t>
            </w:r>
          </w:p>
        </w:tc>
      </w:tr>
      <w:tr>
        <w:trPr>
          <w:trHeight w:val="27"/>
        </w:trPr>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Unrealized gain on available-for-sale investments</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 on interest rate swap</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Unrealized gain on post-retirement liability</w:t>
            </w:r>
          </w:p>
        </w:tc>
        <w:tc>
          <w:tcPr>
            <w:tcW w:w="4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6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w:t>
            </w: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57"/>
        </w:trPr>
        <w:tc>
          <w:tcPr>
            <w:tcW w:w="616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22,858</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18,170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19,226</w:t>
            </w:r>
          </w:p>
        </w:tc>
      </w:tr>
      <w:tr>
        <w:trPr>
          <w:trHeight w:val="20"/>
        </w:trPr>
        <w:tc>
          <w:tcPr>
            <w:tcW w:w="6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6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CONSOLIDATED STATEMENTS OF SHAREHOLDERS’ EQUITY (In thousands, except share data)</w:t>
      </w:r>
    </w:p>
    <w:p>
      <w:pPr>
        <w:spacing w:after="0" w:line="189" w:lineRule="exact"/>
        <w:rPr>
          <w:sz w:val="20"/>
          <w:szCs w:val="20"/>
          <w:color w:val="auto"/>
        </w:rPr>
      </w:pPr>
    </w:p>
    <w:p>
      <w:pPr>
        <w:jc w:val="center"/>
        <w:ind w:left="344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23495</wp:posOffset>
            </wp:positionV>
            <wp:extent cx="1680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jc w:val="both"/>
        <w:ind w:left="3520"/>
        <w:spacing w:after="0"/>
        <w:tabs>
          <w:tab w:leader="none" w:pos="48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ind w:right="288"/>
              <w:spacing w:after="0"/>
              <w:rPr>
                <w:sz w:val="20"/>
                <w:szCs w:val="20"/>
                <w:color w:val="auto"/>
              </w:rPr>
            </w:pPr>
            <w:r>
              <w:rPr>
                <w:rFonts w:ascii="Arial" w:cs="Arial" w:eastAsia="Arial" w:hAnsi="Arial"/>
                <w:sz w:val="14"/>
                <w:szCs w:val="14"/>
                <w:b w:val="1"/>
                <w:bCs w:val="1"/>
                <w:color w:val="auto"/>
                <w:w w:val="96"/>
              </w:rPr>
              <w:t>Additional</w:t>
            </w:r>
          </w:p>
        </w:tc>
        <w:tc>
          <w:tcPr>
            <w:tcW w:w="12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Retained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02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Paid-in</w:t>
            </w:r>
          </w:p>
        </w:tc>
        <w:tc>
          <w:tcPr>
            <w:tcW w:w="122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6"/>
        </w:trPr>
        <w:tc>
          <w:tcPr>
            <w:tcW w:w="1020" w:type="dxa"/>
            <w:vAlign w:val="bottom"/>
          </w:tcPr>
          <w:p>
            <w:pPr>
              <w:jc w:val="center"/>
              <w:ind w:right="288"/>
              <w:spacing w:after="0"/>
              <w:rPr>
                <w:sz w:val="20"/>
                <w:szCs w:val="20"/>
                <w:color w:val="auto"/>
              </w:rPr>
            </w:pPr>
            <w:r>
              <w:rPr>
                <w:rFonts w:ascii="Arial" w:cs="Arial" w:eastAsia="Arial" w:hAnsi="Arial"/>
                <w:sz w:val="14"/>
                <w:szCs w:val="14"/>
                <w:b w:val="1"/>
                <w:bCs w:val="1"/>
                <w:color w:val="auto"/>
                <w:w w:val="98"/>
              </w:rPr>
              <w:t>Capital</w:t>
            </w:r>
          </w:p>
        </w:tc>
        <w:tc>
          <w:tcPr>
            <w:tcW w:w="1220" w:type="dxa"/>
            <w:vAlign w:val="bottom"/>
          </w:tcPr>
          <w:p>
            <w:pPr>
              <w:ind w:left="380"/>
              <w:spacing w:after="0"/>
              <w:rPr>
                <w:sz w:val="20"/>
                <w:szCs w:val="20"/>
                <w:color w:val="auto"/>
              </w:rPr>
            </w:pPr>
            <w:r>
              <w:rPr>
                <w:rFonts w:ascii="Arial" w:cs="Arial" w:eastAsia="Arial" w:hAnsi="Arial"/>
                <w:sz w:val="14"/>
                <w:szCs w:val="14"/>
                <w:b w:val="1"/>
                <w:bCs w:val="1"/>
                <w:color w:val="auto"/>
              </w:rPr>
              <w:t>Earnings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60" w:type="dxa"/>
            <w:vAlign w:val="bottom"/>
          </w:tcPr>
          <w:p>
            <w:pPr>
              <w:jc w:val="center"/>
              <w:ind w:lef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440" w:space="720"/>
            <w:col w:w="5260"/>
          </w:cols>
          <w:pgMar w:left="240" w:top="364" w:right="239" w:bottom="1440" w:gutter="0" w:footer="0" w:header="0"/>
        </w:sectPr>
      </w:pPr>
    </w:p>
    <w:tbl>
      <w:tblPr>
        <w:tblLayout w:type="fixed"/>
        <w:tblInd w:w="0" w:type="dxa"/>
        <w:tblCellMar>
          <w:top w:w="0" w:type="dxa"/>
          <w:left w:w="0" w:type="dxa"/>
          <w:bottom w:w="0" w:type="dxa"/>
          <w:right w:w="0" w:type="dxa"/>
        </w:tblCellMar>
      </w:tblPr>
      <w:tr>
        <w:trPr>
          <w:trHeight w:val="242"/>
        </w:trPr>
        <w:tc>
          <w:tcPr>
            <w:tcW w:w="3100" w:type="dxa"/>
            <w:vAlign w:val="bottom"/>
            <w:tcBorders>
              <w:top w:val="single" w:sz="8" w:color="CCEEFF"/>
              <w:bottom w:val="single" w:sz="8" w:color="CCEEFF"/>
            </w:tcBorders>
            <w:shd w:val="clear" w:color="auto" w:fill="CCEEFF"/>
          </w:tcPr>
          <w:p>
            <w:pPr>
              <w:jc w:val="center"/>
              <w:ind w:right="795"/>
              <w:spacing w:after="0"/>
              <w:rPr>
                <w:sz w:val="20"/>
                <w:szCs w:val="20"/>
                <w:color w:val="auto"/>
              </w:rPr>
            </w:pPr>
            <w:r>
              <w:rPr>
                <w:rFonts w:ascii="Arial" w:cs="Arial" w:eastAsia="Arial" w:hAnsi="Arial"/>
                <w:sz w:val="17"/>
                <w:szCs w:val="17"/>
                <w:color w:val="auto"/>
                <w:w w:val="95"/>
              </w:rPr>
              <w:t>BALANCE — March 30, 2014</w:t>
            </w:r>
          </w:p>
        </w:tc>
        <w:tc>
          <w:tcPr>
            <w:tcW w:w="12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10,562,400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131,427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182,413</w:t>
            </w: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Cash dividends declared</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(8,074)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(8,074)</w:t>
            </w: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w w:val="97"/>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1,631</w:t>
            </w: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rPr>
              <w:t>Tax benefit on share-based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compensation plans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92</w:t>
            </w: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29,355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w w:val="98"/>
              </w:rPr>
              <w:t>Shares surrendered for payroll taxes</w:t>
            </w:r>
          </w:p>
        </w:tc>
        <w:tc>
          <w:tcPr>
            <w:tcW w:w="1280" w:type="dxa"/>
            <w:vAlign w:val="bottom"/>
          </w:tcPr>
          <w:p>
            <w:pPr>
              <w:jc w:val="right"/>
              <w:spacing w:after="0"/>
              <w:rPr>
                <w:sz w:val="20"/>
                <w:szCs w:val="20"/>
                <w:color w:val="auto"/>
              </w:rPr>
            </w:pPr>
            <w:r>
              <w:rPr>
                <w:rFonts w:ascii="Arial" w:cs="Arial" w:eastAsia="Arial" w:hAnsi="Arial"/>
                <w:sz w:val="17"/>
                <w:szCs w:val="17"/>
                <w:color w:val="auto"/>
              </w:rPr>
              <w:t>(7,920)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(295)</w:t>
            </w: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Stock options exercised</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9,333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w:t>
            </w: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31,383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986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988</w:t>
            </w: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Shares repurchased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(59,602)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(2,203)</w:t>
            </w: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w w:val="98"/>
              </w:rPr>
              <w:t>Other comprehensive income, net of</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12</w:t>
            </w: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jc w:val="center"/>
              <w:ind w:right="795"/>
              <w:spacing w:after="0"/>
              <w:rPr>
                <w:sz w:val="20"/>
                <w:szCs w:val="20"/>
                <w:color w:val="auto"/>
              </w:rPr>
            </w:pPr>
            <w:r>
              <w:rPr>
                <w:rFonts w:ascii="Arial" w:cs="Arial" w:eastAsia="Arial" w:hAnsi="Arial"/>
                <w:sz w:val="17"/>
                <w:szCs w:val="17"/>
                <w:color w:val="auto"/>
                <w:w w:val="90"/>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19,214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19,214</w:t>
            </w:r>
          </w:p>
        </w:tc>
      </w:tr>
      <w:tr>
        <w:trPr>
          <w:trHeight w:val="219"/>
        </w:trPr>
        <w:tc>
          <w:tcPr>
            <w:tcW w:w="3100" w:type="dxa"/>
            <w:vAlign w:val="bottom"/>
          </w:tcPr>
          <w:p>
            <w:pPr>
              <w:jc w:val="center"/>
              <w:ind w:right="795"/>
              <w:spacing w:after="0"/>
              <w:rPr>
                <w:sz w:val="20"/>
                <w:szCs w:val="20"/>
                <w:color w:val="auto"/>
              </w:rPr>
            </w:pPr>
            <w:r>
              <w:rPr>
                <w:rFonts w:ascii="Arial" w:cs="Arial" w:eastAsia="Arial" w:hAnsi="Arial"/>
                <w:sz w:val="17"/>
                <w:szCs w:val="17"/>
                <w:color w:val="auto"/>
                <w:w w:val="95"/>
              </w:rPr>
              <w:t>BALANCE — March 29, 2015</w:t>
            </w:r>
          </w:p>
        </w:tc>
        <w:tc>
          <w:tcPr>
            <w:tcW w:w="12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10,564,949</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528</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50,901</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142,567</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193,964</w:t>
            </w:r>
          </w:p>
        </w:tc>
      </w:tr>
      <w:tr>
        <w:trPr>
          <w:trHeight w:val="71"/>
        </w:trPr>
        <w:tc>
          <w:tcPr>
            <w:tcW w:w="310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17"/>
        </w:trPr>
        <w:tc>
          <w:tcPr>
            <w:tcW w:w="3100" w:type="dxa"/>
            <w:vAlign w:val="bottom"/>
            <w:tcBorders>
              <w:bottom w:val="single" w:sz="8" w:color="CCEEFF"/>
            </w:tcBorders>
            <w:shd w:val="clear" w:color="auto" w:fill="CCEEFF"/>
          </w:tcPr>
          <w:p>
            <w:pPr>
              <w:ind w:left="380"/>
              <w:spacing w:after="0" w:line="179" w:lineRule="exact"/>
              <w:rPr>
                <w:sz w:val="20"/>
                <w:szCs w:val="20"/>
                <w:color w:val="auto"/>
              </w:rPr>
            </w:pPr>
            <w:r>
              <w:rPr>
                <w:rFonts w:ascii="Arial" w:cs="Arial" w:eastAsia="Arial" w:hAnsi="Arial"/>
                <w:sz w:val="17"/>
                <w:szCs w:val="17"/>
                <w:color w:val="auto"/>
              </w:rPr>
              <w:t>Cash dividends declared</w:t>
            </w: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(8,445)</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(8,445)</w:t>
            </w: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w w:val="97"/>
              </w:rPr>
              <w:t>Share-based compensation expense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1,706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1,706</w:t>
            </w: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2"/>
        </w:trPr>
        <w:tc>
          <w:tcPr>
            <w:tcW w:w="31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Tax benefit on share-based</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7"/>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compensation plans</w:t>
            </w: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60,658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w w:val="98"/>
              </w:rPr>
              <w:t>Shares surrendered for payroll taxes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(699)</w:t>
            </w: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33,550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1,079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1,081</w:t>
            </w: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Shares repurchased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(127,852)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(4,801)</w:t>
            </w: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w w:val="98"/>
              </w:rPr>
              <w:t>Other comprehensive income, net of</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27</w:t>
            </w: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jc w:val="center"/>
              <w:ind w:right="795"/>
              <w:spacing w:after="0"/>
              <w:rPr>
                <w:sz w:val="20"/>
                <w:szCs w:val="20"/>
                <w:color w:val="auto"/>
              </w:rPr>
            </w:pPr>
            <w:r>
              <w:rPr>
                <w:rFonts w:ascii="Arial" w:cs="Arial" w:eastAsia="Arial" w:hAnsi="Arial"/>
                <w:sz w:val="17"/>
                <w:szCs w:val="17"/>
                <w:color w:val="auto"/>
                <w:w w:val="90"/>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18,143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18,143</w:t>
            </w:r>
          </w:p>
        </w:tc>
      </w:tr>
      <w:tr>
        <w:trPr>
          <w:trHeight w:val="219"/>
        </w:trPr>
        <w:tc>
          <w:tcPr>
            <w:tcW w:w="3100" w:type="dxa"/>
            <w:vAlign w:val="bottom"/>
          </w:tcPr>
          <w:p>
            <w:pPr>
              <w:ind w:left="40"/>
              <w:spacing w:after="0"/>
              <w:rPr>
                <w:sz w:val="20"/>
                <w:szCs w:val="20"/>
                <w:color w:val="auto"/>
              </w:rPr>
            </w:pPr>
            <w:r>
              <w:rPr>
                <w:rFonts w:ascii="Arial" w:cs="Arial" w:eastAsia="Arial" w:hAnsi="Arial"/>
                <w:sz w:val="17"/>
                <w:szCs w:val="17"/>
                <w:color w:val="auto"/>
              </w:rPr>
              <w:t>BALANCE — April 3, 2016</w:t>
            </w:r>
          </w:p>
        </w:tc>
        <w:tc>
          <w:tcPr>
            <w:tcW w:w="12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10,512,471</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526</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48,189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152,265</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200,975</w:t>
            </w:r>
          </w:p>
        </w:tc>
      </w:tr>
      <w:tr>
        <w:trPr>
          <w:trHeight w:val="71"/>
        </w:trPr>
        <w:tc>
          <w:tcPr>
            <w:tcW w:w="310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06"/>
        </w:trPr>
        <w:tc>
          <w:tcPr>
            <w:tcW w:w="3100" w:type="dxa"/>
            <w:vAlign w:val="bottom"/>
            <w:shd w:val="clear" w:color="auto" w:fill="CCEEFF"/>
          </w:tcPr>
          <w:p>
            <w:pPr>
              <w:ind w:left="380"/>
              <w:spacing w:after="0" w:line="179" w:lineRule="exact"/>
              <w:rPr>
                <w:sz w:val="20"/>
                <w:szCs w:val="20"/>
                <w:color w:val="auto"/>
              </w:rPr>
            </w:pPr>
            <w:r>
              <w:rPr>
                <w:rFonts w:ascii="Arial" w:cs="Arial" w:eastAsia="Arial" w:hAnsi="Arial"/>
                <w:sz w:val="17"/>
                <w:szCs w:val="17"/>
                <w:color w:val="auto"/>
              </w:rPr>
              <w:t>Cash dividends declared</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(8,923)</w:t>
            </w:r>
          </w:p>
        </w:tc>
      </w:tr>
      <w:tr>
        <w:trPr>
          <w:trHeight w:val="31"/>
        </w:trPr>
        <w:tc>
          <w:tcPr>
            <w:tcW w:w="3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sectPr>
          <w:pgSz w:w="11900" w:h="16838" w:orient="portrait"/>
          <w:cols w:equalWidth="0" w:num="1">
            <w:col w:w="11420"/>
          </w:cols>
          <w:pgMar w:left="240" w:top="364" w:right="23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Share-based compensation expense</w:t>
      </w:r>
    </w:p>
    <w:p>
      <w:pPr>
        <w:spacing w:after="0" w:line="98" w:lineRule="exact"/>
        <w:rPr>
          <w:sz w:val="20"/>
          <w:szCs w:val="20"/>
          <w:color w:val="auto"/>
        </w:rPr>
      </w:pPr>
    </w:p>
    <w:p>
      <w:pPr>
        <w:ind w:left="380" w:right="660"/>
        <w:spacing w:after="0" w:line="319" w:lineRule="auto"/>
        <w:rPr>
          <w:sz w:val="20"/>
          <w:szCs w:val="20"/>
          <w:color w:val="auto"/>
        </w:rPr>
      </w:pPr>
      <w:r>
        <w:rPr>
          <w:rFonts w:ascii="Arial" w:cs="Arial" w:eastAsia="Arial" w:hAnsi="Arial"/>
          <w:sz w:val="15"/>
          <w:szCs w:val="15"/>
          <w:color w:val="auto"/>
        </w:rPr>
        <w:t>Tax benefit on share-based compensation plans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Vesting of restricted stock</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Shares surrendered for payroll taxes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ESPP shares issued</w:t>
      </w:r>
    </w:p>
    <w:p>
      <w:pPr>
        <w:spacing w:after="0" w:line="75" w:lineRule="exact"/>
        <w:rPr>
          <w:sz w:val="20"/>
          <w:szCs w:val="20"/>
          <w:color w:val="auto"/>
        </w:rPr>
      </w:pPr>
    </w:p>
    <w:p>
      <w:pPr>
        <w:ind w:left="380"/>
        <w:spacing w:after="0" w:line="274" w:lineRule="auto"/>
        <w:rPr>
          <w:sz w:val="20"/>
          <w:szCs w:val="20"/>
          <w:color w:val="auto"/>
        </w:rPr>
      </w:pPr>
      <w:r>
        <w:rPr>
          <w:rFonts w:ascii="Arial" w:cs="Arial" w:eastAsia="Arial" w:hAnsi="Arial"/>
          <w:sz w:val="17"/>
          <w:szCs w:val="17"/>
          <w:color w:val="auto"/>
        </w:rPr>
        <w:t>Other comprehensive income, net of tax</w:t>
      </w:r>
    </w:p>
    <w:p>
      <w:pPr>
        <w:spacing w:after="0" w:line="1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Net income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BALANCE — April 2, 2017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2,127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2,127</w:t>
            </w:r>
          </w:p>
        </w:tc>
      </w:tr>
      <w:tr>
        <w:trPr>
          <w:trHeight w:val="459"/>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131</w:t>
            </w:r>
          </w:p>
        </w:tc>
      </w:tr>
      <w:tr>
        <w:trPr>
          <w:trHeight w:val="270"/>
        </w:trPr>
        <w:tc>
          <w:tcPr>
            <w:tcW w:w="1280" w:type="dxa"/>
            <w:vAlign w:val="bottom"/>
          </w:tcPr>
          <w:p>
            <w:pPr>
              <w:jc w:val="right"/>
              <w:ind w:right="55"/>
              <w:spacing w:after="0"/>
              <w:rPr>
                <w:sz w:val="20"/>
                <w:szCs w:val="20"/>
                <w:color w:val="auto"/>
              </w:rPr>
            </w:pPr>
            <w:r>
              <w:rPr>
                <w:rFonts w:ascii="Arial" w:cs="Arial" w:eastAsia="Arial" w:hAnsi="Arial"/>
                <w:sz w:val="17"/>
                <w:szCs w:val="17"/>
                <w:color w:val="auto"/>
              </w:rPr>
              <w:t>44,113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1280" w:type="dxa"/>
            <w:vAlign w:val="bottom"/>
          </w:tcPr>
          <w:p>
            <w:pPr>
              <w:jc w:val="right"/>
              <w:spacing w:after="0"/>
              <w:rPr>
                <w:sz w:val="20"/>
                <w:szCs w:val="20"/>
                <w:color w:val="auto"/>
              </w:rPr>
            </w:pPr>
            <w:r>
              <w:rPr>
                <w:rFonts w:ascii="Arial" w:cs="Arial" w:eastAsia="Arial" w:hAnsi="Arial"/>
                <w:sz w:val="17"/>
                <w:szCs w:val="17"/>
                <w:color w:val="auto"/>
              </w:rPr>
              <w:t>(12,974)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(631)</w:t>
            </w:r>
          </w:p>
        </w:tc>
      </w:tr>
      <w:tr>
        <w:trPr>
          <w:trHeight w:val="270"/>
        </w:trPr>
        <w:tc>
          <w:tcPr>
            <w:tcW w:w="1280" w:type="dxa"/>
            <w:vAlign w:val="bottom"/>
          </w:tcPr>
          <w:p>
            <w:pPr>
              <w:jc w:val="right"/>
              <w:ind w:right="55"/>
              <w:spacing w:after="0"/>
              <w:rPr>
                <w:sz w:val="20"/>
                <w:szCs w:val="20"/>
                <w:color w:val="auto"/>
              </w:rPr>
            </w:pPr>
            <w:r>
              <w:rPr>
                <w:rFonts w:ascii="Arial" w:cs="Arial" w:eastAsia="Arial" w:hAnsi="Arial"/>
                <w:sz w:val="17"/>
                <w:szCs w:val="17"/>
                <w:color w:val="auto"/>
              </w:rPr>
              <w:t>38,986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1,289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1,291</w:t>
            </w:r>
          </w:p>
        </w:tc>
      </w:tr>
      <w:tr>
        <w:trPr>
          <w:trHeight w:val="459"/>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303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303</w:t>
            </w:r>
          </w:p>
        </w:tc>
      </w:tr>
      <w:tr>
        <w:trPr>
          <w:trHeight w:val="270"/>
        </w:trPr>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22,555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22,555</w:t>
            </w:r>
          </w:p>
        </w:tc>
      </w:tr>
      <w:tr>
        <w:trPr>
          <w:trHeight w:val="31"/>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1280" w:type="dxa"/>
            <w:vAlign w:val="bottom"/>
          </w:tcPr>
          <w:p>
            <w:pPr>
              <w:jc w:val="right"/>
              <w:ind w:right="55"/>
              <w:spacing w:after="0"/>
              <w:rPr>
                <w:sz w:val="20"/>
                <w:szCs w:val="20"/>
                <w:color w:val="auto"/>
              </w:rPr>
            </w:pPr>
            <w:r>
              <w:rPr>
                <w:rFonts w:ascii="Arial" w:cs="Arial" w:eastAsia="Arial" w:hAnsi="Arial"/>
                <w:sz w:val="17"/>
                <w:szCs w:val="17"/>
                <w:color w:val="auto"/>
              </w:rPr>
              <w:t>10,582,596</w:t>
            </w: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529</w:t>
            </w:r>
          </w:p>
        </w:tc>
        <w:tc>
          <w:tcPr>
            <w:tcW w:w="12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51,104</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165,897</w:t>
            </w:r>
          </w:p>
        </w:tc>
        <w:tc>
          <w:tcPr>
            <w:tcW w:w="100" w:type="dxa"/>
            <w:vAlign w:val="bottom"/>
          </w:tcPr>
          <w:p>
            <w:pPr>
              <w:spacing w:after="0"/>
              <w:rPr>
                <w:sz w:val="19"/>
                <w:szCs w:val="19"/>
                <w:color w:val="auto"/>
              </w:rPr>
            </w:pPr>
          </w:p>
        </w:tc>
        <w:tc>
          <w:tcPr>
            <w:tcW w:w="5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217,828</w:t>
            </w:r>
          </w:p>
        </w:tc>
      </w:tr>
      <w:tr>
        <w:trPr>
          <w:trHeight w:val="31"/>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-1465580</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-1002665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-659765</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-196850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7" w:lineRule="exact"/>
        <w:rPr>
          <w:sz w:val="20"/>
          <w:szCs w:val="20"/>
          <w:color w:val="auto"/>
        </w:rPr>
      </w:pPr>
    </w:p>
    <w:p>
      <w:pPr>
        <w:jc w:val="center"/>
        <w:ind w:right="31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2880" w:space="220"/>
            <w:col w:w="8320"/>
          </w:cols>
          <w:pgMar w:left="240" w:top="364" w:right="239" w:bottom="1440" w:gutter="0" w:footer="0" w:header="0"/>
          <w:type w:val="continuous"/>
        </w:sectPr>
      </w:pPr>
    </w:p>
    <w:bookmarkStart w:id="31" w:name="page32"/>
    <w:bookmarkEnd w:id="31"/>
    <w:p>
      <w:pPr>
        <w:ind w:lef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2, 2017</w:t>
            </w:r>
          </w:p>
        </w:tc>
        <w:tc>
          <w:tcPr>
            <w:tcW w:w="140" w:type="dxa"/>
            <w:vAlign w:val="bottom"/>
          </w:tcPr>
          <w:p>
            <w:pPr>
              <w:spacing w:after="0"/>
              <w:rPr>
                <w:sz w:val="22"/>
                <w:szCs w:val="22"/>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April 3, 2016</w:t>
            </w:r>
          </w:p>
        </w:tc>
        <w:tc>
          <w:tcPr>
            <w:tcW w:w="180" w:type="dxa"/>
            <w:vAlign w:val="bottom"/>
          </w:tcPr>
          <w:p>
            <w:pPr>
              <w:spacing w:after="0"/>
              <w:rPr>
                <w:sz w:val="22"/>
                <w:szCs w:val="22"/>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29, 2015</w:t>
            </w:r>
          </w:p>
        </w:tc>
        <w:tc>
          <w:tcPr>
            <w:tcW w:w="0" w:type="dxa"/>
            <w:vAlign w:val="bottom"/>
          </w:tcPr>
          <w:p>
            <w:pPr>
              <w:spacing w:after="0"/>
              <w:rPr>
                <w:sz w:val="1"/>
                <w:szCs w:val="1"/>
                <w:color w:val="auto"/>
              </w:rPr>
            </w:pPr>
          </w:p>
        </w:tc>
      </w:tr>
      <w:tr>
        <w:trPr>
          <w:trHeight w:val="177"/>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22,555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18,143</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19,214</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Reconciliation to cash flows: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70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20,875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15,511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13,015</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Amortization of debt issuance costs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700"/>
              <w:spacing w:after="0"/>
              <w:rPr>
                <w:sz w:val="20"/>
                <w:szCs w:val="20"/>
                <w:color w:val="auto"/>
              </w:rPr>
            </w:pPr>
            <w:r>
              <w:rPr>
                <w:rFonts w:ascii="Arial" w:cs="Arial" w:eastAsia="Arial" w:hAnsi="Arial"/>
                <w:sz w:val="14"/>
                <w:szCs w:val="14"/>
                <w:color w:val="auto"/>
              </w:rPr>
              <w:t>Loss on disposal of investments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700"/>
              <w:spacing w:after="0"/>
              <w:rPr>
                <w:sz w:val="20"/>
                <w:szCs w:val="20"/>
                <w:color w:val="auto"/>
              </w:rPr>
            </w:pPr>
            <w:r>
              <w:rPr>
                <w:rFonts w:ascii="Arial" w:cs="Arial" w:eastAsia="Arial" w:hAnsi="Arial"/>
                <w:sz w:val="14"/>
                <w:szCs w:val="14"/>
                <w:color w:val="auto"/>
              </w:rPr>
              <w:t>Share-based compensation expense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2,127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1,706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(Gain) loss from property disposals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280" w:type="dxa"/>
            <w:vAlign w:val="bottom"/>
          </w:tcPr>
          <w:p>
            <w:pPr>
              <w:ind w:left="700"/>
              <w:spacing w:after="0" w:line="157" w:lineRule="exact"/>
              <w:rPr>
                <w:sz w:val="20"/>
                <w:szCs w:val="20"/>
                <w:color w:val="auto"/>
              </w:rPr>
            </w:pPr>
            <w:r>
              <w:rPr>
                <w:rFonts w:ascii="Arial" w:cs="Arial" w:eastAsia="Arial" w:hAnsi="Arial"/>
                <w:sz w:val="14"/>
                <w:szCs w:val="14"/>
                <w:color w:val="auto"/>
              </w:rPr>
              <w:t>Changes in operating accounts (using) providing cash, net of effects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80" w:type="dxa"/>
            <w:vAlign w:val="bottom"/>
          </w:tcPr>
          <w:p>
            <w:pPr>
              <w:ind w:left="860"/>
              <w:spacing w:after="0"/>
              <w:rPr>
                <w:sz w:val="20"/>
                <w:szCs w:val="20"/>
                <w:color w:val="auto"/>
              </w:rPr>
            </w:pPr>
            <w:r>
              <w:rPr>
                <w:rFonts w:ascii="Arial" w:cs="Arial" w:eastAsia="Arial" w:hAnsi="Arial"/>
                <w:sz w:val="14"/>
                <w:szCs w:val="14"/>
                <w:color w:val="auto"/>
              </w:rPr>
              <w:t>acquisition: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Trade receivables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1140"/>
              <w:spacing w:after="0"/>
              <w:rPr>
                <w:sz w:val="20"/>
                <w:szCs w:val="20"/>
                <w:color w:val="auto"/>
              </w:rPr>
            </w:pPr>
            <w:r>
              <w:rPr>
                <w:rFonts w:ascii="Arial" w:cs="Arial" w:eastAsia="Arial" w:hAnsi="Arial"/>
                <w:sz w:val="14"/>
                <w:szCs w:val="14"/>
                <w:color w:val="auto"/>
              </w:rPr>
              <w:t>Inventories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(3,529)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(9,977)</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1140"/>
              <w:spacing w:after="0"/>
              <w:rPr>
                <w:sz w:val="20"/>
                <w:szCs w:val="20"/>
                <w:color w:val="auto"/>
              </w:rPr>
            </w:pPr>
            <w:r>
              <w:rPr>
                <w:rFonts w:ascii="Arial" w:cs="Arial" w:eastAsia="Arial" w:hAnsi="Arial"/>
                <w:sz w:val="14"/>
                <w:szCs w:val="14"/>
                <w:color w:val="auto"/>
              </w:rPr>
              <w:t>Accrued liabilities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(2,177)</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11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74"/>
        </w:trPr>
        <w:tc>
          <w:tcPr>
            <w:tcW w:w="52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44,855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36,333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20,664</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property, plant, and equipment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(24,183)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(14,552)</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380"/>
              <w:spacing w:after="0"/>
              <w:rPr>
                <w:sz w:val="20"/>
                <w:szCs w:val="20"/>
                <w:color w:val="auto"/>
              </w:rPr>
            </w:pPr>
            <w:r>
              <w:rPr>
                <w:rFonts w:ascii="Arial" w:cs="Arial" w:eastAsia="Arial" w:hAnsi="Arial"/>
                <w:sz w:val="14"/>
                <w:szCs w:val="14"/>
                <w:color w:val="auto"/>
              </w:rPr>
              <w:t>Purchases of investments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(6,091)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(15,303)</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Sale and maturities of investments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37,763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13,280</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380"/>
              <w:spacing w:after="0"/>
              <w:rPr>
                <w:sz w:val="20"/>
                <w:szCs w:val="20"/>
                <w:color w:val="auto"/>
              </w:rPr>
            </w:pPr>
            <w:r>
              <w:rPr>
                <w:rFonts w:ascii="Arial" w:cs="Arial" w:eastAsia="Arial" w:hAnsi="Arial"/>
                <w:sz w:val="14"/>
                <w:szCs w:val="14"/>
                <w:color w:val="auto"/>
              </w:rPr>
              <w:t>Proceeds from property disposals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Acquisitions, net of cash acquired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(159,199)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(10,068)</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280" w:type="dxa"/>
            <w:vAlign w:val="bottom"/>
          </w:tcPr>
          <w:p>
            <w:pPr>
              <w:ind w:left="1460"/>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(23,491)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(151,352)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(26,420)</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380"/>
              <w:spacing w:after="0"/>
              <w:rPr>
                <w:sz w:val="20"/>
                <w:szCs w:val="20"/>
                <w:color w:val="auto"/>
              </w:rPr>
            </w:pPr>
            <w:r>
              <w:rPr>
                <w:rFonts w:ascii="Arial" w:cs="Arial" w:eastAsia="Arial" w:hAnsi="Arial"/>
                <w:sz w:val="14"/>
                <w:szCs w:val="14"/>
                <w:color w:val="auto"/>
              </w:rPr>
              <w:t>Cash dividends paid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(8,683)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(8,257)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New shares issued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380"/>
              <w:spacing w:after="0"/>
              <w:rPr>
                <w:sz w:val="20"/>
                <w:szCs w:val="20"/>
                <w:color w:val="auto"/>
              </w:rPr>
            </w:pPr>
            <w:r>
              <w:rPr>
                <w:rFonts w:ascii="Arial" w:cs="Arial" w:eastAsia="Arial" w:hAnsi="Arial"/>
                <w:sz w:val="14"/>
                <w:szCs w:val="14"/>
                <w:color w:val="auto"/>
              </w:rPr>
              <w:t>Stock options exercised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BFE4FF"/>
          </w:tcPr>
          <w:p>
            <w:pPr>
              <w:ind w:left="380"/>
              <w:spacing w:after="0"/>
              <w:rPr>
                <w:sz w:val="20"/>
                <w:szCs w:val="20"/>
                <w:color w:val="auto"/>
              </w:rPr>
            </w:pPr>
            <w:r>
              <w:rPr>
                <w:rFonts w:ascii="Arial" w:cs="Arial" w:eastAsia="Arial" w:hAnsi="Arial"/>
                <w:sz w:val="14"/>
                <w:szCs w:val="14"/>
                <w:color w:val="auto"/>
              </w:rPr>
              <w:t>Excess tax benefit from share-based compensation</w:t>
            </w:r>
          </w:p>
        </w:tc>
        <w:tc>
          <w:tcPr>
            <w:tcW w:w="120" w:type="dxa"/>
            <w:vAlign w:val="bottom"/>
            <w:shd w:val="clear" w:color="auto" w:fill="BFE4FF"/>
          </w:tcPr>
          <w:p>
            <w:pPr>
              <w:spacing w:after="0"/>
              <w:rPr>
                <w:sz w:val="17"/>
                <w:szCs w:val="17"/>
                <w:color w:val="auto"/>
              </w:rPr>
            </w:pPr>
          </w:p>
        </w:tc>
        <w:tc>
          <w:tcPr>
            <w:tcW w:w="220" w:type="dxa"/>
            <w:vAlign w:val="bottom"/>
            <w:shd w:val="clear" w:color="auto" w:fill="BFE4FF"/>
          </w:tcPr>
          <w:p>
            <w:pPr>
              <w:spacing w:after="0"/>
              <w:rPr>
                <w:sz w:val="17"/>
                <w:szCs w:val="17"/>
                <w:color w:val="auto"/>
              </w:rPr>
            </w:pPr>
          </w:p>
        </w:tc>
        <w:tc>
          <w:tcPr>
            <w:tcW w:w="128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13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320" w:type="dxa"/>
            <w:vAlign w:val="bottom"/>
            <w:vMerge w:val="restart"/>
            <w:shd w:val="clear" w:color="auto" w:fill="BFE4FF"/>
          </w:tcPr>
          <w:p>
            <w:pPr>
              <w:jc w:val="right"/>
              <w:ind w:right="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80"/>
        </w:trPr>
        <w:tc>
          <w:tcPr>
            <w:tcW w:w="5280" w:type="dxa"/>
            <w:vAlign w:val="bottom"/>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220" w:type="dxa"/>
            <w:vAlign w:val="bottom"/>
            <w:shd w:val="clear" w:color="auto" w:fill="BFE4FF"/>
          </w:tcPr>
          <w:p>
            <w:pPr>
              <w:spacing w:after="0"/>
              <w:rPr>
                <w:sz w:val="6"/>
                <w:szCs w:val="6"/>
                <w:color w:val="auto"/>
              </w:rPr>
            </w:pPr>
          </w:p>
        </w:tc>
        <w:tc>
          <w:tcPr>
            <w:tcW w:w="128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136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80" w:type="dxa"/>
            <w:vAlign w:val="bottom"/>
            <w:shd w:val="clear" w:color="auto" w:fill="BFE4FF"/>
          </w:tcPr>
          <w:p>
            <w:pPr>
              <w:spacing w:after="0"/>
              <w:rPr>
                <w:sz w:val="6"/>
                <w:szCs w:val="6"/>
                <w:color w:val="auto"/>
              </w:rPr>
            </w:pPr>
          </w:p>
        </w:tc>
        <w:tc>
          <w:tcPr>
            <w:tcW w:w="132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380"/>
              <w:spacing w:after="0"/>
              <w:rPr>
                <w:sz w:val="20"/>
                <w:szCs w:val="20"/>
                <w:color w:val="auto"/>
              </w:rPr>
            </w:pPr>
            <w:r>
              <w:rPr>
                <w:rFonts w:ascii="Arial" w:cs="Arial" w:eastAsia="Arial" w:hAnsi="Arial"/>
                <w:sz w:val="14"/>
                <w:szCs w:val="14"/>
                <w:color w:val="auto"/>
              </w:rPr>
              <w:t>Shares surrendered for payroll taxes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Shares repurchased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380"/>
              <w:spacing w:after="0"/>
              <w:rPr>
                <w:sz w:val="20"/>
                <w:szCs w:val="20"/>
                <w:color w:val="auto"/>
              </w:rPr>
            </w:pPr>
            <w:r>
              <w:rPr>
                <w:rFonts w:ascii="Arial" w:cs="Arial" w:eastAsia="Arial" w:hAnsi="Arial"/>
                <w:sz w:val="14"/>
                <w:szCs w:val="14"/>
                <w:color w:val="auto"/>
              </w:rPr>
              <w:t>Payments on senior secured term loan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(5,625)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senior secured revolving credit facility</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380"/>
              <w:spacing w:after="0"/>
              <w:rPr>
                <w:sz w:val="20"/>
                <w:szCs w:val="20"/>
                <w:color w:val="auto"/>
              </w:rPr>
            </w:pPr>
            <w:r>
              <w:rPr>
                <w:rFonts w:ascii="Arial" w:cs="Arial" w:eastAsia="Arial" w:hAnsi="Arial"/>
                <w:sz w:val="14"/>
                <w:szCs w:val="14"/>
                <w:color w:val="auto"/>
              </w:rPr>
              <w:t>Payments for debt issuance costs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long-term borrowings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380"/>
              <w:spacing w:after="0"/>
              <w:rPr>
                <w:sz w:val="20"/>
                <w:szCs w:val="20"/>
                <w:color w:val="auto"/>
              </w:rPr>
            </w:pPr>
            <w:r>
              <w:rPr>
                <w:rFonts w:ascii="Arial" w:cs="Arial" w:eastAsia="Arial" w:hAnsi="Arial"/>
                <w:sz w:val="14"/>
                <w:szCs w:val="14"/>
                <w:color w:val="auto"/>
              </w:rPr>
              <w:t>Proceeds from revolver borrowings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31,000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80" w:type="dxa"/>
            <w:vAlign w:val="bottom"/>
            <w:tcBorders>
              <w:top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Net cash (used in) provided by financing activities</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(34,517)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116,394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(9,091)</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28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(13,153)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1,375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(14,847)</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 - beginning of year</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20,014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33,486</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280" w:type="dxa"/>
            <w:vAlign w:val="bottom"/>
          </w:tcPr>
          <w:p>
            <w:pPr>
              <w:ind w:left="380"/>
              <w:spacing w:after="0"/>
              <w:rPr>
                <w:sz w:val="20"/>
                <w:szCs w:val="20"/>
                <w:color w:val="auto"/>
              </w:rPr>
            </w:pPr>
            <w:r>
              <w:rPr>
                <w:rFonts w:ascii="Arial" w:cs="Arial" w:eastAsia="Arial" w:hAnsi="Arial"/>
                <w:sz w:val="14"/>
                <w:szCs w:val="14"/>
                <w:color w:val="auto"/>
              </w:rPr>
              <w:t>CASH AND CASH EQUIVALENTS - end of year</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6,861</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20,014</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18,639</w:t>
            </w:r>
          </w:p>
        </w:tc>
        <w:tc>
          <w:tcPr>
            <w:tcW w:w="0" w:type="dxa"/>
            <w:vAlign w:val="bottom"/>
          </w:tcPr>
          <w:p>
            <w:pPr>
              <w:spacing w:after="0"/>
              <w:rPr>
                <w:sz w:val="1"/>
                <w:szCs w:val="1"/>
                <w:color w:val="auto"/>
              </w:rPr>
            </w:pPr>
          </w:p>
        </w:tc>
      </w:tr>
      <w:tr>
        <w:trPr>
          <w:trHeight w:val="100"/>
        </w:trPr>
        <w:tc>
          <w:tcPr>
            <w:tcW w:w="528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28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SUPPLEMENTAL DISCLOSURES OF CASH FLOW INFORMATION-</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380"/>
              <w:spacing w:after="0"/>
              <w:rPr>
                <w:sz w:val="20"/>
                <w:szCs w:val="20"/>
                <w:color w:val="auto"/>
              </w:rPr>
            </w:pPr>
            <w:r>
              <w:rPr>
                <w:rFonts w:ascii="Arial" w:cs="Arial" w:eastAsia="Arial" w:hAnsi="Arial"/>
                <w:sz w:val="14"/>
                <w:szCs w:val="14"/>
                <w:color w:val="auto"/>
              </w:rPr>
              <w:t>Cash paid during the year for income taxes</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13,421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11,811</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13,801</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paid for interest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380"/>
              <w:spacing w:after="0"/>
              <w:rPr>
                <w:sz w:val="20"/>
                <w:szCs w:val="20"/>
                <w:color w:val="auto"/>
              </w:rPr>
            </w:pPr>
            <w:r>
              <w:rPr>
                <w:rFonts w:ascii="Arial" w:cs="Arial" w:eastAsia="Arial" w:hAnsi="Arial"/>
                <w:sz w:val="14"/>
                <w:szCs w:val="14"/>
                <w:color w:val="auto"/>
              </w:rPr>
              <w:t>Noncash investing activities - Capital expenditures in accounts payable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958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1,884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BFE4FF"/>
          </w:tcPr>
          <w:p>
            <w:pPr>
              <w:ind w:left="380"/>
              <w:spacing w:after="0"/>
              <w:rPr>
                <w:sz w:val="20"/>
                <w:szCs w:val="20"/>
                <w:color w:val="auto"/>
              </w:rPr>
            </w:pPr>
            <w:r>
              <w:rPr>
                <w:rFonts w:ascii="Arial" w:cs="Arial" w:eastAsia="Arial" w:hAnsi="Arial"/>
                <w:sz w:val="14"/>
                <w:szCs w:val="14"/>
                <w:color w:val="auto"/>
              </w:rPr>
              <w:t>Acquisition consideration accrued but not paid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280" w:type="dxa"/>
            <w:vAlign w:val="bottom"/>
            <w:shd w:val="clear" w:color="auto" w:fill="BFE4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140"/>
          </w:cols>
          <w:pgMar w:left="880" w:top="364" w:right="87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140"/>
          </w:cols>
          <w:pgMar w:left="880" w:top="364" w:right="87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Nature of Business - </w:t>
      </w:r>
      <w:r>
        <w:rPr>
          <w:rFonts w:ascii="Arial" w:cs="Arial" w:eastAsia="Arial" w:hAnsi="Arial"/>
          <w:sz w:val="17"/>
          <w:szCs w:val="17"/>
          <w:color w:val="auto"/>
        </w:rPr>
        <w:t>We have three reportable segments: Industrial, Water Treatment and Health and Nutrition. The Industrial Group specializes in providing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industrial chemicals, products and services to industries such as agriculture, chemical processing, electronics, energy, food, pharmaceutical, plating and power generation. This group also manufactures and sells certain food-grade products, including liquid phosphates, lactates and other blended products. The Water Treatment Group specializes in providing chemicals, equipment and solutions for potable water, municipal and industrial wastewater, industrial process water and non-residential swimming pool water. This group has the resources and flexibility to treat systems ranging in size from a single small well to a multi-million-gallon-per-day facility. We established the Health and Nutrition segment of our business in December 2015 through our acquisition of Stauber Performance Ingredients (“Stauber”). Our Health and Nutrition Group specializes in providing ingredient distribution, processing and formulation solutions to manufacturers of nutraceutical, functional food and beverage, personal care, dietary supplement and other nutritional food and health and wellness products. This group offers a diverse product portfolio including minerals, botanicals and herbs, vitamins and amino acids, excipients, joint products, sweeteners and enzymes.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Our fiscal year is a 52 or 53-week year ending on the Sunday closest to March 31. Our fiscal years ended April 2, 2017 (“fiscal 2017”)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29, 2015 (“fiscal 2015”) were 52 weeks. Our fiscal year ended April 3, 2016 (“fiscal 2016”) was 53 weeks. The fiscal year ending April 1, 2018 (“fiscal 2018”) will be 52 weeks.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accounts have been eliminated.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Estimates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preparation of financial statements in conformity with U.S. generally accepted accounting principles (“GAAP”) requires management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Revenue Recognition - </w:t>
      </w:r>
      <w:r>
        <w:rPr>
          <w:rFonts w:ascii="Arial" w:cs="Arial" w:eastAsia="Arial" w:hAnsi="Arial"/>
          <w:sz w:val="16"/>
          <w:szCs w:val="16"/>
          <w:color w:val="auto"/>
        </w:rPr>
        <w:t>We recognize revenue when there is evidence that the customer has agreed to purchase the product, the price and terms of the sale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the product has shipped and title has passed to our customer, performance has occurred, and collection of the receivable is reasonably assured.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 shipping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 of sales.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financial assets and liabilities that are re-measured and reported at fair value for each reporting period are an interest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swap and marketable securities. There are no fair value measurements with respect to nonfinancial assets or liabilities that are recognized or disclosed at fair value in our consolidated financial statements on a recurring basis.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Valuation is based on observable inputs such as quoted market prices (unadjusted) for identical assets or liabilities in active markets.</w:t>
      </w:r>
    </w:p>
    <w:p>
      <w:pPr>
        <w:spacing w:after="0" w:line="237" w:lineRule="exact"/>
        <w:rPr>
          <w:sz w:val="20"/>
          <w:szCs w:val="20"/>
          <w:color w:val="auto"/>
        </w:rPr>
      </w:pPr>
    </w:p>
    <w:p>
      <w:pPr>
        <w:ind w:left="220" w:firstLine="23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inputs such as quoted market prices for similar assets or liabilities in active markets or other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asset or liability, either directly or indirectly, for substantially the full term of the financial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other unobservable inputs that are significant to the fair value measurement.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include all liquid debt instruments (primarily cash funds and money market accounts) purchased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The balances maintained at financial institutions may, at times, exceed federally insured limits.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Investments - </w:t>
      </w:r>
      <w:r>
        <w:rPr>
          <w:rFonts w:ascii="Arial" w:cs="Arial" w:eastAsia="Arial" w:hAnsi="Arial"/>
          <w:sz w:val="18"/>
          <w:szCs w:val="18"/>
          <w:color w:val="auto"/>
        </w:rPr>
        <w:t>Available-for-sale securities have consisted of certificates of deposit (“CD’s”) and municipal bonds and were valued at current market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resulting unrealized gains and losses excluded from earnings and reported, net of tax, as a separate component of shareholders’ equity until realized. Any impairment loss to reduce an investment’s carrying amount to its fair market value was recognized in income when a decline in the fair market value of an individual security below its cost or carrying value is determined to be other than temporary. As of April 2, 2017 and April 3, 2016, we did not own any available-for-sale securities.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Trade Receivables and Concentrations of Credit Risk - </w:t>
      </w:r>
      <w:r>
        <w:rPr>
          <w:rFonts w:ascii="Arial" w:cs="Arial" w:eastAsia="Arial" w:hAnsi="Arial"/>
          <w:sz w:val="18"/>
          <w:szCs w:val="18"/>
          <w:color w:val="auto"/>
        </w:rPr>
        <w:t>Financial instruments, which potentially subject us to a concentration of credit risk, principally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of trade receivables. We sell our principal products to a large number of customers in many different industries. There are no concentrations of credit risk with a single customer from a particular service or geographic area that would significantly impact us in the near term. To reduce credit risk, we routinely assess the financial strength of our customers. We record an allowance for doubtful accounts to reduce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 Our cash balances are held at two separate financial institutions where the cash balances may exceed federally insured limits. The institutions are two of the largest commercial banking institutions in the country and both have maintained strong credit ratings.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for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70% of our inventory determined using the last-in, first-out (“LIFO”) method. Cost for the other 30% of our total inventory is determined using the first-in, first-out (“FIFO”) method.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the straight-line method.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are: 10 to 40 years for buildings and improvements; 3 to 20 years for machinery and equipment; and 3 to 10 years for transportation equipment and office furniture and equipment including computer systems. Leasehold improvements are depreciated over the lesser of their estimated useful lives or the remaining lease term.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operations.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No long-lived assets were determined to be impaired during fiscal years 2017, 2016 or 2015.</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Goodwill and Identifiable Intangible Assets - </w:t>
      </w:r>
      <w:r>
        <w:rPr>
          <w:rFonts w:ascii="Arial" w:cs="Arial" w:eastAsia="Arial" w:hAnsi="Arial"/>
          <w:sz w:val="17"/>
          <w:szCs w:val="17"/>
          <w:color w:val="auto"/>
        </w:rPr>
        <w:t>Goodwill represents the excess of the cost of acquired businesses over the fair value of identifiable tangible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As of January 2, 2017, we performed an analysis of qualitative factors for our Industrial and Water Treatment reporting units to determine whether it is more likely than not that the fair value of either of these reporting units was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either the Industrial or Water Treatment reporting units.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Health and Nutrition reporting unit was new in fiscal 2016, we performed a quantitative goodwill impairment test. This test, used to identify potential impairment, compares the fair value of the reporting unit with its carrying amount, including indefinite-lived intangible assets. If the fair value exceeds the carrying amount, the goodwill is not considered impaired. If the carrying amount exceeds the fair value, the reporting unit’s goodwill is considered impaired, and we must recognize an impairment charge for the amount by which the carrying amount exceeds the reporting unit’s fair value. The fair value of our Health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Nutrition reporting unit exceeded its carrying value as of January 2, 2017, so we did not need to record a goodwill impairment charge.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primary identifiable intangible assets include customer lists, trade secrets, non-competition agreements, trademarks and trade names acquired in previous business acquisitions. Identifiable intangible assets with finite lives are amortized whereas identifiable intangible assets with indefinite lives are not amortized. The values assigned to the intangible assets with finite lives are being amortized on average over approximately 14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qualitative assessment to determine whether it is more likely than not that the asset is impaired. Based on management’s analysis of qualitative factors, we determined that it was not necessary to perform a quantitative impairment test for fiscal 2017.</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Impairment assessments were also completed in the fourth quarters of fiscal 2016 and 2015, which resulted in no impairment charges for either of these fiscal years.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 </w:t>
      </w:r>
      <w:r>
        <w:rPr>
          <w:rFonts w:ascii="Arial" w:cs="Arial" w:eastAsia="Arial" w:hAnsi="Arial"/>
          <w:sz w:val="18"/>
          <w:szCs w:val="18"/>
          <w:color w:val="auto"/>
        </w:rPr>
        <w:t>In the preparation of our consolidated financial statements, the calculation of income taxes by management is based upon the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rate applicable to operating results for the full fiscal year. This includes estimating the current tax liability as well as assessing differences resulting from different treatment of items for tax and book accounting purposes. Differences that are temporary in nature result in deferred tax assets and liabilities, which are recorded on the consolidated balance sheet, while differences that are permanent in nature impact the income tax expense recorded on the income statement and impact the effective tax rate for the fiscal year. The deferred tax assets and liabilities are analyzed regularly and management assesses the likelihood that deferred tax assets will be recovered from future taxable income. We record any interest and penalties related to income taxes as income tax expense in the consolidated statements of income.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income tax positions are recognized only if those positions are more likely than not of being sustained. Changes in recognition or measurement are made as facts and circumstances change. See note 12 for further information regarding the recording of a liability and offsetting receivable regarding an uncertain tax position taken by Stauber prior to its acquisition by 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 stock-based award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in expense over the requisite service period (generally the vesting period). Non-vested share awards are recorded as expense over the requisite service periods based on the market value on the date of grant.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Basic earnings per share (“EPS”) are computed by dividing net income by the weighted-average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Diluted EPS are computed by dividing net income by the weighted-average number of common shares outstanding including the incremental shares assumed to be issued upon the exercise of stock options and the incremental shares assumed to be issued as performance units and restricted stock. Basic and diluted EPS were calculated using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April 2, 2017</w:t>
            </w: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April 3, 2016</w:t>
            </w:r>
          </w:p>
        </w:tc>
        <w:tc>
          <w:tcPr>
            <w:tcW w:w="170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29, 2015</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10,536,347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10,524,730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10,568,582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7"/>
              </w:rPr>
              <w:t>Dilutive impact of stock performance units, restricted stock, and stock options</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59,763</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53,312</w:t>
            </w:r>
          </w:p>
        </w:tc>
        <w:tc>
          <w:tcPr>
            <w:tcW w:w="12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64,972</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10,596,110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10,578,042</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10,633,554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shares or stock options excluded from the calculation of weighted average common shares for diluted EPS for fiscal 2017, 2016 or 2015.</w:t>
      </w:r>
    </w:p>
    <w:p>
      <w:pPr>
        <w:spacing w:after="0" w:line="2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Derivative Instruments and Hedging Activities - </w:t>
      </w:r>
      <w:r>
        <w:rPr>
          <w:rFonts w:ascii="Arial" w:cs="Arial" w:eastAsia="Arial" w:hAnsi="Arial"/>
          <w:sz w:val="16"/>
          <w:szCs w:val="16"/>
          <w:color w:val="auto"/>
        </w:rPr>
        <w:t>We are subject to interest rate risk associated with our variable rate debt. During fiscal 2017, we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interest rate swap which was has been designated as a cash flow hedge, the purpose of which is to eliminate the cash flow impact of interest rate changes on a portion of our variable-rate debt starting in September 2017. The hedge was measured at fair value on the contract date and subsequently remeasured to fair value at each reporting date. Changes in the fair value of a derivative that is highly effective, and that is designated and qualifies as a cash flow hedge, are recorded in other comprehensive income, until the consolidated statement of income is affected by the variability in cash flows of the designated hedged item. To the extent that the hedge is ineffective, changes in the fair value are recognized in the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2017, the FASB issued ASU 2017-04 which simplifies the accounting for goodwill impairment. The guidances removes step two of the goodwill impairment test, which required a hypothetical purchase price allocation. We adopted this guidance in the fourth quarter of fiscal 2017.</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2015, the FASB issued ASU 2015-16 which eliminates the requirement for an acquirer to retrospectively adjust the financial statements for measurement-period adjustments that occur in periods after a business combination is consummated. We adopted this guidance in the first quarter of fiscal 2017.</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2015, the FASB issued ASU 2015-03 which simplifies the presentation of debt issuance costs. The new guidance requires debt issuance costs related to a recognized debt liability to be presented as a direct deduction from the debt liability on the balance sheet. The guidance was effective for fiscal years beginning after December 15, 2015 (our fiscal 2017), with early adoption permitted. We elected to early adopt this guidance in our third quarter of fiscal 2016.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2015, the FASB issued ASU 2015-17 requiring entities with a classified balance sheet to present all deferred tax assets and liabilities as non-current. The new guidance is effective for fiscal years beginning after December 15, 2016 (our fiscal 2018), with early adoption permitted. We elected to early adopt this guidance prospectively at the beginning of our fourth quarter of fiscal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Acquisition of Stauber Performance Ingredients: </w:t>
      </w:r>
      <w:r>
        <w:rPr>
          <w:rFonts w:ascii="Arial" w:cs="Arial" w:eastAsia="Arial" w:hAnsi="Arial"/>
          <w:sz w:val="17"/>
          <w:szCs w:val="17"/>
          <w:color w:val="auto"/>
        </w:rPr>
        <w:t>On December 23, 2015, we acquired Stauber for $157.0 million on a cash-free, debt-free basis subject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customary working capital adjustment. The total consideration for the acquisition was $158.2 million ($156.7 million net of cash acquired). We paid $156.0 million in cash at closing and paid an additional $2.2 million in early fiscal 2017 based upon closing cash, debt and working capital balances. The purchase was funded with $131.0 million of proceeds from the credit facility described more fully in Note 7 as well as cash on hand.</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Stauber operates out of facilities in New York and California and blends and distributes specialty products and ingredients to manufacturers of nutraceutical, functional food and beverage, personal care, dietary supplement, and other nutritional food, health and wellness products. The acquisition expands our portfolio of value-added specialty products within new markets. Stauber had revenues of approximately $118.0 million for the twelve months ended December 23, 2015, the date of the acquisition. The results of operations since the acquisition date, and the assets, including the goodwill associated with the acquisition, are included in our newly formed Health and Nutrition operating segment.</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Direct acquisition costs of $3.3 million, consisting mainly of professional and consulting fees, were expensed as incurred during fiscal 2016, and are classified as selling, general, and administrative expenses in our consolidated statement of income, and are reported in our Health and Nutrition segment.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was accounted for under the acquisition method of accounting. Accordingly, the cost to acquire Stauber was allocated to the underlying net assets in proportion to estimates of their respective fair values.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acquired property, plant and equipment of $11.0 million was valued using a cost approach with consideration given to the continuation of the property in the current operation at the present locations. The fair value of acquired identifiable intangible assets is $71.5 million. The acquired intangible assets, all of which are finite-lived, have a weighted average useful life of 16.3 years and are being amortized on a straight-line basis. The intangible assets include customer relationships of $66.0 million (17 years life), trade name of $4.0 million (10 years life), non-competition agreements of $1.3 million (3.3 years weighted average life) and order backlog of $0.1 million.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fair value of acquired identifiable intangible assets was determined using the income approach. In performing these valuations, the key underlying probability-adjusted assumptions of the discounted cash flows were projected revenues, gross margin expectations and operating cost estimates. The valuations were based on the information that was available as of the acquisition date and the expectations and assumptions that have been deemed reasonable by management. There are inherent uncertainties and management judgment required in these determinations. The fair value measurements of the assets acquired were based on valuations involving significant unobservable inputs, or Level 3 in the fair value hierarchy. None of the intangible assets 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to be deductible for income tax purposes. As a result, a $28.6 million deferred tax liability was recorded on the opening balance sheet for the amount of non-deductible amortization expense.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purchase price of Stauber exceeded the net of the acquisition-date amounts of the identifiable assets acquired and the liabilities assumed by $84.1 million. Cash flows used to determine the purchase price included strategic and synergistic benefits (investment value) specific to Hawkins, which resulted in a purchase price in excess of the fair value of identifiable net assets. The purchase price also included the fair values of other assets that were not identifiable, not separately recognizable under accounting rules (e.g., assembled workforce) or of immaterial value in addition to a going-concern element that represents our ability to earn a higher rate of return on the group of assets than would be expected on the separate assets as determined during the valuation process. None of the goodwill is expected to be deductible for income tax purposes.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final valuation of assets acquired and liabilities assumed was completed in the third quarter of fiscal 2017. The following table summarizes the fair value measurement of the assets acquired and liabilities assumed as of the acquisition date: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740" w:type="dxa"/>
            <w:vAlign w:val="bottom"/>
            <w:gridSpan w:val="3"/>
            <w:shd w:val="clear" w:color="auto" w:fill="BFE4FF"/>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shd w:val="clear" w:color="auto" w:fill="BFE4FF"/>
          </w:tcPr>
          <w:p>
            <w:pPr>
              <w:spacing w:after="0"/>
              <w:rPr>
                <w:sz w:val="21"/>
                <w:szCs w:val="21"/>
                <w:color w:val="auto"/>
              </w:rPr>
            </w:pPr>
          </w:p>
        </w:tc>
        <w:tc>
          <w:tcPr>
            <w:tcW w:w="1700" w:type="dxa"/>
            <w:vAlign w:val="bottom"/>
            <w:shd w:val="clear" w:color="auto" w:fill="BFE4FF"/>
          </w:tcPr>
          <w:p>
            <w:pPr>
              <w:jc w:val="right"/>
              <w:ind w:right="751"/>
              <w:spacing w:after="0"/>
              <w:rPr>
                <w:sz w:val="20"/>
                <w:szCs w:val="20"/>
                <w:color w:val="auto"/>
              </w:rPr>
            </w:pPr>
            <w:r>
              <w:rPr>
                <w:rFonts w:ascii="Arial" w:cs="Arial" w:eastAsia="Arial" w:hAnsi="Arial"/>
                <w:sz w:val="14"/>
                <w:szCs w:val="14"/>
                <w:b w:val="1"/>
                <w:bCs w:val="1"/>
                <w:color w:val="auto"/>
              </w:rPr>
              <w:t>Amount</w:t>
            </w:r>
          </w:p>
        </w:tc>
      </w:tr>
      <w:tr>
        <w:trPr>
          <w:trHeight w:val="20"/>
        </w:trPr>
        <w:tc>
          <w:tcPr>
            <w:tcW w:w="40" w:type="dxa"/>
            <w:vAlign w:val="bottom"/>
            <w:tcBorders>
              <w:top w:val="single" w:sz="8" w:color="BFE4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82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BFE4FF"/>
            </w:tcBorders>
            <w:shd w:val="clear" w:color="auto" w:fill="000000"/>
          </w:tcPr>
          <w:p>
            <w:pPr>
              <w:spacing w:after="0" w:line="20" w:lineRule="exact"/>
              <w:rPr>
                <w:sz w:val="1"/>
                <w:szCs w:val="1"/>
                <w:color w:val="auto"/>
              </w:rPr>
            </w:pPr>
          </w:p>
        </w:tc>
        <w:tc>
          <w:tcPr>
            <w:tcW w:w="1700" w:type="dxa"/>
            <w:vAlign w:val="bottom"/>
            <w:tcBorders>
              <w:top w:val="single" w:sz="8" w:color="BFE4FF"/>
            </w:tcBorders>
            <w:shd w:val="clear" w:color="auto" w:fill="000000"/>
          </w:tcPr>
          <w:p>
            <w:pPr>
              <w:spacing w:after="0" w:line="20" w:lineRule="exact"/>
              <w:rPr>
                <w:sz w:val="1"/>
                <w:szCs w:val="1"/>
                <w:color w:val="auto"/>
              </w:rPr>
            </w:pPr>
          </w:p>
        </w:tc>
      </w:tr>
      <w:tr>
        <w:trPr>
          <w:trHeight w:val="237"/>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(a)</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1,502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Trade receivables</w:t>
            </w:r>
          </w:p>
        </w:tc>
        <w:tc>
          <w:tcPr>
            <w:tcW w:w="48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16,023</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10,207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900</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4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10,989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Intangible assets</w:t>
            </w:r>
          </w:p>
        </w:tc>
        <w:tc>
          <w:tcPr>
            <w:tcW w:w="48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71,459</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(5,398)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Accrued expenses and other current liabilities (a)</w:t>
            </w:r>
          </w:p>
        </w:tc>
        <w:tc>
          <w:tcPr>
            <w:tcW w:w="48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(2,925)</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(28,565)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Other non-current liabilities</w:t>
            </w:r>
          </w:p>
        </w:tc>
        <w:tc>
          <w:tcPr>
            <w:tcW w:w="480" w:type="dxa"/>
            <w:vAlign w:val="bottom"/>
            <w:tcBorders>
              <w:bottom w:val="single" w:sz="8" w:color="BFE4FF"/>
            </w:tcBorders>
            <w:shd w:val="clear" w:color="auto" w:fill="BFE4FF"/>
          </w:tcPr>
          <w:p>
            <w:pPr>
              <w:spacing w:after="0"/>
              <w:rPr>
                <w:sz w:val="23"/>
                <w:szCs w:val="23"/>
                <w:color w:val="auto"/>
              </w:rPr>
            </w:pPr>
          </w:p>
        </w:tc>
        <w:tc>
          <w:tcPr>
            <w:tcW w:w="17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40" w:type="dxa"/>
            <w:vAlign w:val="bottom"/>
          </w:tcPr>
          <w:p>
            <w:pPr>
              <w:spacing w:after="0"/>
              <w:rPr>
                <w:sz w:val="20"/>
                <w:szCs w:val="20"/>
                <w:color w:val="auto"/>
              </w:rPr>
            </w:pPr>
          </w:p>
        </w:tc>
        <w:tc>
          <w:tcPr>
            <w:tcW w:w="8700" w:type="dxa"/>
            <w:vAlign w:val="bottom"/>
            <w:gridSpan w:val="2"/>
          </w:tcPr>
          <w:p>
            <w:pPr>
              <w:ind w:left="320"/>
              <w:spacing w:after="0"/>
              <w:rPr>
                <w:sz w:val="20"/>
                <w:szCs w:val="20"/>
                <w:color w:val="auto"/>
              </w:rPr>
            </w:pPr>
            <w:r>
              <w:rPr>
                <w:rFonts w:ascii="Arial" w:cs="Arial" w:eastAsia="Arial" w:hAnsi="Arial"/>
                <w:sz w:val="18"/>
                <w:szCs w:val="18"/>
                <w:color w:val="auto"/>
              </w:rPr>
              <w:t>Net assets acquired</w:t>
            </w:r>
          </w:p>
        </w:tc>
        <w:tc>
          <w:tcPr>
            <w:tcW w:w="4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74,115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BFE4FF"/>
            </w:tcBorders>
            <w:shd w:val="clear" w:color="auto" w:fill="BFE4FF"/>
          </w:tcPr>
          <w:p>
            <w:pPr>
              <w:spacing w:after="0"/>
              <w:rPr>
                <w:sz w:val="23"/>
                <w:szCs w:val="23"/>
                <w:color w:val="auto"/>
              </w:rPr>
            </w:pPr>
          </w:p>
        </w:tc>
        <w:tc>
          <w:tcPr>
            <w:tcW w:w="17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84,061</w:t>
            </w:r>
          </w:p>
        </w:tc>
      </w:tr>
      <w:tr>
        <w:trPr>
          <w:trHeight w:val="237"/>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Total preliminary purchase price</w:t>
            </w:r>
          </w:p>
        </w:tc>
        <w:tc>
          <w:tcPr>
            <w:tcW w:w="4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158,176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Less acquired cash</w:t>
            </w:r>
          </w:p>
        </w:tc>
        <w:tc>
          <w:tcPr>
            <w:tcW w:w="480" w:type="dxa"/>
            <w:vAlign w:val="bottom"/>
            <w:tcBorders>
              <w:bottom w:val="single" w:sz="8" w:color="BFE4FF"/>
            </w:tcBorders>
            <w:shd w:val="clear" w:color="auto" w:fill="BFE4FF"/>
          </w:tcPr>
          <w:p>
            <w:pPr>
              <w:spacing w:after="0"/>
              <w:rPr>
                <w:sz w:val="23"/>
                <w:szCs w:val="23"/>
                <w:color w:val="auto"/>
              </w:rPr>
            </w:pPr>
          </w:p>
        </w:tc>
        <w:tc>
          <w:tcPr>
            <w:tcW w:w="17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(1,502)</w:t>
            </w:r>
          </w:p>
        </w:tc>
      </w:tr>
      <w:tr>
        <w:trPr>
          <w:trHeight w:val="257"/>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Preliminary purchase price, net of cash acquired</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156,674</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firstLine="8"/>
        <w:spacing w:after="0" w:line="273" w:lineRule="auto"/>
        <w:tabs>
          <w:tab w:leader="none" w:pos="198"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addition to these balances, $7.3 million of cash and current accrued liabilities were recorded that relate to stock and other acquisition-related compensation payments, which were recorded by Stauber as of the acquisition date but were paid subsequent to the acquisition date.</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Note: Included in our consolidated balance sheet as of 4/3/2016 is an income tax receivable of $4.6 million related to pre-acquisition income taxes, with an offsetting liability payable to the prior owners as these amounts will be paid to them upon receipt.</w:t>
      </w: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pro forma information has been prepared as if the Stauber acquisition and the borrowing to finance the acquisition had occurred as of the beginning of the fiscal years presented. The unaudited pro forma information is not necessarily indicative of what our consolidated results of operations actually would have been had the acquisition occurred at the beginning of each fiscal year, nor is it indicative of our future operational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Fiscal year ended April 3, 2016</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3"/>
                <w:szCs w:val="13"/>
                <w:color w:val="auto"/>
              </w:rPr>
            </w:pPr>
          </w:p>
        </w:tc>
        <w:tc>
          <w:tcPr>
            <w:tcW w:w="17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As reported</w:t>
            </w:r>
          </w:p>
        </w:tc>
        <w:tc>
          <w:tcPr>
            <w:tcW w:w="400" w:type="dxa"/>
            <w:vAlign w:val="bottom"/>
          </w:tcPr>
          <w:p>
            <w:pPr>
              <w:spacing w:after="0"/>
              <w:rPr>
                <w:sz w:val="13"/>
                <w:szCs w:val="13"/>
                <w:color w:val="auto"/>
              </w:rPr>
            </w:pPr>
          </w:p>
        </w:tc>
        <w:tc>
          <w:tcPr>
            <w:tcW w:w="18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Pro Forma Stauber</w:t>
            </w:r>
          </w:p>
        </w:tc>
        <w:tc>
          <w:tcPr>
            <w:tcW w:w="180" w:type="dxa"/>
            <w:vAlign w:val="bottom"/>
          </w:tcPr>
          <w:p>
            <w:pPr>
              <w:spacing w:after="0"/>
              <w:rPr>
                <w:sz w:val="13"/>
                <w:szCs w:val="13"/>
                <w:color w:val="auto"/>
              </w:rPr>
            </w:pPr>
          </w:p>
        </w:tc>
        <w:tc>
          <w:tcPr>
            <w:tcW w:w="162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6"/>
              </w:rPr>
              <w:t>Combined Pro Forma</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620" w:type="dxa"/>
            <w:vAlign w:val="bottom"/>
          </w:tcPr>
          <w:p>
            <w:pPr>
              <w:jc w:val="right"/>
              <w:ind w:right="596"/>
              <w:spacing w:after="0" w:line="158" w:lineRule="exact"/>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BFE4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BFE4FF"/>
            </w:tcBorders>
            <w:shd w:val="clear" w:color="auto" w:fill="BFE4FF"/>
          </w:tcPr>
          <w:p>
            <w:pPr>
              <w:jc w:val="right"/>
              <w:ind w:right="53"/>
              <w:spacing w:after="0"/>
              <w:rPr>
                <w:sz w:val="20"/>
                <w:szCs w:val="20"/>
                <w:color w:val="auto"/>
              </w:rPr>
            </w:pPr>
            <w:r>
              <w:rPr>
                <w:rFonts w:ascii="Arial" w:cs="Arial" w:eastAsia="Arial" w:hAnsi="Arial"/>
                <w:sz w:val="18"/>
                <w:szCs w:val="18"/>
                <w:color w:val="auto"/>
              </w:rPr>
              <w:t>413,976</w:t>
            </w:r>
          </w:p>
        </w:tc>
        <w:tc>
          <w:tcPr>
            <w:tcW w:w="40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87,691</w:t>
            </w:r>
          </w:p>
        </w:tc>
        <w:tc>
          <w:tcPr>
            <w:tcW w:w="2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501,667</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Pro forma net income</w:t>
            </w:r>
          </w:p>
        </w:tc>
        <w:tc>
          <w:tcPr>
            <w:tcW w:w="140" w:type="dxa"/>
            <w:vAlign w:val="bottom"/>
          </w:tcPr>
          <w:p>
            <w:pPr>
              <w:spacing w:after="0"/>
              <w:rPr>
                <w:sz w:val="21"/>
                <w:szCs w:val="21"/>
                <w:color w:val="auto"/>
              </w:rPr>
            </w:pP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18,143</w:t>
            </w:r>
          </w:p>
        </w:tc>
        <w:tc>
          <w:tcPr>
            <w:tcW w:w="40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4,809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22,952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140" w:type="dxa"/>
            <w:vAlign w:val="bottom"/>
            <w:shd w:val="clear" w:color="auto" w:fill="BFE4FF"/>
          </w:tcPr>
          <w:p>
            <w:pPr>
              <w:spacing w:after="0"/>
              <w:rPr>
                <w:sz w:val="23"/>
                <w:szCs w:val="23"/>
                <w:color w:val="auto"/>
              </w:rPr>
            </w:pPr>
          </w:p>
        </w:tc>
        <w:tc>
          <w:tcPr>
            <w:tcW w:w="1740" w:type="dxa"/>
            <w:vAlign w:val="bottom"/>
            <w:shd w:val="clear" w:color="auto" w:fill="BFE4FF"/>
          </w:tcPr>
          <w:p>
            <w:pPr>
              <w:spacing w:after="0"/>
              <w:rPr>
                <w:sz w:val="23"/>
                <w:szCs w:val="23"/>
                <w:color w:val="auto"/>
              </w:rPr>
            </w:pPr>
          </w:p>
        </w:tc>
        <w:tc>
          <w:tcPr>
            <w:tcW w:w="400" w:type="dxa"/>
            <w:vAlign w:val="bottom"/>
            <w:shd w:val="clear" w:color="auto" w:fill="BFE4FF"/>
          </w:tcPr>
          <w:p>
            <w:pPr>
              <w:spacing w:after="0"/>
              <w:rPr>
                <w:sz w:val="23"/>
                <w:szCs w:val="23"/>
                <w:color w:val="auto"/>
              </w:rPr>
            </w:pPr>
          </w:p>
        </w:tc>
        <w:tc>
          <w:tcPr>
            <w:tcW w:w="1600" w:type="dxa"/>
            <w:vAlign w:val="bottom"/>
            <w:shd w:val="clear" w:color="auto" w:fill="BFE4FF"/>
          </w:tcPr>
          <w:p>
            <w:pPr>
              <w:spacing w:after="0"/>
              <w:rPr>
                <w:sz w:val="23"/>
                <w:szCs w:val="23"/>
                <w:color w:val="auto"/>
              </w:rPr>
            </w:pPr>
          </w:p>
        </w:tc>
        <w:tc>
          <w:tcPr>
            <w:tcW w:w="22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1620" w:type="dxa"/>
            <w:vAlign w:val="bottom"/>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Pro forma basic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1.72</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diluted earnings per share</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BFE4FF"/>
            </w:tcBorders>
            <w:shd w:val="clear" w:color="auto" w:fill="BFE4FF"/>
          </w:tcPr>
          <w:p>
            <w:pPr>
              <w:jc w:val="right"/>
              <w:ind w:right="53"/>
              <w:spacing w:after="0"/>
              <w:rPr>
                <w:sz w:val="20"/>
                <w:szCs w:val="20"/>
                <w:color w:val="auto"/>
              </w:rPr>
            </w:pPr>
            <w:r>
              <w:rPr>
                <w:rFonts w:ascii="Arial" w:cs="Arial" w:eastAsia="Arial" w:hAnsi="Arial"/>
                <w:sz w:val="18"/>
                <w:szCs w:val="18"/>
                <w:color w:val="auto"/>
              </w:rPr>
              <w:t>1.72</w:t>
            </w:r>
          </w:p>
        </w:tc>
        <w:tc>
          <w:tcPr>
            <w:tcW w:w="40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0.45</w:t>
            </w:r>
          </w:p>
        </w:tc>
        <w:tc>
          <w:tcPr>
            <w:tcW w:w="2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jc w:val="right"/>
              <w:ind w:right="1453"/>
              <w:spacing w:after="0"/>
              <w:rPr>
                <w:sz w:val="20"/>
                <w:szCs w:val="20"/>
                <w:color w:val="auto"/>
              </w:rPr>
            </w:pPr>
            <w:r>
              <w:rPr>
                <w:rFonts w:ascii="Arial" w:cs="Arial" w:eastAsia="Arial" w:hAnsi="Arial"/>
                <w:sz w:val="18"/>
                <w:szCs w:val="18"/>
                <w:color w:val="auto"/>
                <w:w w:val="89"/>
              </w:rPr>
              <w:t>34</w:t>
            </w: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Fiscal year ended March 29, 2015</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3"/>
                <w:szCs w:val="13"/>
                <w:color w:val="auto"/>
              </w:rPr>
            </w:pP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As reported</w:t>
            </w:r>
          </w:p>
        </w:tc>
        <w:tc>
          <w:tcPr>
            <w:tcW w:w="420" w:type="dxa"/>
            <w:vAlign w:val="bottom"/>
          </w:tcPr>
          <w:p>
            <w:pPr>
              <w:spacing w:after="0"/>
              <w:rPr>
                <w:sz w:val="13"/>
                <w:szCs w:val="13"/>
                <w:color w:val="auto"/>
              </w:rPr>
            </w:pPr>
          </w:p>
        </w:tc>
        <w:tc>
          <w:tcPr>
            <w:tcW w:w="18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Pro Forma Stauber</w:t>
            </w:r>
          </w:p>
        </w:tc>
        <w:tc>
          <w:tcPr>
            <w:tcW w:w="180" w:type="dxa"/>
            <w:vAlign w:val="bottom"/>
          </w:tcPr>
          <w:p>
            <w:pPr>
              <w:spacing w:after="0"/>
              <w:rPr>
                <w:sz w:val="13"/>
                <w:szCs w:val="13"/>
                <w:color w:val="auto"/>
              </w:rPr>
            </w:pPr>
          </w:p>
        </w:tc>
        <w:tc>
          <w:tcPr>
            <w:tcW w:w="164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w w:val="96"/>
              </w:rPr>
              <w:t>Combined Pro Forma</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640" w:type="dxa"/>
            <w:vAlign w:val="bottom"/>
          </w:tcPr>
          <w:p>
            <w:pPr>
              <w:jc w:val="right"/>
              <w:ind w:right="596"/>
              <w:spacing w:after="0" w:line="158" w:lineRule="exact"/>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BFE4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364,023</w:t>
            </w: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105,515</w:t>
            </w:r>
          </w:p>
        </w:tc>
        <w:tc>
          <w:tcPr>
            <w:tcW w:w="2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469,538</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Pro forma net income</w:t>
            </w:r>
          </w:p>
        </w:tc>
        <w:tc>
          <w:tcPr>
            <w:tcW w:w="3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19,214</w:t>
            </w:r>
          </w:p>
        </w:tc>
        <w:tc>
          <w:tcPr>
            <w:tcW w:w="4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2,138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21,352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3140" w:type="dxa"/>
            <w:vAlign w:val="bottom"/>
            <w:shd w:val="clear" w:color="auto" w:fill="CCEE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500" w:type="dxa"/>
            <w:vAlign w:val="bottom"/>
            <w:shd w:val="clear" w:color="auto" w:fill="BFE4FF"/>
          </w:tcPr>
          <w:p>
            <w:pPr>
              <w:spacing w:after="0"/>
              <w:rPr>
                <w:sz w:val="24"/>
                <w:szCs w:val="24"/>
                <w:color w:val="auto"/>
              </w:rPr>
            </w:pPr>
          </w:p>
        </w:tc>
        <w:tc>
          <w:tcPr>
            <w:tcW w:w="420" w:type="dxa"/>
            <w:vAlign w:val="bottom"/>
            <w:shd w:val="clear" w:color="auto" w:fill="BFE4FF"/>
          </w:tcPr>
          <w:p>
            <w:pPr>
              <w:spacing w:after="0"/>
              <w:rPr>
                <w:sz w:val="24"/>
                <w:szCs w:val="24"/>
                <w:color w:val="auto"/>
              </w:rPr>
            </w:pPr>
          </w:p>
        </w:tc>
        <w:tc>
          <w:tcPr>
            <w:tcW w:w="160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64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Pro forma basic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 forma diluted earnings per share</w:t>
            </w:r>
          </w:p>
        </w:tc>
        <w:tc>
          <w:tcPr>
            <w:tcW w:w="34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1.81</w:t>
            </w:r>
          </w:p>
        </w:tc>
        <w:tc>
          <w:tcPr>
            <w:tcW w:w="4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BFE4FF"/>
          </w:tcPr>
          <w:p>
            <w:pPr>
              <w:jc w:val="right"/>
              <w:ind w:right="16"/>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BFE4FF"/>
          </w:tcPr>
          <w:p>
            <w:pPr>
              <w:spacing w:after="0"/>
              <w:rPr>
                <w:sz w:val="21"/>
                <w:szCs w:val="21"/>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BFE4FF"/>
          </w:tcPr>
          <w:p>
            <w:pPr>
              <w:jc w:val="right"/>
              <w:ind w:right="36"/>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340" w:type="dxa"/>
            <w:vAlign w:val="bottom"/>
            <w:shd w:val="clear" w:color="auto" w:fill="BFE4FF"/>
          </w:tcPr>
          <w:p>
            <w:pPr>
              <w:spacing w:after="0"/>
              <w:rPr>
                <w:sz w:val="2"/>
                <w:szCs w:val="2"/>
                <w:color w:val="auto"/>
              </w:rPr>
            </w:pPr>
          </w:p>
        </w:tc>
        <w:tc>
          <w:tcPr>
            <w:tcW w:w="1500" w:type="dxa"/>
            <w:vAlign w:val="bottom"/>
            <w:shd w:val="clear" w:color="auto" w:fill="BFE4FF"/>
          </w:tcPr>
          <w:p>
            <w:pPr>
              <w:spacing w:after="0"/>
              <w:rPr>
                <w:sz w:val="2"/>
                <w:szCs w:val="2"/>
                <w:color w:val="auto"/>
              </w:rPr>
            </w:pPr>
          </w:p>
        </w:tc>
        <w:tc>
          <w:tcPr>
            <w:tcW w:w="420" w:type="dxa"/>
            <w:vAlign w:val="bottom"/>
            <w:shd w:val="clear" w:color="auto" w:fill="BFE4FF"/>
          </w:tcPr>
          <w:p>
            <w:pPr>
              <w:spacing w:after="0"/>
              <w:rPr>
                <w:sz w:val="2"/>
                <w:szCs w:val="2"/>
                <w:color w:val="auto"/>
              </w:rPr>
            </w:pPr>
          </w:p>
        </w:tc>
        <w:tc>
          <w:tcPr>
            <w:tcW w:w="1600" w:type="dxa"/>
            <w:vAlign w:val="bottom"/>
            <w:shd w:val="clear" w:color="auto" w:fill="BFE4FF"/>
          </w:tcPr>
          <w:p>
            <w:pPr>
              <w:spacing w:after="0"/>
              <w:rPr>
                <w:sz w:val="2"/>
                <w:szCs w:val="2"/>
                <w:color w:val="auto"/>
              </w:rPr>
            </w:pPr>
          </w:p>
        </w:tc>
        <w:tc>
          <w:tcPr>
            <w:tcW w:w="220" w:type="dxa"/>
            <w:vAlign w:val="bottom"/>
            <w:shd w:val="clear" w:color="auto" w:fill="BFE4FF"/>
          </w:tcPr>
          <w:p>
            <w:pPr>
              <w:spacing w:after="0"/>
              <w:rPr>
                <w:sz w:val="2"/>
                <w:szCs w:val="2"/>
                <w:color w:val="auto"/>
              </w:rPr>
            </w:pPr>
          </w:p>
        </w:tc>
        <w:tc>
          <w:tcPr>
            <w:tcW w:w="180" w:type="dxa"/>
            <w:vAlign w:val="bottom"/>
            <w:shd w:val="clear" w:color="auto" w:fill="BFE4FF"/>
          </w:tcPr>
          <w:p>
            <w:pPr>
              <w:spacing w:after="0"/>
              <w:rPr>
                <w:sz w:val="2"/>
                <w:szCs w:val="2"/>
                <w:color w:val="auto"/>
              </w:rPr>
            </w:pPr>
          </w:p>
        </w:tc>
        <w:tc>
          <w:tcPr>
            <w:tcW w:w="164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unaudited pro forma financial information above is adjusted to reflect the following: (a) interest expense, including amortization of debt issuance costs, related to the $131.0 million of debt used to fund the acquisition; (b) amortization expense related to the $71.5 million of identifiable intangible assets recognized in conjunction with the acquisition; (c) elimination of amortization of intangibles and interest expense previously reflected on Stauber’s financial statements; (d) elimination of stock and other acquisition-related compensation recorded by Stauber, and transaction-related expenses recorded by us; and (e) recording income taxes at an estimated combined federal and state statutory rate of approximately 38% on these pre-tax adjustments.</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Acquisition of Davis Supply, Inc.</w:t>
      </w:r>
      <w:r>
        <w:rPr>
          <w:rFonts w:ascii="Arial" w:cs="Arial" w:eastAsia="Arial" w:hAnsi="Arial"/>
          <w:sz w:val="18"/>
          <w:szCs w:val="18"/>
          <w:color w:val="auto"/>
        </w:rPr>
        <w:t>: On September 18, 2015, we acquired substantially all of the assets of Davis Supply, Inc. (“Davis”) under the terms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purchase agreement with Davis and its shareholders. We paid $4.5 million cash at closing, using available cash on hand to fund the acquisition. Davis was a water treatment chemical distribution company operating in Florida with revenues of approximately $5.0 million in calendar year 2014. We have integrated this business into our existing Florida locations. The results of operations after the date of acquisition and the acquired assets are included in our Water Treatment Segment.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Acquisition of The Dumont Company, Inc.</w:t>
      </w:r>
      <w:r>
        <w:rPr>
          <w:rFonts w:ascii="Arial" w:cs="Arial" w:eastAsia="Arial" w:hAnsi="Arial"/>
          <w:sz w:val="16"/>
          <w:szCs w:val="16"/>
          <w:color w:val="auto"/>
        </w:rPr>
        <w:t>: On October 20, 2014, we acquired substantially all of the assets of The Dumont Company, Inc. (“Dumont”)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terms of an asset purchase agreement with Dumont and its shareholders. We paid $10.1 million in cash including a working capital adjustment, using available cash on hand to fund the acquisition. Dumont was a water treatment chemical distribution company with revenues of approximately $14.0 million in calendar year 2013. Through this acquisition we added seven operating locations across Florida. The results of operations since the acquisition date, and the assets, including the goodwill associated with this acquisition, are included in our Water Treatment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Instruments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September 20, 2016, we entered into an interest rate swap agreement to manage the risk associated with a portion of our variable-rate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will begin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and for the year ended April 2, 2017, we recorded $0.3 million in other comprehensive income related to unrealized gains (net of tax) on the cash flow</w:t>
      </w:r>
    </w:p>
    <w:p>
      <w:pPr>
        <w:spacing w:after="0" w:line="8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hedge. An asset of $0.5 million is included in other long-term assets on our condensed consolidated balance sheet as of April 2, 2017. No amounts were reflected in other comprehensive income related to cash flow hedges for the fiscal years ended April 3, 2016 or March 29, 2015, or on the condensed consolidated balance sheet as of April 3, 2016, as we did not hold any derivative instruments at that time.</w:t>
      </w:r>
    </w:p>
    <w:p>
      <w:pPr>
        <w:spacing w:after="0" w:line="20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financial assets and liabilities are measured at fair value as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 We classify the inputs used to measure fair value into the following hierarchy:</w:t>
      </w:r>
    </w:p>
    <w:p>
      <w:pPr>
        <w:spacing w:after="0" w:line="18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340" w:hanging="864"/>
        <w:spacing w:after="0" w:line="264" w:lineRule="auto"/>
        <w:tabs>
          <w:tab w:leader="none" w:pos="2140" w:val="left"/>
        </w:tabs>
        <w:rPr>
          <w:sz w:val="20"/>
          <w:szCs w:val="20"/>
          <w:color w:val="auto"/>
        </w:rPr>
      </w:pPr>
      <w:r>
        <w:rPr>
          <w:rFonts w:ascii="Arial" w:cs="Arial" w:eastAsia="Arial" w:hAnsi="Arial"/>
          <w:sz w:val="18"/>
          <w:szCs w:val="18"/>
          <w:color w:val="auto"/>
        </w:rPr>
        <w:t>Level 2:</w:t>
        <w:tab/>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1000" w:hanging="864"/>
        <w:spacing w:after="0" w:line="264" w:lineRule="auto"/>
        <w:tabs>
          <w:tab w:leader="none" w:pos="2140" w:val="left"/>
        </w:tabs>
        <w:rPr>
          <w:sz w:val="20"/>
          <w:szCs w:val="20"/>
          <w:color w:val="auto"/>
        </w:rPr>
      </w:pPr>
      <w:r>
        <w:rPr>
          <w:rFonts w:ascii="Arial" w:cs="Arial" w:eastAsia="Arial" w:hAnsi="Arial"/>
          <w:sz w:val="18"/>
          <w:szCs w:val="18"/>
          <w:color w:val="auto"/>
        </w:rPr>
        <w:t>Level 3:</w:t>
        <w:tab/>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 of interest rate swaps is determined by the respective counterparties based on interest rate changes. Interest rate swaps are valued based on observable interest rate yield curves for similar instruments.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the balances of assets or liabilities measured at fair value on a recurring basis as of April 2, 2017. There were no assets or liabilities measured at fair value on a recurring basis as of April 3,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Level 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0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21"/>
                <w:szCs w:val="21"/>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b w:val="1"/>
                <w:bCs w:val="1"/>
                <w:color w:val="auto"/>
              </w:rPr>
              <w:t>Note 5 — Inventories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Inventories at April 2, 2017 and April 3, 2016 consisted of the following:</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9"/>
        </w:trPr>
        <w:tc>
          <w:tcPr>
            <w:tcW w:w="6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auto"/>
            </w:tcBorders>
          </w:tcPr>
          <w:p>
            <w:pPr>
              <w:spacing w:after="0"/>
              <w:rPr>
                <w:sz w:val="24"/>
                <w:szCs w:val="24"/>
                <w:color w:val="auto"/>
              </w:rPr>
            </w:pPr>
          </w:p>
        </w:tc>
      </w:tr>
      <w:tr>
        <w:trPr>
          <w:trHeight w:val="251"/>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90"/>
              </w:rPr>
              <w:t>52,735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51,857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LIFO reserve</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8"/>
              </w:rPr>
              <w:t>(1,486)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(4,138)</w:t>
            </w: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90"/>
              </w:rPr>
              <w:t>51,249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47,719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FIFO value of inventories accounted for under the LIFO method was $37.0 million at April 2, 2017 and $36.5 million at April 3, 2016. The remainder of the inventory was valued and accounted for under the FIFO method.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decreased the LIFO reserve by $2.7 million in fiscal 2017 and by $1.4 million in fiscal 2016 due to an overall reduction in inventory costs per unit and lower volumes of certain inventory on hand in each of these years.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each of our three reportable segments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Industrial</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Water Treatment</w:t>
            </w: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Health and Nutrition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29, 2015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11,750</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Addition due to acquisition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1,745</w:t>
            </w: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84,229</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85,974</w:t>
            </w: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3, 2016</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84,229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97,724</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Final purchase price adjustment for prior-year acquisition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2, 2017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84,061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97,556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April 2, 2017, goodwill amounted to $97.6 million, a decrease of $0.2 million from the balance at April 3,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identifiable intangible assets as of April 2, 2017 and April 3,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7"/>
              </w:rPr>
              <w:t>Net carrying value</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78,383</w:t>
            </w:r>
          </w:p>
        </w:tc>
        <w:tc>
          <w:tcPr>
            <w:tcW w:w="4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(7,854)</w:t>
            </w:r>
          </w:p>
        </w:tc>
        <w:tc>
          <w:tcPr>
            <w:tcW w:w="46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70,529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Trademarks and 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Other finite-life intangible assets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88,076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Indefinite-life intangible assets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89,303</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(12,420)</w:t>
            </w:r>
          </w:p>
        </w:tc>
        <w:tc>
          <w:tcPr>
            <w:tcW w:w="4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2"/>
              </w:rPr>
              <w:t>Gross Amount</w:t>
            </w:r>
          </w:p>
        </w:tc>
        <w:tc>
          <w:tcPr>
            <w:tcW w:w="4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3"/>
                <w:szCs w:val="13"/>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Net carrying value</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8"/>
              </w:rPr>
              <w:t>Amortization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8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78,384</w:t>
            </w:r>
          </w:p>
        </w:tc>
        <w:tc>
          <w:tcPr>
            <w:tcW w:w="4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(3,289)</w:t>
            </w:r>
          </w:p>
        </w:tc>
        <w:tc>
          <w:tcPr>
            <w:tcW w:w="60" w:type="dxa"/>
            <w:vAlign w:val="bottom"/>
          </w:tcPr>
          <w:p>
            <w:pPr>
              <w:spacing w:after="0"/>
              <w:rPr>
                <w:sz w:val="21"/>
                <w:szCs w:val="21"/>
                <w:color w:val="auto"/>
              </w:rPr>
            </w:pPr>
          </w:p>
        </w:tc>
        <w:tc>
          <w:tcPr>
            <w:tcW w:w="46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75,095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Trademarks and 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80"/>
              <w:spacing w:after="0"/>
              <w:rPr>
                <w:sz w:val="20"/>
                <w:szCs w:val="20"/>
                <w:color w:val="auto"/>
              </w:rPr>
            </w:pPr>
            <w:r>
              <w:rPr>
                <w:rFonts w:ascii="Arial" w:cs="Arial" w:eastAsia="Arial" w:hAnsi="Arial"/>
                <w:sz w:val="18"/>
                <w:szCs w:val="18"/>
                <w:color w:val="auto"/>
              </w:rPr>
              <w:t>Other finite-life intangible assets</w:t>
            </w:r>
          </w:p>
        </w:tc>
        <w:tc>
          <w:tcPr>
            <w:tcW w:w="1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Indefinite-life intangible assets</w:t>
            </w:r>
          </w:p>
        </w:tc>
        <w:tc>
          <w:tcPr>
            <w:tcW w:w="1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89,304</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6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82,934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$6.1 million during fiscal 2017, $2.4 million during fiscal 2016, and $0.9 million during fiscal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5,704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4,891</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2015, in connection with the Stauber acquisition described more fully in Note 2, we entered into a credit agreement (the “Credit Agreement”) with U.S. Bank National Association (“U.S. Bank”), as Lead Arranger, and Sole Bookrunner, and other lenders from time to time party thereto (collectively, the “Lenders”), whereby U.S. Bank is also serving as Administrative Agent. The Credit Agreement included senior secured credit facilities (the “Credit Facility”) totaling $165.0 million, consisting of a $100.0 million senior secured term loan credit facility (the “Term Loan Facility”) and a $65.0 million senior secured revolving loan credit facility (the “Revolving Loan Facility”). The Revolving Loan Facility includes a letter of credit subfacility in the amount of $5.0 million and a swingline subfacility in the amount of $8.0 million. The Term Loan facility requires mandatory quarterly repayments as outlined in the table below with the remainder of the loan due at maturity. The Credit Facility is scheduled to terminate on December 23, 2020. The Credit Facility is secured by substantially all of our personal property assets and those of our subsidiaries.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Borrowings under the Credit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 S. Bank’s prime rate, (2) the Federal Funds Effective Rate plus 0.5%, or (3) one-month LIBOR for U.S. dollars plus 1.0%. The LIBOR margin is 1.125%, 1.25% or 1.5%, depending on our leverage ratio. The base rate margin is 0.125%, 0.25% or 0.5%, depending on our leverage ratio. At April 2, 2017, the effective interest rate on our borrowings was approximately 2.2%.</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used $131.0 million of the proceeds from the Credit Facility to fund our acquisition of Stauber. We may use the remaining $34.0 million for working capital, capital expenditures, restricted payments and acquisitions permitted under the Credit Facility, and other general corporate purposes.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of $0.7 million paid to the lenders are reflected as a reduction of debt and are being amortized on a straight line basis over the term of the credit facility. Amortization of debt issuance costs was $0.1 million for fiscal 2017 and immaterial for fiscal 2016. As of April 2, 2017, $0.5 million of debt issuance costs were reflected as a reduction of debt on our balance sheet.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As of April 2, 2017, we were in compliance with all required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Debt at April 2, 2017 and April 3, 2016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2, 2017</w:t>
            </w:r>
          </w:p>
        </w:tc>
        <w:tc>
          <w:tcPr>
            <w:tcW w:w="240" w:type="dxa"/>
            <w:vAlign w:val="bottom"/>
          </w:tcPr>
          <w:p>
            <w:pPr>
              <w:spacing w:after="0"/>
              <w:rPr>
                <w:sz w:val="14"/>
                <w:szCs w:val="14"/>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b w:val="1"/>
                <w:bCs w:val="1"/>
                <w:color w:val="auto"/>
              </w:rPr>
              <w:t>April 3, 2016</w:t>
            </w: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Senior secured term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93,125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98,750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Senior secured revolver</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31,000</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103,125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129,750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37"/>
        </w:trPr>
        <w:tc>
          <w:tcPr>
            <w:tcW w:w="40" w:type="dxa"/>
            <w:vAlign w:val="bottom"/>
          </w:tcPr>
          <w:p>
            <w:pPr>
              <w:spacing w:after="0"/>
              <w:rPr>
                <w:sz w:val="20"/>
                <w:szCs w:val="20"/>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Total debt, net of debt issuance costs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102,615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129,105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current portion of long-term debt, net of current 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w:t>
            </w:r>
          </w:p>
        </w:tc>
      </w:tr>
      <w:tr>
        <w:trPr>
          <w:trHeight w:val="257"/>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94,626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123,616</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00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rPr>
              <w:t>HAWKINS, INC.</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70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80"/>
        </w:trPr>
        <w:tc>
          <w:tcPr>
            <w:tcW w:w="9760" w:type="dxa"/>
            <w:vAlign w:val="bottom"/>
            <w:gridSpan w:val="5"/>
          </w:tcPr>
          <w:p>
            <w:pPr>
              <w:spacing w:after="0"/>
              <w:rPr>
                <w:sz w:val="20"/>
                <w:szCs w:val="20"/>
                <w:color w:val="auto"/>
              </w:rPr>
            </w:pPr>
            <w:r>
              <w:rPr>
                <w:rFonts w:ascii="Arial" w:cs="Arial" w:eastAsia="Arial" w:hAnsi="Arial"/>
                <w:sz w:val="18"/>
                <w:szCs w:val="18"/>
                <w:color w:val="auto"/>
              </w:rPr>
              <w:t>Scheduled annual maturities of debt as of April 2, 2017 are as follows: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35"/>
        </w:trPr>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50"/>
        </w:trPr>
        <w:tc>
          <w:tcPr>
            <w:tcW w:w="120" w:type="dxa"/>
            <w:vAlign w:val="bottom"/>
            <w:tcBorders>
              <w:right w:val="single" w:sz="8" w:color="CCEEFF"/>
            </w:tcBorders>
          </w:tcPr>
          <w:p>
            <w:pPr>
              <w:spacing w:after="0"/>
              <w:rPr>
                <w:sz w:val="21"/>
                <w:szCs w:val="21"/>
                <w:color w:val="auto"/>
              </w:rPr>
            </w:pPr>
          </w:p>
        </w:tc>
        <w:tc>
          <w:tcPr>
            <w:tcW w:w="96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Fiscal year ending</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2018</w:t>
            </w:r>
          </w:p>
        </w:tc>
        <w:tc>
          <w:tcPr>
            <w:tcW w:w="1520" w:type="dxa"/>
            <w:vAlign w:val="bottom"/>
            <w:tcBorders>
              <w:top w:val="single" w:sz="8" w:color="CCEEFF"/>
            </w:tcBorders>
          </w:tcPr>
          <w:p>
            <w:pPr>
              <w:spacing w:after="0"/>
              <w:rPr>
                <w:sz w:val="21"/>
                <w:szCs w:val="21"/>
                <w:color w:val="auto"/>
              </w:rPr>
            </w:pPr>
          </w:p>
        </w:tc>
        <w:tc>
          <w:tcPr>
            <w:tcW w:w="4720" w:type="dxa"/>
            <w:vAlign w:val="bottom"/>
            <w:tcBorders>
              <w:top w:val="single" w:sz="8" w:color="CCEEFF"/>
            </w:tcBorders>
          </w:tcPr>
          <w:p>
            <w:pPr>
              <w:spacing w:after="0"/>
              <w:rPr>
                <w:sz w:val="21"/>
                <w:szCs w:val="21"/>
                <w:color w:val="auto"/>
              </w:rPr>
            </w:pPr>
          </w:p>
        </w:tc>
        <w:tc>
          <w:tcPr>
            <w:tcW w:w="22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8,125</w:t>
            </w:r>
          </w:p>
        </w:tc>
      </w:tr>
      <w:tr>
        <w:trPr>
          <w:trHeight w:val="27"/>
        </w:trPr>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20" w:type="dxa"/>
            <w:vAlign w:val="bottom"/>
            <w:tcBorders>
              <w:right w:val="single" w:sz="8" w:color="CCEEFF"/>
            </w:tcBorders>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5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w:t>
            </w:r>
          </w:p>
        </w:tc>
      </w:tr>
      <w:tr>
        <w:trPr>
          <w:trHeight w:val="243"/>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2020</w:t>
            </w:r>
          </w:p>
        </w:tc>
        <w:tc>
          <w:tcPr>
            <w:tcW w:w="152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10,000</w:t>
            </w:r>
          </w:p>
        </w:tc>
      </w:tr>
      <w:tr>
        <w:trPr>
          <w:trHeight w:val="27"/>
        </w:trPr>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120" w:type="dxa"/>
            <w:vAlign w:val="bottom"/>
            <w:tcBorders>
              <w:right w:val="single" w:sz="8" w:color="CCEEFF"/>
            </w:tcBorders>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52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w:t>
            </w:r>
          </w:p>
        </w:tc>
      </w:tr>
      <w:tr>
        <w:trPr>
          <w:trHeight w:val="237"/>
        </w:trPr>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103,125</w:t>
            </w:r>
          </w:p>
        </w:tc>
      </w:tr>
      <w:tr>
        <w:trPr>
          <w:trHeight w:val="27"/>
        </w:trPr>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compensation arrangement for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54,028 shares in the aggregate for fiscal 2017.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fiscal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7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16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28,853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weighted average grant date fair value of performance-based restricted shares issued in fiscal 2017, 2016 and 2015 was $43.10, $40.89, and $34.45, respectively. We recorded compensation expense on performance-based restricted stock of approximately $1.4 million for fiscal 2017, $1.2 million for fiscal 2016 and $1.1 million for fiscal 2015, substantially all of which was recorded in selling, general and administrative (“SG&amp;A”) expense in the Consolidated Statements of Income. The total fair value of performance-based restricted stock units vested in fiscal 2017 was $1.5 million compared to $2.0 million in fiscal 2016 and $0.8 million in fiscal 2015.</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Unrecognized compensation expense related to non-vested restricted stock and non-vested restricted share units as of April 2, 2017 was $1.3 million and is expected to be recognized over a weighted average period of 1.5 years.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benefits of tax deductions that vary from the recognized compensation costs from share-based compensation are recorded as a change in additional paid-in capital rather than a deduction of taxes paid. The amount of excess tax benefit recognized and recorded in additional paid-in capital resulting from share-based compensation cost was $0.1 million in fiscal 2017, nominal in fiscal 2016 and $0.1 million in 2015.</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Restricted Stock Awards. </w:t>
      </w:r>
      <w:r>
        <w:rPr>
          <w:rFonts w:ascii="Arial" w:cs="Arial" w:eastAsia="Arial" w:hAnsi="Arial"/>
          <w:sz w:val="17"/>
          <w:szCs w:val="17"/>
          <w:color w:val="auto"/>
        </w:rPr>
        <w:t>As part of their retainer, our non-employee directors receive restricted stock for their Board services. The restricted stock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expensed over the requisite vesting period, which begins on the date of issuance and ends on the date of the next Annual Meeting of Shareholders, based on the market value on the date of grant. The following table represents the Board’s restricted stock activity for fiscal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10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Annual expense related to the value of restricted stock was $0.3 million in fiscal 2017, $0.2 million for both 2016 and 2015, all of which was recorded in SG&amp;A expense in the Consolidated Statements of Income. Unrecognized compensation expense related to non-vested restricted stock awards as of April 2, 2017 was $0.1 million and is expected to be recognized over a weighted average period of 0.3 years.</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Stock Option Awards. </w:t>
      </w:r>
      <w:r>
        <w:rPr>
          <w:rFonts w:ascii="Arial" w:cs="Arial" w:eastAsia="Arial" w:hAnsi="Arial"/>
          <w:sz w:val="18"/>
          <w:szCs w:val="18"/>
          <w:color w:val="auto"/>
        </w:rPr>
        <w:t>Our Board of Directors (the “Board”) previously approved a long-term incentive equity compensation arrangement for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that provided for the grant of non-qualified stock options that vested at the end of a three-year period, although no stock options have been granted under this arrangement since the fiscal year ended March 28, 2010. As of April 2, 2017 and April 3, 2016 we had no stock options outstanding. During fiscal 2015, 9,333 options were exercised with an exercise price of $19.90. No expense was recorded in fiscal 2017, 2016 or 2015 related to the value of 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 Repurchase Program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 our common stock for the par value of the shares with the excess applied against additional paid-in capital. No shares were repurchased during fiscal 2017. We repurchased 127,852 of common stock at an aggregate purchase price of $4.8 million during fiscal 2016, and 59,602 shares of common stock at an aggregate purchase price of $2.2 million during fiscal 2015. As of April 2, 2017, the number of shares available to be purchased under the share repurchase program was 112,546.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Profit Sharing, Employee Stock Ownership, Employee Stock Purchase and Pension Plans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Company Sponsored Plans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majority of our non-bargaining unit employees are eligible to participate in a company-sponsored profit sharing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Contributions are made at our discretion subject to a maximum amount allowed under the Internal Revenue Code (“IRC”). The profit sharing plan contribution level for each employee depends upon date of hire, with those employees hired after April 1, 2012 eligible to receive a contribution that is 50% of the contribution made for employees hired on or before April 1, 2012. Our contribution to the profit sharing plan for fiscal 2017, fiscal 2016 and fiscal 2015 was 5% of each employee’s eligible compensation for employees hired on or before April 1, 2012. In addition to the discretionary employer contribution described above, the profit sharing plan includes a 401(k) plan that allows employees to contribute pre-tax earnings up to the maximum amount allowed under the IRC, with an employer match of up to 5% of the employee’s eligible compensation.</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an employee stock ownership plan (“ESOP”) covering the majority of our non-bargaining unit employees. Contributions are made at our discretion subject to a maximum amount allowed under the IRC. The ESOP contribution level for each employee depends upon date of hire, with those employees hired after April 1, 2012 eligible to receive a contribution that is 50% of the contribution made for employees hired on or before April 1, 2012. Our contribution to the ESOP for fiscal 2017, fiscal 2016 and fiscal 2015 was 5% of each employee’s eligible compensation for employees hired on or before April 1, 2012.</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2017, we established a nonqualified deferred compensation plan covering employees who are classified as “highly compensated employees” as determined by IRS guidelines for the plan year and who were hired on or before April 1, 2012. Employees who are eligible for the nonqualified deferred compensation plan for any plan year are not eligible for the profit sharing plan contribution or the ESOP contributions described above for that plan year. Our contribution to the nonqualified deferred compensation plan for fiscal 2017 was 10% of each employee’s eligible compensation, subject to the maximum amount allowed under the IRC.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described in Note 2, we acquired Stauber on December 23, 2015. Concurrent with the acquisition, Stauber’s existing company sponsored plans were terminated. Effective January 1, 2016, Stauber employees became eligible for the 401(k) component of the profit sharing plan described above, including the employer match component.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stock at a discount from market. The number of new shares issued under the ESPP was 38,986 in fiscal 2017, 33,550 in fiscal 2016 and 31,383 in fiscal 2015.</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2013, concurrent with our withdrawal from a multiemployer pension plan described below, we established a retirement plan and ESOP for our collective bargaining unit employees. Each of these plans is subject to a maximum amount allowed under the IRC. The retirement plan provides for a contribution of 5% of each employee’s eligible wages annually for employees who were eligible to enter the plan on March 1, 2013, and a contribution of 2.5% of each employee’s eligible wages annually for employees who entered the plan after March 1, 2013. Additionally, the retirement plan includes a 401(k) plan that will allow employees to contribute pre-tax earnings up to the maximum amount allowed under the IRC, with an employer match of up to 5% of the employee’s eligible compensation. The ESOP provides for contributions of 5% of each employee’s eligible wages annually for employees who were eligible to enter the plan on March 1, 2013, and a contribution of 2.5% of each employee’s eligible wages annually for employees who enter the plan after March 1, 2013.</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contribution expense for the company sponsored profit sharing, ESOP, ESPP and 401(k) plans for fiscal 2017, 2016 and 2015: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Non-bargaining unit employee plans: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Profit sharing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401(k) matching contributions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ESOP</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Nonqualified deferred compensation plan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Bargaining unit employee plans</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ESPP - all employees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8"/>
                <w:szCs w:val="18"/>
                <w:color w:val="auto"/>
              </w:rPr>
              <w:t>Total contribution expense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Multiemployer Pension Plan</w:t>
      </w:r>
      <w:r>
        <w:rPr>
          <w:rFonts w:ascii="Arial" w:cs="Arial" w:eastAsia="Arial" w:hAnsi="Arial"/>
          <w:sz w:val="18"/>
          <w:szCs w:val="18"/>
          <w:color w:val="auto"/>
        </w:rPr>
        <w:t>. In fiscal 2013, we concluded negotiations with two collective bargaining units to discontinue our participation in the Central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Southeast and Southwest Areas Pension Fund (“CSS” or “the plan”), a collectively bargained multiemployer pension plan. Payment of our share of the unfunded vested benefit liability is being made over 20 years and is subject to a cap. At the end of the 20-year period we will have no further liability, even if our share of the unfunded vested benefit liability has not yet been paid in full. The cash payments to be made total approximately $9.3 million, or $467,000 per year. Our payments began in fiscal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We have various operating leases for buildings and land on which some of our operations are located as well as trucks utilized for deliveries in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branches. Future minimum lease payments due under operating leases with an initial term of one year or more at April 2, 2017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lease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378"/>
        </w:trPr>
        <w:tc>
          <w:tcPr>
            <w:tcW w:w="5300" w:type="dxa"/>
            <w:vAlign w:val="bottom"/>
            <w:gridSpan w:val="5"/>
          </w:tcPr>
          <w:p>
            <w:pPr>
              <w:spacing w:after="0"/>
              <w:rPr>
                <w:sz w:val="20"/>
                <w:szCs w:val="20"/>
                <w:color w:val="auto"/>
              </w:rPr>
            </w:pPr>
            <w:r>
              <w:rPr>
                <w:rFonts w:ascii="Arial" w:cs="Arial" w:eastAsia="Arial" w:hAnsi="Arial"/>
                <w:sz w:val="18"/>
                <w:szCs w:val="18"/>
                <w:color w:val="auto"/>
                <w:w w:val="90"/>
              </w:rPr>
              <w:t>Total rental expense for fiscal years 2017, 2016 and 2015 was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1"/>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2,890</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Contingent rentals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expense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3,311</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2,911</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516"/>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As of April 2, 2017 there were no material pending legal proceedings, other than ordinary routine litigation incidental to the business,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any of our subsidiaries are a party or of which any of our property is the subject. Legal fees associated with such matters are expensed as incurred.</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We have three leases of land which contain terms that state that at the end of the lease term, we have a specified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to remove the property and buildings. These leases expire in 2023, 2028 and 2034. At that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April 2, 2017. We will continue to monitor the factors surrounding the requirement to record an asset retirement obligation and will recognize the fair value of a liability in the period in which it is incurred and a reasonable estimate can be made.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fiscal 2017, 2016 and 2015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 current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11,472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State — current</w:t>
            </w: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2,133</w:t>
            </w:r>
          </w:p>
        </w:tc>
      </w:tr>
      <w:tr>
        <w:trPr>
          <w:trHeight w:val="27"/>
        </w:trPr>
        <w:tc>
          <w:tcPr>
            <w:tcW w:w="5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14,018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11,707</w:t>
            </w:r>
          </w:p>
        </w:tc>
      </w:tr>
      <w:tr>
        <w:trPr>
          <w:trHeight w:val="466"/>
        </w:trPr>
        <w:tc>
          <w:tcPr>
            <w:tcW w:w="5960" w:type="dxa"/>
            <w:vAlign w:val="bottom"/>
          </w:tcPr>
          <w:p>
            <w:pPr>
              <w:ind w:left="40"/>
              <w:spacing w:after="0"/>
              <w:rPr>
                <w:sz w:val="20"/>
                <w:szCs w:val="20"/>
                <w:color w:val="auto"/>
              </w:rPr>
            </w:pPr>
            <w:r>
              <w:rPr>
                <w:rFonts w:ascii="Arial" w:cs="Arial" w:eastAsia="Arial" w:hAnsi="Arial"/>
                <w:sz w:val="18"/>
                <w:szCs w:val="18"/>
                <w:color w:val="auto"/>
              </w:rPr>
              <w:t>Federal — deferred</w:t>
            </w:r>
          </w:p>
        </w:tc>
        <w:tc>
          <w:tcPr>
            <w:tcW w:w="10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27"/>
        </w:trPr>
        <w:tc>
          <w:tcPr>
            <w:tcW w:w="5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 deferred</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5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provision</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13,493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11,240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Reconciliations of the provisions for income taxes, based on income from continuing operations, to the applicable federal statutory income tax rate of 35% are listed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gridSpan w:val="2"/>
          </w:tcPr>
          <w:p>
            <w:pPr>
              <w:ind w:left="6680"/>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6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2015</w:t>
            </w:r>
          </w:p>
        </w:tc>
      </w:tr>
      <w:tr>
        <w:trPr>
          <w:trHeight w:val="250"/>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income tax</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ESOP dividend deduction on allocated shares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Domestic production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acquisition costs</w:t>
            </w: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Assessment related to state tax audit</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 net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7"/>
        </w:trPr>
        <w:tc>
          <w:tcPr>
            <w:tcW w:w="6000" w:type="dxa"/>
            <w:vAlign w:val="bottom"/>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37.4 %</w:t>
            </w: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40.2 %</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36.9 %</w:t>
            </w:r>
          </w:p>
        </w:tc>
      </w:tr>
      <w:tr>
        <w:trPr>
          <w:trHeight w:val="27"/>
        </w:trPr>
        <w:tc>
          <w:tcPr>
            <w:tcW w:w="6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items comprising our net deferred tax liability as of April 2, 2017 and April 3,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Trade receivables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accruals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Pension withdrawal liability</w:t>
            </w:r>
          </w:p>
        </w:tc>
        <w:tc>
          <w:tcPr>
            <w:tcW w:w="4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67"/>
        </w:trPr>
        <w:tc>
          <w:tcPr>
            <w:tcW w:w="716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Excess of tax over book depreciation</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(14,439)</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(29,075)</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Unrealized gain on interest rate swap</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(47,160)</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deferred tax liabilities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60" w:type="dxa"/>
            <w:vAlign w:val="bottom"/>
            <w:vMerge w:val="continue"/>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(42,040)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(42,242)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April 2, 2017, the Company has determined that it is more likely than not that the deferred tax assets at April 2, 2017 will be realized either through future taxable income or reversals of taxable temporary differences.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fiscal 2016, we recorded a gross unrecognized tax benefit of $1.9 million in other long-term liabilities on our consolidated balance sheet as a result of uncertain income tax positions taken by Stauber on its tax returns for periods prior to our acquisition. We had no unrecognized tax benefits prior to the Stauber acquisition. The Stauber acquisition agreement provides the Company with indemnification from the prior owners for any tax liabilities relating to pre-acquisition tax returns. Accordingly, we also recorded an offsetting, long-term receivable for $1.9 million as of April 3, 2016, and as such any change in the unrecognized tax benefit will not impact our effective tax rate in future periods. During fiscal 2017, the unrecognized tax benefit and the offsetting receivable were reduced to $0.8 million due to the expiration of the statue of limitations for certain of the taxable periods. As of April 2, 2017 and April 3, 2016, the liability for uncertain tax positions and the corresponding receivable included $0.1 million and $0.3 million of interest and penalties, respectively. We expect these uncertain income tax amounts to decrease as the applicable examination periods by the relevant taxing authorities expire.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Our federal tax return filed for our fiscal year ended March 29, 2015 was examined by the Internal Revenue Service with no adjustments. For state and local income tax jurisdictions, the tax years prior to our fiscal year ended March 30, 2014 are closed to examination, with few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reportable segments: Industrial, Water Treatment and Health and Nutrition. Our Health and Nutrition segment was established as a result of our acquisition of Stauber near the end of the third quarter of fiscal 2016. The accounting policies of the segments are the same as those described in the summary of significant accounting policies. Product costs and expenses for each segment are based on actual costs incurred along with cost allocations of shared and centralized functions.</w:t>
      </w:r>
    </w:p>
    <w:p>
      <w:pPr>
        <w:spacing w:after="0" w:line="187"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and we began allocating a portion of these costs to the Health and Nutrition segment in fiscal 2017.</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Corporate costs allocated to Health and Nutrition were $1.9 million for fiscal 2017; these costs would have been allocated to Industrial (approximately $1.2 million) and Water Treatment (approximately $0.7 million) in past years. There are no intersegment sales and no operating segments have been aggregated. Given the nature of our business, it is not practical to disclose revenues from external customers for each product or each group of similar products. No single customer’s revenues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amounted to 10% or more of our total revenue. Sales are primarily within the United States and all assets are located within the United States.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Industrial</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7"/>
              </w:rPr>
              <w:t>Water</w:t>
            </w:r>
          </w:p>
        </w:tc>
        <w:tc>
          <w:tcPr>
            <w:tcW w:w="14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Health and Nutrition</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5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4"/>
              </w:rPr>
              <w:t>Treatment</w:t>
            </w:r>
          </w:p>
        </w:tc>
        <w:tc>
          <w:tcPr>
            <w:tcW w:w="1460" w:type="dxa"/>
            <w:vAlign w:val="bottom"/>
            <w:gridSpan w:val="3"/>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5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April 2, 2017:</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238,555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128,954</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116,084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483,593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98,073</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19,798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38,692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159,032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53,445</w:t>
            </w:r>
          </w:p>
        </w:tc>
        <w:tc>
          <w:tcPr>
            <w:tcW w:w="1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192,047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404,524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21,616</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Fiscal Year Ended April 3, 2016:</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413,976</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37,967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35,470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80,257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49,086</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16,209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31,171</w:t>
            </w:r>
          </w:p>
        </w:tc>
        <w:tc>
          <w:tcPr>
            <w:tcW w:w="0" w:type="dxa"/>
            <w:vAlign w:val="bottom"/>
          </w:tcPr>
          <w:p>
            <w:pPr>
              <w:spacing w:after="0"/>
              <w:rPr>
                <w:sz w:val="1"/>
                <w:szCs w:val="1"/>
                <w:color w:val="auto"/>
              </w:rPr>
            </w:pPr>
          </w:p>
        </w:tc>
      </w:tr>
      <w:tr>
        <w:trPr>
          <w:trHeight w:val="67"/>
        </w:trPr>
        <w:tc>
          <w:tcPr>
            <w:tcW w:w="55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Identifiable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403,967</w:t>
            </w:r>
          </w:p>
        </w:tc>
        <w:tc>
          <w:tcPr>
            <w:tcW w:w="0" w:type="dxa"/>
            <w:vAlign w:val="bottom"/>
          </w:tcPr>
          <w:p>
            <w:pPr>
              <w:spacing w:after="0"/>
              <w:rPr>
                <w:sz w:val="1"/>
                <w:szCs w:val="1"/>
                <w:color w:val="auto"/>
              </w:rPr>
            </w:pP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17,712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24,183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March 29, 2015:</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249,066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114,957</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364,023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65,791</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15,582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35,375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30,416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151,157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42,860</w:t>
            </w:r>
          </w:p>
        </w:tc>
        <w:tc>
          <w:tcPr>
            <w:tcW w:w="1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194,017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10,590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14,552</w:t>
            </w: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8"/>
        <w:spacing w:after="0" w:line="293" w:lineRule="auto"/>
        <w:tabs>
          <w:tab w:leader="none" w:pos="108" w:val="left"/>
        </w:tabs>
        <w:numPr>
          <w:ilvl w:val="0"/>
          <w:numId w:val="8"/>
        </w:numPr>
        <w:rPr>
          <w:rFonts w:ascii="Arial" w:cs="Arial" w:eastAsia="Arial" w:hAnsi="Arial"/>
          <w:sz w:val="14"/>
          <w:szCs w:val="14"/>
          <w:color w:val="auto"/>
        </w:rPr>
      </w:pPr>
      <w:r>
        <w:rPr>
          <w:rFonts w:ascii="Arial" w:cs="Arial" w:eastAsia="Arial" w:hAnsi="Arial"/>
          <w:sz w:val="18"/>
          <w:szCs w:val="18"/>
          <w:color w:val="auto"/>
        </w:rPr>
        <w:t>Unallocated assets, consisting primarily of cash and cash equivalents, investments and prepaid expenses, were $13.1 million at April 2, 2017, $32.8 million at April 3, 2016 and $53.7 million at March 29, 2015.</w:t>
      </w:r>
    </w:p>
    <w:p>
      <w:pPr>
        <w:spacing w:after="0" w:line="1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fiscal 2016, operating profit for the Health and Nutrition segment was negatively impacted by $3.3 million (pre-tax) of non-recurring SG&amp;A expenses directly related to the acquisition by Hawkins.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1"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Selected Quarterly Financial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Fiscal 2017</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54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118,618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28,216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27,032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21,913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13,090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12,161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gridSpan w:val="3"/>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2016 (1)</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54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129,513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20,735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19,811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25,002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10,303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10,844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9,508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8,935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The sum of quarterly per share data may not equal the full year due to rounding.</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in fiscal 2016 was negatively impacted by non-recurring SG&amp;A expenses directly related to the acquisition of Stauber by Hawkins of $2.7 million (pre-tax) in the third quarter and $0.6 million (pre-tax) in the fourth quarter.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April 2, 2017, based on the criteria described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Based on this assessment,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our internal control over financial reporting was effective as of April 2,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April 2, 2017 which is included in the Report of Independent Registered Public Accounting Firm in Item 8 of this Annual Report on 10-K.</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Patrick H. Hawkins</w:t>
            </w:r>
          </w:p>
        </w:tc>
        <w:tc>
          <w:tcPr>
            <w:tcW w:w="5120" w:type="dxa"/>
            <w:vAlign w:val="bottom"/>
          </w:tcPr>
          <w:p>
            <w:pPr>
              <w:ind w:left="20"/>
              <w:spacing w:after="0"/>
              <w:rPr>
                <w:sz w:val="20"/>
                <w:szCs w:val="20"/>
                <w:color w:val="auto"/>
              </w:rPr>
            </w:pPr>
            <w:r>
              <w:rPr>
                <w:rFonts w:ascii="Arial" w:cs="Arial" w:eastAsia="Arial" w:hAnsi="Arial"/>
                <w:sz w:val="18"/>
                <w:szCs w:val="18"/>
                <w:color w:val="auto"/>
              </w:rPr>
              <w:t>/s/ Kathleen P. Pepski</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Patrick H. Hawkins</w:t>
            </w:r>
          </w:p>
        </w:tc>
        <w:tc>
          <w:tcPr>
            <w:tcW w:w="5120" w:type="dxa"/>
            <w:vAlign w:val="bottom"/>
          </w:tcPr>
          <w:p>
            <w:pPr>
              <w:ind w:left="20"/>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256"/>
        </w:trPr>
        <w:tc>
          <w:tcPr>
            <w:tcW w:w="6280" w:type="dxa"/>
            <w:vAlign w:val="bottom"/>
            <w:gridSpan w:val="2"/>
            <w:vMerge w:val="restart"/>
          </w:tcPr>
          <w:p>
            <w:pPr>
              <w:ind w:left="40"/>
              <w:spacing w:after="0"/>
              <w:rPr>
                <w:sz w:val="20"/>
                <w:szCs w:val="20"/>
                <w:color w:val="auto"/>
              </w:rPr>
            </w:pPr>
            <w:r>
              <w:rPr>
                <w:rFonts w:ascii="Arial" w:cs="Arial" w:eastAsia="Arial" w:hAnsi="Arial"/>
                <w:sz w:val="18"/>
                <w:szCs w:val="18"/>
                <w:color w:val="auto"/>
              </w:rPr>
              <w:t>Chief Executive Officer and President</w:t>
            </w:r>
          </w:p>
        </w:tc>
        <w:tc>
          <w:tcPr>
            <w:tcW w:w="5120" w:type="dxa"/>
            <w:vAlign w:val="bottom"/>
          </w:tcPr>
          <w:p>
            <w:pPr>
              <w:ind w:left="20"/>
              <w:spacing w:after="0"/>
              <w:rPr>
                <w:sz w:val="20"/>
                <w:szCs w:val="20"/>
                <w:color w:val="auto"/>
              </w:rPr>
            </w:pPr>
            <w:r>
              <w:rPr>
                <w:rFonts w:ascii="Arial" w:cs="Arial" w:eastAsia="Arial" w:hAnsi="Arial"/>
                <w:sz w:val="18"/>
                <w:szCs w:val="18"/>
                <w:color w:val="auto"/>
              </w:rPr>
              <w:t>Vice President, Chief Financial Officer,</w:t>
            </w:r>
          </w:p>
        </w:tc>
        <w:tc>
          <w:tcPr>
            <w:tcW w:w="0" w:type="dxa"/>
            <w:vAlign w:val="bottom"/>
          </w:tcPr>
          <w:p>
            <w:pPr>
              <w:spacing w:after="0"/>
              <w:rPr>
                <w:sz w:val="1"/>
                <w:szCs w:val="1"/>
                <w:color w:val="auto"/>
              </w:rPr>
            </w:pPr>
          </w:p>
        </w:tc>
      </w:tr>
      <w:tr>
        <w:trPr>
          <w:trHeight w:val="122"/>
        </w:trPr>
        <w:tc>
          <w:tcPr>
            <w:tcW w:w="6280" w:type="dxa"/>
            <w:vAlign w:val="bottom"/>
            <w:gridSpan w:val="2"/>
            <w:vMerge w:val="continue"/>
          </w:tcPr>
          <w:p>
            <w:pPr>
              <w:spacing w:after="0"/>
              <w:rPr>
                <w:sz w:val="10"/>
                <w:szCs w:val="10"/>
                <w:color w:val="auto"/>
              </w:rPr>
            </w:pPr>
          </w:p>
        </w:tc>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and Treasurer</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June 1, 2017</w:t>
            </w:r>
          </w:p>
        </w:tc>
        <w:tc>
          <w:tcPr>
            <w:tcW w:w="5120" w:type="dxa"/>
            <w:vAlign w:val="bottom"/>
          </w:tcPr>
          <w:p>
            <w:pPr>
              <w:ind w:left="20"/>
              <w:spacing w:after="0"/>
              <w:rPr>
                <w:sz w:val="20"/>
                <w:szCs w:val="20"/>
                <w:color w:val="auto"/>
              </w:rPr>
            </w:pPr>
            <w:r>
              <w:rPr>
                <w:rFonts w:ascii="Arial" w:cs="Arial" w:eastAsia="Arial" w:hAnsi="Arial"/>
                <w:sz w:val="18"/>
                <w:szCs w:val="18"/>
                <w:color w:val="auto"/>
              </w:rPr>
              <w:t>June 1, 2017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10-K under the caption “Report of Independent Registered Public Accounting Firm.”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2017 that has materially affected, or is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0"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August 9, 2017 (the “2017 Proxy Statement”). Except for those portions specifically incorporated in this Form 10-K by reference to the 2017 Proxy Statement, no other portions of the 2017 Proxy Statement are deemed to be filed as part of this Form 10-K.</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their ages and offices held, as of June 1, 2017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Name</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Age</w:t>
            </w:r>
          </w:p>
        </w:tc>
        <w:tc>
          <w:tcPr>
            <w:tcW w:w="6460" w:type="dxa"/>
            <w:vAlign w:val="bottom"/>
            <w:gridSpan w:val="3"/>
            <w:shd w:val="clear" w:color="auto" w:fill="CCEEFF"/>
          </w:tcPr>
          <w:p>
            <w:pPr>
              <w:ind w:left="560"/>
              <w:spacing w:after="0"/>
              <w:rPr>
                <w:sz w:val="20"/>
                <w:szCs w:val="20"/>
                <w:color w:val="auto"/>
              </w:rPr>
            </w:pPr>
            <w:r>
              <w:rPr>
                <w:rFonts w:ascii="Arial" w:cs="Arial" w:eastAsia="Arial" w:hAnsi="Arial"/>
                <w:sz w:val="16"/>
                <w:szCs w:val="16"/>
                <w:b w:val="1"/>
                <w:bCs w:val="1"/>
                <w:color w:val="auto"/>
              </w:rPr>
              <w:t>Office</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5480" w:type="dxa"/>
            <w:vAlign w:val="bottom"/>
            <w:tcBorders>
              <w:top w:val="single" w:sz="8" w:color="CCEEFF"/>
            </w:tcBorders>
            <w:shd w:val="clear" w:color="auto" w:fill="CCEEFF"/>
          </w:tcPr>
          <w:p>
            <w:pPr>
              <w:spacing w:after="0"/>
              <w:rPr>
                <w:sz w:val="4"/>
                <w:szCs w:val="4"/>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Patrick H. Hawkins</w:t>
            </w:r>
          </w:p>
        </w:tc>
        <w:tc>
          <w:tcPr>
            <w:tcW w:w="260" w:type="dxa"/>
            <w:vAlign w:val="bottom"/>
          </w:tcPr>
          <w:p>
            <w:pPr>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Chief Executive Officer and President</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Kathleen P. Pepski</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62</w:t>
            </w:r>
          </w:p>
        </w:tc>
        <w:tc>
          <w:tcPr>
            <w:tcW w:w="5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Vice President, Chief Financial Officer, and Treasurer</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Richard G. Erstad</w:t>
            </w:r>
          </w:p>
        </w:tc>
        <w:tc>
          <w:tcPr>
            <w:tcW w:w="260" w:type="dxa"/>
            <w:vAlign w:val="bottom"/>
          </w:tcPr>
          <w:p>
            <w:pPr>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Vice President, General Counsel and Secretary</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Olivier A. Guiot</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40</w:t>
            </w:r>
          </w:p>
        </w:tc>
        <w:tc>
          <w:tcPr>
            <w:tcW w:w="5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President — Stauber Performance Ingredients</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Thomas J. Keller</w:t>
            </w:r>
          </w:p>
        </w:tc>
        <w:tc>
          <w:tcPr>
            <w:tcW w:w="260" w:type="dxa"/>
            <w:vAlign w:val="bottom"/>
          </w:tcPr>
          <w:p>
            <w:pPr>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Vice President — Water Treatment Group</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Steven D. Matthews II</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46</w:t>
            </w:r>
          </w:p>
        </w:tc>
        <w:tc>
          <w:tcPr>
            <w:tcW w:w="5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Vice President — Operations</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Theresa R. Moran</w:t>
            </w:r>
          </w:p>
        </w:tc>
        <w:tc>
          <w:tcPr>
            <w:tcW w:w="260" w:type="dxa"/>
            <w:vAlign w:val="bottom"/>
          </w:tcPr>
          <w:p>
            <w:pPr>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Vice President — Quality and Support</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Jeffrey P. Oldenkamp</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44</w:t>
            </w:r>
          </w:p>
        </w:tc>
        <w:tc>
          <w:tcPr>
            <w:tcW w:w="5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Vice President</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John R. Sevenich</w:t>
            </w:r>
          </w:p>
        </w:tc>
        <w:tc>
          <w:tcPr>
            <w:tcW w:w="260" w:type="dxa"/>
            <w:vAlign w:val="bottom"/>
          </w:tcPr>
          <w:p>
            <w:pPr>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Vice President — Industrial Group</w:t>
            </w: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Patrick H. Hawkins </w:t>
      </w:r>
      <w:r>
        <w:rPr>
          <w:rFonts w:ascii="Arial" w:cs="Arial" w:eastAsia="Arial" w:hAnsi="Arial"/>
          <w:sz w:val="16"/>
          <w:szCs w:val="16"/>
          <w:color w:val="auto"/>
        </w:rPr>
        <w:t>has been our Chief Executive Officer and President and member of our board since March 2011. He has held the position of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March 2010.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Kathleen P. Pepski </w:t>
      </w:r>
      <w:r>
        <w:rPr>
          <w:rFonts w:ascii="Arial" w:cs="Arial" w:eastAsia="Arial" w:hAnsi="Arial"/>
          <w:sz w:val="18"/>
          <w:szCs w:val="18"/>
          <w:color w:val="auto"/>
        </w:rPr>
        <w:t>has been our Vice President, Chief Financial Officer and Treasurer since February 2008 and was Secretary from February 2008 to</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2008. She was the Executive Vice President and Chief Financial Officer of PNA Holdings, LLC and Katun Corporation, a supplier of business equipment parts, from 2003 to 2007, the Vice President of Finance of Hoffman Enclosures, a manufacturer of systems enclosures and a subsidiary of Pentair, Inc., from 2002 to 2003, Senior Vice President and Chief Financial Officer of BMC Industries, Inc., a manufacturer of lenses and aperture masks, from 2000 to 2001, and Vice President and Controller at Valspar Corporation, a paint and coatings manufacturer, from 1994 to 2000. Ms. Pepski will be retiring in June of 2017.</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Richard G. Erstad </w:t>
      </w:r>
      <w:r>
        <w:rPr>
          <w:rFonts w:ascii="Arial" w:cs="Arial" w:eastAsia="Arial" w:hAnsi="Arial"/>
          <w:sz w:val="17"/>
          <w:szCs w:val="17"/>
          <w:color w:val="auto"/>
        </w:rPr>
        <w:t>has been our Vice President, General Counsel and Secretary since November 2008. He was General Counsel and Secretary of BUCA, Inc.,</w:t>
      </w:r>
      <w:r>
        <w:rPr>
          <w:rFonts w:ascii="Arial" w:cs="Arial" w:eastAsia="Arial" w:hAnsi="Arial"/>
          <w:sz w:val="17"/>
          <w:szCs w:val="17"/>
          <w:i w:val="1"/>
          <w:iCs w:val="1"/>
          <w:color w:val="auto"/>
        </w:rPr>
        <w:t xml:space="preserve"> </w:t>
      </w:r>
      <w:r>
        <w:rPr>
          <w:rFonts w:ascii="Arial" w:cs="Arial" w:eastAsia="Arial" w:hAnsi="Arial"/>
          <w:sz w:val="17"/>
          <w:szCs w:val="17"/>
          <w:color w:val="auto"/>
        </w:rPr>
        <w:t>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Olivier A. Guiot </w:t>
      </w:r>
      <w:r>
        <w:rPr>
          <w:rFonts w:ascii="Arial" w:cs="Arial" w:eastAsia="Arial" w:hAnsi="Arial"/>
          <w:sz w:val="17"/>
          <w:szCs w:val="17"/>
          <w:color w:val="auto"/>
        </w:rPr>
        <w:t>has served as President of Stauber Performance Ingredients since our acquisition of Stauber in December 2015. Prior to that, Mr. Guiot held</w:t>
      </w:r>
      <w:r>
        <w:rPr>
          <w:rFonts w:ascii="Arial" w:cs="Arial" w:eastAsia="Arial" w:hAnsi="Arial"/>
          <w:sz w:val="17"/>
          <w:szCs w:val="17"/>
          <w:i w:val="1"/>
          <w:iCs w:val="1"/>
          <w:color w:val="auto"/>
        </w:rPr>
        <w:t xml:space="preserve"> </w:t>
      </w:r>
      <w:r>
        <w:rPr>
          <w:rFonts w:ascii="Arial" w:cs="Arial" w:eastAsia="Arial" w:hAnsi="Arial"/>
          <w:sz w:val="17"/>
          <w:szCs w:val="17"/>
          <w:color w:val="auto"/>
        </w:rPr>
        <w:t>the position of Executive Vice President of Sales and Marketing for Stauber since 2013 and President of Pharmline, Inc., which was acquired by Stauber, from 2010 to 2013. Mr. Guiot originally joined Pharmline in 2004 and served in various positions before his promotion to President.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Thomas J. Keller </w:t>
      </w:r>
      <w:r>
        <w:rPr>
          <w:rFonts w:ascii="Arial" w:cs="Arial" w:eastAsia="Arial" w:hAnsi="Arial"/>
          <w:sz w:val="18"/>
          <w:szCs w:val="18"/>
          <w:color w:val="auto"/>
        </w:rPr>
        <w:t>has been our Vice President - Water Treatment Group since April 2012. Prior to attaining this position, Mr. Keller held various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joining the Company in 1980, most recently as its Water Treatment General Manager, a position he held since June 2011. Previously, Mr. Keller served as a Regional Manager of the Water Treatment Group from 2002 to 2011.</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Steven D. Matthews II </w:t>
      </w:r>
      <w:r>
        <w:rPr>
          <w:rFonts w:ascii="Arial" w:cs="Arial" w:eastAsia="Arial" w:hAnsi="Arial"/>
          <w:sz w:val="18"/>
          <w:szCs w:val="18"/>
          <w:color w:val="auto"/>
        </w:rPr>
        <w:t>has been our Vice President - Operations since December 2013. He was a Regional General Manager in the Paperboard Converting</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Newark Recycled Paperboard Solutions, a producer of recycled paperboard, from 2012 to 2013. Previously, he spent a total of fifteen years during two different periods at General Electric in a variety of engineering, Six Sigma, supply chain and plant leadership positions in the Plastics, Aircraft Engines, Lighting and Water divisions. From 2005-2008, he was a Corporate Supply Chain Engagement Leader with Ingersoll Rand, a global diversified industrial company.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51" w:name="page52"/>
    <w:bookmarkEnd w:id="51"/>
    <w:p>
      <w:pPr>
        <w:jc w:val="both"/>
        <w:spacing w:after="0" w:line="264" w:lineRule="auto"/>
        <w:rPr>
          <w:sz w:val="20"/>
          <w:szCs w:val="20"/>
          <w:color w:val="auto"/>
        </w:rPr>
      </w:pPr>
      <w:r>
        <w:rPr>
          <w:rFonts w:ascii="Arial" w:cs="Arial" w:eastAsia="Arial" w:hAnsi="Arial"/>
          <w:sz w:val="18"/>
          <w:szCs w:val="18"/>
          <w:i w:val="1"/>
          <w:iCs w:val="1"/>
          <w:color w:val="auto"/>
        </w:rPr>
        <w:t xml:space="preserve">Theresa R. Moran </w:t>
      </w:r>
      <w:r>
        <w:rPr>
          <w:rFonts w:ascii="Arial" w:cs="Arial" w:eastAsia="Arial" w:hAnsi="Arial"/>
          <w:sz w:val="18"/>
          <w:szCs w:val="18"/>
          <w:color w:val="auto"/>
        </w:rPr>
        <w:t>has been our Vice President - Quality and Support since February 2010. Since joining the Company in 1981, Ms. Moran has served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a variety of positions, including Administration Operations Manager from 1999 to 2007 and most recently as Director - Process Improvement, a position she held from 2007 until the time of her promotion.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Jeffrey P. Oldenkamp </w:t>
      </w:r>
      <w:r>
        <w:rPr>
          <w:rFonts w:ascii="Arial" w:cs="Arial" w:eastAsia="Arial" w:hAnsi="Arial"/>
          <w:sz w:val="18"/>
          <w:szCs w:val="18"/>
          <w:color w:val="auto"/>
        </w:rPr>
        <w:t>joined Hawkins in May 2017, and will assume the role of Chief Financial Officer, Vice President and Treasurer in June 2017.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Hawkins, Mr. Oldenkamp was with MTS Systems Corporation, a supplier of high-performance test systems and sensors, where he served as Chief Financial Officer since January 2015 and Vice President of Finance for the MTS Test business from January 2014 to January 2015, and with Nilfisk-Advance, Inc., a global manufacturer of professional cleaning equipment, where he served as Americas Operations Chief Financial Officer and Vice President from January 2012 to January 2014.</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our Vice President - Industrial Group since May 2000. He was the Business Unit Manager of Manufacturing from 1998 to 2000</w:t>
      </w:r>
      <w:r>
        <w:rPr>
          <w:rFonts w:ascii="Arial" w:cs="Arial" w:eastAsia="Arial" w:hAnsi="Arial"/>
          <w:sz w:val="18"/>
          <w:szCs w:val="18"/>
          <w:i w:val="1"/>
          <w:iCs w:val="1"/>
          <w:color w:val="auto"/>
        </w:rPr>
        <w:t xml:space="preserve"> </w:t>
      </w:r>
      <w:r>
        <w:rPr>
          <w:rFonts w:ascii="Arial" w:cs="Arial" w:eastAsia="Arial" w:hAnsi="Arial"/>
          <w:sz w:val="18"/>
          <w:szCs w:val="18"/>
          <w:color w:val="auto"/>
        </w:rPr>
        <w:t>and was a Sales Representative with the Company from 1989 to 1998.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“Election of Directors,” “Corporate Governance,” and “Section 16(a) Beneficial Ownership Reporting Compliance” of the 2016 Proxy Statement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Steven D. Matthews II filed a bankruptcy petition related to the dissolution of a small family business of which Mr. Matthews was an owner and guarantor.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bankruptcy was discharged in 2009.</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Executive Officers and Directors” of the 2017 Proxy Statement is incorporated herein by this reference.</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“Security Ownership of Management and Beneficial Ownership” and “Equity Compensation Plan Information” of the 2017 Proxy Statement are incorporated herein by this reference.</w:t>
      </w:r>
    </w:p>
    <w:p>
      <w:pPr>
        <w:spacing w:after="0" w:line="247" w:lineRule="exact"/>
        <w:rPr>
          <w:sz w:val="20"/>
          <w:szCs w:val="20"/>
          <w:color w:val="auto"/>
        </w:rPr>
      </w:pPr>
    </w:p>
    <w:p>
      <w:pPr>
        <w:ind w:right="2200"/>
        <w:spacing w:after="0" w:line="412" w:lineRule="auto"/>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of Directors” and “Related Party Transactions” of the 2017 Proxy Statement are incorporated herein by this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Firm’s Fees” of the 2017 Proxy Statement is incorporated herein by this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52" w:name="page53"/>
    <w:bookmarkEnd w:id="52"/>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Balance Sheets at April 2, 2017 and April 3, 2016.</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Income for the fiscal years ended April 2, 2107, April 3, 2016 and March 29, 2015.</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Consolidated Statements of Comprehensive Income for the fiscal years ended April 2, 2017, April 3, 2016 and March 29, 2015.</w:t>
      </w:r>
    </w:p>
    <w:p>
      <w:pPr>
        <w:spacing w:after="0" w:line="19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Shareholders’ Equity for the fiscal years ended April 2, 2017, April 3, 2016 and March 29, 2015.</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Cash Flows for the fiscal years ended April 2, 2017, April 3, 2016 and March 29, 2015.</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Notes to Consolidated Financial Statements.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185" w:lineRule="exact"/>
        <w:rPr>
          <w:sz w:val="20"/>
          <w:szCs w:val="20"/>
          <w:color w:val="auto"/>
        </w:rPr>
      </w:pPr>
    </w:p>
    <w:p>
      <w:pPr>
        <w:ind w:left="1420"/>
        <w:spacing w:after="0" w:line="286" w:lineRule="auto"/>
        <w:rPr>
          <w:sz w:val="20"/>
          <w:szCs w:val="20"/>
          <w:color w:val="auto"/>
        </w:rPr>
      </w:pPr>
      <w:r>
        <w:rPr>
          <w:rFonts w:ascii="Arial" w:cs="Arial" w:eastAsia="Arial" w:hAnsi="Arial"/>
          <w:sz w:val="17"/>
          <w:szCs w:val="17"/>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financial statement schedule for the fiscal years 2017, 2016 and 2015.</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II — Valuation and Qualifying Accounts.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exhibits of this Annual Report on Form 10-K included herein are set forth on the attached Exhibit Index.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364" w:right="3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HAWKINS, INC.</w:t>
      </w:r>
    </w:p>
    <w:p>
      <w:pPr>
        <w:spacing w:after="0" w:line="387" w:lineRule="exact"/>
        <w:rPr>
          <w:sz w:val="20"/>
          <w:szCs w:val="20"/>
          <w:color w:val="auto"/>
        </w:rPr>
      </w:pPr>
    </w:p>
    <w:p>
      <w:pPr>
        <w:ind w:left="40"/>
        <w:spacing w:after="0"/>
        <w:tabs>
          <w:tab w:leader="none" w:pos="780" w:val="left"/>
          <w:tab w:leader="none" w:pos="60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512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the date set forth beside their signature.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 Patrick H. Hawkins</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1, 2017</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22"/>
        </w:trPr>
        <w:tc>
          <w:tcPr>
            <w:tcW w:w="4660" w:type="dxa"/>
            <w:vAlign w:val="bottom"/>
          </w:tcPr>
          <w:p>
            <w:pPr>
              <w:ind w:left="20"/>
              <w:spacing w:after="0"/>
              <w:rPr>
                <w:sz w:val="20"/>
                <w:szCs w:val="20"/>
                <w:color w:val="auto"/>
              </w:rPr>
            </w:pPr>
            <w:r>
              <w:rPr>
                <w:rFonts w:ascii="Arial" w:cs="Arial" w:eastAsia="Arial" w:hAnsi="Arial"/>
                <w:sz w:val="18"/>
                <w:szCs w:val="18"/>
                <w:color w:val="auto"/>
              </w:rPr>
              <w:t>Patrick H. Hawkins, Chief Executive Officer and</w:t>
            </w:r>
          </w:p>
        </w:tc>
        <w:tc>
          <w:tcPr>
            <w:tcW w:w="582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President (Principal Executive Officer) and Director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Kathleen P. Pepski</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1, 2017</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22"/>
        </w:trPr>
        <w:tc>
          <w:tcPr>
            <w:tcW w:w="4660" w:type="dxa"/>
            <w:vAlign w:val="bottom"/>
          </w:tcPr>
          <w:p>
            <w:pPr>
              <w:ind w:left="20"/>
              <w:spacing w:after="0"/>
              <w:rPr>
                <w:sz w:val="20"/>
                <w:szCs w:val="20"/>
                <w:color w:val="auto"/>
              </w:rPr>
            </w:pPr>
            <w:r>
              <w:rPr>
                <w:rFonts w:ascii="Arial" w:cs="Arial" w:eastAsia="Arial" w:hAnsi="Arial"/>
                <w:sz w:val="18"/>
                <w:szCs w:val="18"/>
                <w:color w:val="auto"/>
              </w:rPr>
              <w:t>Kathleen P. Pepski, Vice President, Chief Financial</w:t>
            </w:r>
          </w:p>
        </w:tc>
        <w:tc>
          <w:tcPr>
            <w:tcW w:w="5820" w:type="dxa"/>
            <w:vAlign w:val="bottom"/>
          </w:tcPr>
          <w:p>
            <w:pPr>
              <w:spacing w:after="0"/>
              <w:rPr>
                <w:sz w:val="19"/>
                <w:szCs w:val="19"/>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Officer, and Treasurer (Principal Financial Officer</w:t>
            </w:r>
          </w:p>
        </w:tc>
        <w:tc>
          <w:tcPr>
            <w:tcW w:w="5820" w:type="dxa"/>
            <w:vAlign w:val="bottom"/>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John S. McKeon</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1, 2017</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John S. McKeon, Director, Chairman of the Board</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Daniel J. Stauber</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1, 2017</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Daniel J. Stauber, Director</w:t>
            </w:r>
          </w:p>
        </w:tc>
        <w:tc>
          <w:tcPr>
            <w:tcW w:w="5820" w:type="dxa"/>
            <w:vAlign w:val="bottom"/>
          </w:tcPr>
          <w:p>
            <w:pPr>
              <w:spacing w:after="0"/>
              <w:rPr>
                <w:sz w:val="20"/>
                <w:szCs w:val="20"/>
                <w:color w:val="auto"/>
              </w:rPr>
            </w:pPr>
          </w:p>
        </w:tc>
      </w:tr>
      <w:tr>
        <w:trPr>
          <w:trHeight w:val="567"/>
        </w:trPr>
        <w:tc>
          <w:tcPr>
            <w:tcW w:w="4660" w:type="dxa"/>
            <w:vAlign w:val="bottom"/>
          </w:tcPr>
          <w:p>
            <w:pPr>
              <w:ind w:left="20"/>
              <w:spacing w:after="0"/>
              <w:rPr>
                <w:sz w:val="20"/>
                <w:szCs w:val="20"/>
                <w:color w:val="auto"/>
              </w:rPr>
            </w:pPr>
            <w:r>
              <w:rPr>
                <w:rFonts w:ascii="Arial" w:cs="Arial" w:eastAsia="Arial" w:hAnsi="Arial"/>
                <w:sz w:val="18"/>
                <w:szCs w:val="18"/>
                <w:color w:val="auto"/>
              </w:rPr>
              <w:t>/s/ Duane M. Jergenson</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1, 2017</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Duane M. Jergenson, Director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Daryl I. Skaar</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1, 2017</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Daryl I. Skaar, Director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James A. Faulconbridge</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1, 2017</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James A. Faulconbridge, Director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James T. Thompson</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1, 2017</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James T. Thompson, Director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Jeffrey L. Wright</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1, 2017</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Jeffrey L. Wright, Director</w:t>
            </w:r>
          </w:p>
        </w:tc>
        <w:tc>
          <w:tcPr>
            <w:tcW w:w="5820" w:type="dxa"/>
            <w:vAlign w:val="bottom"/>
          </w:tcPr>
          <w:p>
            <w:pPr>
              <w:spacing w:after="0"/>
              <w:rPr>
                <w:sz w:val="20"/>
                <w:szCs w:val="20"/>
                <w:color w:val="auto"/>
              </w:rPr>
            </w:pPr>
          </w:p>
        </w:tc>
      </w:tr>
      <w:tr>
        <w:trPr>
          <w:trHeight w:val="567"/>
        </w:trPr>
        <w:tc>
          <w:tcPr>
            <w:tcW w:w="4660" w:type="dxa"/>
            <w:vAlign w:val="bottom"/>
          </w:tcPr>
          <w:p>
            <w:pPr>
              <w:ind w:left="20"/>
              <w:spacing w:after="0"/>
              <w:rPr>
                <w:sz w:val="20"/>
                <w:szCs w:val="20"/>
                <w:color w:val="auto"/>
              </w:rPr>
            </w:pPr>
            <w:r>
              <w:rPr>
                <w:rFonts w:ascii="Arial" w:cs="Arial" w:eastAsia="Arial" w:hAnsi="Arial"/>
                <w:sz w:val="18"/>
                <w:szCs w:val="18"/>
                <w:color w:val="auto"/>
              </w:rPr>
              <w:t>/s/ Mary J. Schumacher</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1, 2017</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Mary J. Schumacher, Director</w:t>
            </w:r>
          </w:p>
        </w:tc>
        <w:tc>
          <w:tcPr>
            <w:tcW w:w="5820" w:type="dxa"/>
            <w:vAlign w:val="bottom"/>
          </w:tcPr>
          <w:p>
            <w:pPr>
              <w:spacing w:after="0"/>
              <w:rPr>
                <w:sz w:val="20"/>
                <w:szCs w:val="20"/>
                <w:color w:val="auto"/>
              </w:rPr>
            </w:pPr>
          </w:p>
        </w:tc>
      </w:tr>
    </w:tbl>
    <w:p>
      <w:pPr>
        <w:sectPr>
          <w:pgSz w:w="11900" w:h="16838" w:orient="portrait"/>
          <w:cols w:equalWidth="0" w:num="1">
            <w:col w:w="11380"/>
          </w:cols>
          <w:pgMar w:left="240" w:top="364" w:right="27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YEARS ENDED APRIL 2, 2017, APRIL 3, 2016 AND MARCH 29, 2015</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299"/>
              <w:spacing w:after="0" w:line="153" w:lineRule="exact"/>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3"/>
                <w:szCs w:val="13"/>
                <w:color w:val="auto"/>
              </w:rPr>
            </w:pPr>
          </w:p>
        </w:tc>
        <w:tc>
          <w:tcPr>
            <w:tcW w:w="118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Charged to</w:t>
            </w:r>
          </w:p>
        </w:tc>
        <w:tc>
          <w:tcPr>
            <w:tcW w:w="380" w:type="dxa"/>
            <w:vAlign w:val="bottom"/>
          </w:tcPr>
          <w:p>
            <w:pPr>
              <w:spacing w:after="0"/>
              <w:rPr>
                <w:sz w:val="13"/>
                <w:szCs w:val="13"/>
                <w:color w:val="auto"/>
              </w:rPr>
            </w:pPr>
          </w:p>
        </w:tc>
        <w:tc>
          <w:tcPr>
            <w:tcW w:w="1160" w:type="dxa"/>
            <w:vAlign w:val="bottom"/>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3"/>
                <w:szCs w:val="13"/>
                <w:color w:val="auto"/>
              </w:rPr>
            </w:pPr>
          </w:p>
        </w:tc>
        <w:tc>
          <w:tcPr>
            <w:tcW w:w="12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Deductions</w:t>
            </w:r>
          </w:p>
        </w:tc>
        <w:tc>
          <w:tcPr>
            <w:tcW w:w="34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2"/>
                <w:szCs w:val="12"/>
                <w:color w:val="auto"/>
              </w:rPr>
            </w:pPr>
          </w:p>
        </w:tc>
        <w:tc>
          <w:tcPr>
            <w:tcW w:w="134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Costs and</w:t>
            </w:r>
          </w:p>
        </w:tc>
        <w:tc>
          <w:tcPr>
            <w:tcW w:w="380" w:type="dxa"/>
            <w:vAlign w:val="bottom"/>
          </w:tcPr>
          <w:p>
            <w:pPr>
              <w:spacing w:after="0"/>
              <w:rPr>
                <w:sz w:val="12"/>
                <w:szCs w:val="12"/>
                <w:color w:val="auto"/>
              </w:rPr>
            </w:pPr>
          </w:p>
        </w:tc>
        <w:tc>
          <w:tcPr>
            <w:tcW w:w="11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299"/>
              <w:spacing w:after="0" w:line="158" w:lineRule="exact"/>
              <w:rPr>
                <w:sz w:val="20"/>
                <w:szCs w:val="20"/>
                <w:color w:val="auto"/>
              </w:rPr>
            </w:pPr>
            <w:r>
              <w:rPr>
                <w:rFonts w:ascii="Arial" w:cs="Arial" w:eastAsia="Arial" w:hAnsi="Arial"/>
                <w:sz w:val="14"/>
                <w:szCs w:val="14"/>
                <w:b w:val="1"/>
                <w:bCs w:val="1"/>
                <w:color w:val="auto"/>
                <w:w w:val="92"/>
              </w:rPr>
              <w:t>of Year</w:t>
            </w:r>
          </w:p>
        </w:tc>
        <w:tc>
          <w:tcPr>
            <w:tcW w:w="240" w:type="dxa"/>
            <w:vAlign w:val="bottom"/>
          </w:tcPr>
          <w:p>
            <w:pPr>
              <w:spacing w:after="0"/>
              <w:rPr>
                <w:sz w:val="13"/>
                <w:szCs w:val="13"/>
                <w:color w:val="auto"/>
              </w:rPr>
            </w:pPr>
          </w:p>
        </w:tc>
        <w:tc>
          <w:tcPr>
            <w:tcW w:w="1180" w:type="dxa"/>
            <w:vAlign w:val="bottom"/>
          </w:tcPr>
          <w:p>
            <w:pPr>
              <w:jc w:val="center"/>
              <w:ind w:right="200"/>
              <w:spacing w:after="0" w:line="158" w:lineRule="exact"/>
              <w:rPr>
                <w:sz w:val="20"/>
                <w:szCs w:val="20"/>
                <w:color w:val="auto"/>
              </w:rPr>
            </w:pPr>
            <w:r>
              <w:rPr>
                <w:rFonts w:ascii="Arial" w:cs="Arial" w:eastAsia="Arial" w:hAnsi="Arial"/>
                <w:sz w:val="14"/>
                <w:szCs w:val="14"/>
                <w:b w:val="1"/>
                <w:bCs w:val="1"/>
                <w:color w:val="auto"/>
                <w:w w:val="88"/>
              </w:rPr>
              <w:t>Expenses</w:t>
            </w:r>
          </w:p>
        </w:tc>
        <w:tc>
          <w:tcPr>
            <w:tcW w:w="380" w:type="dxa"/>
            <w:vAlign w:val="bottom"/>
          </w:tcPr>
          <w:p>
            <w:pPr>
              <w:spacing w:after="0"/>
              <w:rPr>
                <w:sz w:val="13"/>
                <w:szCs w:val="13"/>
                <w:color w:val="auto"/>
              </w:rPr>
            </w:pPr>
          </w:p>
        </w:tc>
        <w:tc>
          <w:tcPr>
            <w:tcW w:w="1160" w:type="dxa"/>
            <w:vAlign w:val="bottom"/>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Accounts</w:t>
            </w:r>
          </w:p>
        </w:tc>
        <w:tc>
          <w:tcPr>
            <w:tcW w:w="360" w:type="dxa"/>
            <w:vAlign w:val="bottom"/>
          </w:tcPr>
          <w:p>
            <w:pPr>
              <w:spacing w:after="0"/>
              <w:rPr>
                <w:sz w:val="13"/>
                <w:szCs w:val="13"/>
                <w:color w:val="auto"/>
              </w:rPr>
            </w:pPr>
          </w:p>
        </w:tc>
        <w:tc>
          <w:tcPr>
            <w:tcW w:w="122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Write-Offs</w:t>
            </w:r>
          </w:p>
        </w:tc>
        <w:tc>
          <w:tcPr>
            <w:tcW w:w="340" w:type="dxa"/>
            <w:vAlign w:val="bottom"/>
          </w:tcPr>
          <w:p>
            <w:pPr>
              <w:spacing w:after="0"/>
              <w:rPr>
                <w:sz w:val="13"/>
                <w:szCs w:val="13"/>
                <w:color w:val="auto"/>
              </w:rPr>
            </w:pPr>
          </w:p>
        </w:tc>
        <w:tc>
          <w:tcPr>
            <w:tcW w:w="124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Reserve deducted from asset to which it applies: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April 2, 2017:</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602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April 3, 2016:</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445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272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March 29, 2015:</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3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364" w:right="259" w:bottom="1440" w:gutter="0" w:footer="0" w:header="0"/>
        </w:sectPr>
      </w:pPr>
    </w:p>
    <w:bookmarkStart w:id="55" w:name="page56"/>
    <w:bookmarkEnd w:id="55"/>
    <w:p>
      <w:pPr>
        <w:jc w:val="center"/>
        <w:ind w:right="-539"/>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Unless otherwise indicated, all documents incorporated into this Annual Report on Form 10-K by reference to a document filed with the SEC are located under file number 0-7647.</w:t>
      </w:r>
    </w:p>
    <w:p>
      <w:pPr>
        <w:spacing w:after="0" w:line="30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ind w:left="380"/>
              <w:spacing w:after="0"/>
              <w:rPr>
                <w:sz w:val="20"/>
                <w:szCs w:val="20"/>
                <w:color w:val="auto"/>
              </w:rPr>
            </w:pPr>
            <w:r>
              <w:rPr>
                <w:rFonts w:ascii="Arial" w:cs="Arial" w:eastAsia="Arial" w:hAnsi="Arial"/>
                <w:sz w:val="14"/>
                <w:szCs w:val="14"/>
                <w:b w:val="1"/>
                <w:bCs w:val="1"/>
                <w:color w:val="auto"/>
              </w:rPr>
              <w:t>Method of Filing</w:t>
            </w:r>
          </w:p>
        </w:tc>
      </w:tr>
      <w:tr>
        <w:trPr>
          <w:trHeight w:val="20"/>
        </w:trPr>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5"/>
        </w:trPr>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6"/>
              </w:rPr>
              <w:t>Stock Purchase Agreement, dated November 23, 2015, by and among the Company, SPH</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4"/>
              </w:rPr>
              <w:t>Holdings, Inc., the stockholders of SPH Holdings, Inc. listed therein, and ICV Manager, LLC.</w:t>
            </w:r>
          </w:p>
        </w:tc>
        <w:tc>
          <w:tcPr>
            <w:tcW w:w="80" w:type="dxa"/>
            <w:vAlign w:val="bottom"/>
          </w:tcPr>
          <w:p>
            <w:pPr>
              <w:spacing w:after="0"/>
              <w:rPr>
                <w:sz w:val="18"/>
                <w:szCs w:val="18"/>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2"/>
          </w:tcPr>
          <w:p>
            <w:pPr>
              <w:ind w:left="460"/>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Amended and Second Restated Articles of Incorporation.(2)</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77"/>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Amended and Restated By-Laws.(3)</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77"/>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Hawkins, Inc. 2004 Omnibus Stock Plan.(4)</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77"/>
        </w:trPr>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5"/>
              </w:rPr>
              <w:t>Form of Non-Statutory Stock Option Agreement under the Company’s 2004 Omnibus Stock</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Plan.(5)</w:t>
            </w: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77"/>
        </w:trPr>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Hawkins, Inc. 2010 Omnibus Incentive Plan.(6)</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77"/>
        </w:trPr>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5"/>
              </w:rPr>
              <w:t>Form of Performance-Based Unit Award Notice and Restricted Stock Agreement under the</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Company’s 2010 Omnibus Incentive Plan.(7)</w:t>
            </w: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77"/>
        </w:trPr>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4"/>
              </w:rPr>
              <w:t>Form of Restricted Stock Agreement under the Company’s 2010 Omnibus Incentive Plan.(8)</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77"/>
        </w:trPr>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Hawkins, Inc. Executive Severance Plan.(9)</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77"/>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9"/>
              </w:rPr>
              <w:t>Commitment Letter, dated November 23, 2015, by and among the Company, U.S.Bank</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National Association, and JP Morgan Chase Bank, N.A. (10)</w:t>
            </w: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77"/>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4"/>
              </w:rPr>
              <w:t>Credit Agreement dated as of December 23, 2015 among the Company, U.S. Bank National</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Association, and certain financial institutions.(11)</w:t>
            </w: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92"/>
        </w:trPr>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Subsidiaries of the registrant</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405"/>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Consent of Independent Registered Public Accounting Firm.</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9"/>
              </w:rPr>
              <w:t>Certification by Chief Executive Officer pursuant to Rule 13a-14(a) of the Exchange Act.</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9"/>
              </w:rPr>
              <w:t>Certification by Chief Financial Officer pursuant to Rule 13a-14(a) of the Exchange Act.</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Section 1350 Certification by Chief Executive Officer.</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rPr>
              <w:t>Section 1350 Certification by Chief Financial Officer.</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77"/>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6"/>
              </w:rPr>
              <w:t>Financial statements from the Annual Report on Form 10-K of Hawkins, Inc. for the period</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6"/>
              </w:rPr>
              <w:t>ended April 2, 2017, filed with the SEC on June 1, 2017, formatted in Extensible Business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2"/>
              </w:rPr>
              <w:t>Reporting Language (XBRL): (i) the Consolidated Balance Sheets at April 2, 2017 and April 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320" w:type="dxa"/>
            <w:vAlign w:val="bottom"/>
            <w:gridSpan w:val="3"/>
          </w:tcPr>
          <w:p>
            <w:pPr>
              <w:ind w:left="380"/>
              <w:spacing w:after="0"/>
              <w:rPr>
                <w:sz w:val="20"/>
                <w:szCs w:val="20"/>
                <w:color w:val="auto"/>
              </w:rPr>
            </w:pPr>
            <w:r>
              <w:rPr>
                <w:rFonts w:ascii="Arial" w:cs="Arial" w:eastAsia="Arial" w:hAnsi="Arial"/>
                <w:sz w:val="18"/>
                <w:szCs w:val="18"/>
                <w:color w:val="auto"/>
                <w:w w:val="92"/>
              </w:rPr>
              <w:t>2016, (ii) the Consolidated Statements of Income for the fiscal years ended April 2, 2017, April</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jc w:val="both"/>
        <w:ind w:left="1960" w:right="2120"/>
        <w:spacing w:after="0" w:line="292" w:lineRule="auto"/>
        <w:rPr>
          <w:sz w:val="20"/>
          <w:szCs w:val="20"/>
          <w:color w:val="auto"/>
        </w:rPr>
      </w:pPr>
      <w:r>
        <w:rPr>
          <w:rFonts w:ascii="Arial" w:cs="Arial" w:eastAsia="Arial" w:hAnsi="Arial"/>
          <w:sz w:val="16"/>
          <w:szCs w:val="16"/>
          <w:color w:val="auto"/>
        </w:rPr>
        <w:t>3, 2016 and March 29, 2015, (iii) the Consolidated Statements of Comprehensive Income for the fiscal years ended April 2, 2017, April 3, 2016 and March 29, 2015, (iv) the Consolidated Statements of Shareholders’ Equity for the fiscal years ended April 2, 2017, April 3, 2016 and March 29, 2015, (v) Consolidated Statements of Cash Flows for the fiscal years ended April 2, 2017, April 3, 2016 and March 29, 2015, and (iv)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29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29" w:lineRule="exact"/>
        <w:rPr>
          <w:sz w:val="20"/>
          <w:szCs w:val="20"/>
          <w:color w:val="auto"/>
        </w:rPr>
      </w:pPr>
    </w:p>
    <w:p>
      <w:pPr>
        <w:ind w:left="720" w:hanging="685"/>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Management contract or compensation plan or arrangement required to be filed as an exhibit to this Annual Report on Form 10-K.</w:t>
      </w:r>
    </w:p>
    <w:p>
      <w:pPr>
        <w:sectPr>
          <w:pgSz w:w="11900" w:h="16838" w:orient="portrait"/>
          <w:cols w:equalWidth="0" w:num="1">
            <w:col w:w="10900"/>
          </w:cols>
          <w:pgMar w:left="240" w:top="364" w:right="759" w:bottom="1440" w:gutter="0" w:footer="0" w:header="0"/>
        </w:sectPr>
      </w:pPr>
    </w:p>
    <w:bookmarkStart w:id="56" w:name="page57"/>
    <w:bookmarkEnd w:id="56"/>
    <w:p>
      <w:pPr>
        <w:ind w:left="316" w:hanging="316"/>
        <w:spacing w:after="0"/>
        <w:tabs>
          <w:tab w:leader="none" w:pos="3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2.1 on the Company’s Current Report on Form 8-K dated November 23, 2015.</w:t>
      </w:r>
    </w:p>
    <w:p>
      <w:pPr>
        <w:spacing w:after="0" w:line="225" w:lineRule="exact"/>
        <w:rPr>
          <w:rFonts w:ascii="Arial" w:cs="Arial" w:eastAsia="Arial" w:hAnsi="Arial"/>
          <w:sz w:val="18"/>
          <w:szCs w:val="18"/>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Quarterly Report on Form 10-Q for the quarterly period ended June 30, 2010.</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248" w:lineRule="exact"/>
        <w:rPr>
          <w:rFonts w:ascii="Arial" w:cs="Arial" w:eastAsia="Arial" w:hAnsi="Arial"/>
          <w:sz w:val="16"/>
          <w:szCs w:val="16"/>
          <w:color w:val="auto"/>
        </w:rPr>
      </w:pPr>
    </w:p>
    <w:p>
      <w:pPr>
        <w:ind w:left="316" w:hanging="316"/>
        <w:spacing w:after="0"/>
        <w:tabs>
          <w:tab w:leader="none" w:pos="3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Appendix B to the Company’s Proxy Statement for the 2004 Annual Meeting of Shareholders filed July 23, 2004.</w:t>
      </w:r>
    </w:p>
    <w:p>
      <w:pPr>
        <w:spacing w:after="0" w:line="248" w:lineRule="exact"/>
        <w:rPr>
          <w:rFonts w:ascii="Arial" w:cs="Arial" w:eastAsia="Arial" w:hAnsi="Arial"/>
          <w:sz w:val="16"/>
          <w:szCs w:val="16"/>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2008.</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S-8 filed June 6, 2011 (file no. 333-174735).</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2010.</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Quarterly Report on Form 10-Q for the quarterly period ended June 30, 2010.</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July 3, 2011.</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dated November 23, 2015</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dated December 23, 2015.</w:t>
      </w:r>
    </w:p>
    <w:p>
      <w:pPr>
        <w:sectPr>
          <w:pgSz w:w="11900" w:h="16838" w:orient="portrait"/>
          <w:cols w:equalWidth="0" w:num="1">
            <w:col w:w="10616"/>
          </w:cols>
          <w:pgMar w:left="464" w:top="773" w:right="8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660"/>
              <w:spacing w:after="0"/>
              <w:rPr>
                <w:sz w:val="20"/>
                <w:szCs w:val="20"/>
                <w:color w:val="auto"/>
              </w:rPr>
            </w:pPr>
            <w:r>
              <w:rPr>
                <w:rFonts w:ascii="Arial" w:cs="Arial" w:eastAsia="Arial" w:hAnsi="Arial"/>
                <w:sz w:val="18"/>
                <w:szCs w:val="18"/>
                <w:b w:val="1"/>
                <w:bCs w:val="1"/>
                <w:color w:val="auto"/>
                <w:w w:val="89"/>
              </w:rPr>
              <w:t>Subsidiaries of Hawkins, Inc.</w:t>
            </w:r>
          </w:p>
        </w:tc>
      </w:tr>
      <w:tr>
        <w:trPr>
          <w:trHeight w:val="743"/>
        </w:trPr>
        <w:tc>
          <w:tcPr>
            <w:tcW w:w="780" w:type="dxa"/>
            <w:vAlign w:val="bottom"/>
          </w:tcPr>
          <w:p>
            <w:pPr>
              <w:spacing w:after="0"/>
              <w:rPr>
                <w:sz w:val="20"/>
                <w:szCs w:val="20"/>
                <w:color w:val="auto"/>
              </w:rPr>
            </w:pPr>
            <w:r>
              <w:rPr>
                <w:rFonts w:ascii="Arial" w:cs="Arial" w:eastAsia="Arial" w:hAnsi="Arial"/>
                <w:sz w:val="18"/>
                <w:szCs w:val="18"/>
                <w:color w:val="auto"/>
                <w:w w:val="90"/>
              </w:rPr>
              <w:t>Subsidiary</w:t>
            </w:r>
          </w:p>
        </w:tc>
        <w:tc>
          <w:tcPr>
            <w:tcW w:w="1440" w:type="dxa"/>
            <w:vAlign w:val="bottom"/>
          </w:tcPr>
          <w:p>
            <w:pPr>
              <w:spacing w:after="0"/>
              <w:rPr>
                <w:sz w:val="24"/>
                <w:szCs w:val="24"/>
                <w:color w:val="auto"/>
              </w:rPr>
            </w:pPr>
          </w:p>
        </w:tc>
        <w:tc>
          <w:tcPr>
            <w:tcW w:w="4620" w:type="dxa"/>
            <w:vAlign w:val="bottom"/>
            <w:gridSpan w:val="3"/>
          </w:tcPr>
          <w:p>
            <w:pPr>
              <w:ind w:left="180"/>
              <w:spacing w:after="0"/>
              <w:rPr>
                <w:sz w:val="20"/>
                <w:szCs w:val="20"/>
                <w:color w:val="auto"/>
              </w:rPr>
            </w:pPr>
            <w:r>
              <w:rPr>
                <w:rFonts w:ascii="Arial" w:cs="Arial" w:eastAsia="Arial" w:hAnsi="Arial"/>
                <w:sz w:val="18"/>
                <w:szCs w:val="18"/>
                <w:color w:val="auto"/>
              </w:rPr>
              <w:t>State of Organization</w:t>
            </w:r>
          </w:p>
        </w:tc>
      </w:tr>
      <w:tr>
        <w:trPr>
          <w:trHeight w:val="20"/>
        </w:trPr>
        <w:tc>
          <w:tcPr>
            <w:tcW w:w="7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12"/>
        </w:trPr>
        <w:tc>
          <w:tcPr>
            <w:tcW w:w="2220" w:type="dxa"/>
            <w:vAlign w:val="bottom"/>
            <w:gridSpan w:val="2"/>
          </w:tcPr>
          <w:p>
            <w:pPr>
              <w:spacing w:after="0"/>
              <w:rPr>
                <w:sz w:val="20"/>
                <w:szCs w:val="20"/>
                <w:color w:val="auto"/>
              </w:rPr>
            </w:pPr>
            <w:r>
              <w:rPr>
                <w:rFonts w:ascii="Arial" w:cs="Arial" w:eastAsia="Arial" w:hAnsi="Arial"/>
                <w:sz w:val="18"/>
                <w:szCs w:val="18"/>
                <w:color w:val="auto"/>
                <w:w w:val="95"/>
              </w:rPr>
              <w:t>Vertex Chemical Corporation</w:t>
            </w:r>
          </w:p>
        </w:tc>
        <w:tc>
          <w:tcPr>
            <w:tcW w:w="4620" w:type="dxa"/>
            <w:vAlign w:val="bottom"/>
            <w:gridSpan w:val="3"/>
          </w:tcPr>
          <w:p>
            <w:pPr>
              <w:ind w:left="80"/>
              <w:spacing w:after="0"/>
              <w:rPr>
                <w:sz w:val="20"/>
                <w:szCs w:val="20"/>
                <w:color w:val="auto"/>
              </w:rPr>
            </w:pPr>
            <w:r>
              <w:rPr>
                <w:rFonts w:ascii="Arial" w:cs="Arial" w:eastAsia="Arial" w:hAnsi="Arial"/>
                <w:sz w:val="18"/>
                <w:szCs w:val="18"/>
                <w:color w:val="auto"/>
              </w:rPr>
              <w:t>Minnesota</w:t>
            </w:r>
          </w:p>
        </w:tc>
      </w:tr>
    </w:tbl>
    <w:p>
      <w:pPr>
        <w:spacing w:after="0" w:line="161"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Stauber Performance Ingredients, Inc.</w:t>
      </w:r>
      <w:r>
        <w:rPr>
          <w:sz w:val="20"/>
          <w:szCs w:val="20"/>
          <w:color w:val="auto"/>
        </w:rPr>
        <w:tab/>
      </w:r>
      <w:r>
        <w:rPr>
          <w:rFonts w:ascii="Arial" w:cs="Arial" w:eastAsia="Arial" w:hAnsi="Arial"/>
          <w:sz w:val="16"/>
          <w:szCs w:val="16"/>
          <w:color w:val="auto"/>
        </w:rPr>
        <w:t>Minnesota</w:t>
      </w:r>
    </w:p>
    <w:p>
      <w:pPr>
        <w:spacing w:after="0" w:line="185"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Stauber California, Inc., a subsidiary of Stauber Performance Ingredients, Inc.</w:t>
      </w:r>
      <w:r>
        <w:rPr>
          <w:sz w:val="20"/>
          <w:szCs w:val="20"/>
          <w:color w:val="auto"/>
        </w:rPr>
        <w:tab/>
      </w:r>
      <w:r>
        <w:rPr>
          <w:rFonts w:ascii="Arial" w:cs="Arial" w:eastAsia="Arial" w:hAnsi="Arial"/>
          <w:sz w:val="17"/>
          <w:szCs w:val="17"/>
          <w:color w:val="auto"/>
        </w:rPr>
        <w:t>California</w:t>
      </w:r>
    </w:p>
    <w:p>
      <w:pPr>
        <w:spacing w:after="0" w:line="18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Stauber New York, Inc., a subsidiary of Stauber Performance Ingredients, Inc.</w:t>
      </w:r>
      <w:r>
        <w:rPr>
          <w:sz w:val="20"/>
          <w:szCs w:val="20"/>
          <w:color w:val="auto"/>
        </w:rPr>
        <w:tab/>
      </w:r>
      <w:r>
        <w:rPr>
          <w:rFonts w:ascii="Arial" w:cs="Arial" w:eastAsia="Arial" w:hAnsi="Arial"/>
          <w:sz w:val="17"/>
          <w:szCs w:val="17"/>
          <w:color w:val="auto"/>
        </w:rPr>
        <w:t>New York</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333-87582 on Form S-8 relating to the Hawkins, Inc. Employee Stock Purchase Plan, and Amended and Restated, No. 333-172761 on Form S-8 relating to Hawkins, Inc. Employee Stock Purchase Plan, 333-123080 on Form S-8 relating to the Hawkins, Inc. 2004 Omnibus Stock Plan, and 333-174735 on Form S-8 relating to the Hawkins, Inc. 2010 Omnibus Incentive Plan of our report dated June 1, 2017, with respect to the consolidated balance sheets of Hawkins, Inc. as of April 2, 2017 and April 3, 2016, the related consolidated statements of income, comprehensive income, shareholders’ equity, and cash flows for each of the years in the three-year period ended April 2, 2017, the related financial statement schedule, and the effectiveness of internal control over financial reporting as of April 2, 2017, which report appears in the April 2, 2017 annual report on Form 10-K of Hawkins, Inc.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2017</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2017</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2017</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April 2, 2017, as filed with the Securities and Exchange Commission on the date hereof (the Report), I, Patrick H. Hawkins, Principal executive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 2017</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April 2, 2017, as filed with the Securities and Exchange Commission on the date hereof (the Report), I, Kathleen P. Pepski, Principal financial and accounting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2019-12-29T06:16:04Z</dcterms:created>
  <dcterms:modified xsi:type="dcterms:W3CDTF">2019-12-29T06:16:04Z</dcterms:modified>
</cp:coreProperties>
</file>