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4, 2022</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35" w:right="339" w:bottom="1440" w:gutter="0" w:footer="0" w:header="0"/>
        </w:sectPr>
      </w:pPr>
    </w:p>
    <w:p>
      <w:pPr>
        <w:spacing w:after="0" w:line="28"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43" w:lineRule="exact"/>
        <w:rPr>
          <w:sz w:val="24"/>
          <w:szCs w:val="24"/>
          <w:color w:val="auto"/>
        </w:rPr>
      </w:pPr>
    </w:p>
    <w:p>
      <w:pPr>
        <w:sectPr>
          <w:pgSz w:w="11900" w:h="16838" w:orient="portrait"/>
          <w:cols w:equalWidth="0" w:num="3">
            <w:col w:w="4520" w:space="720"/>
            <w:col w:w="2800" w:space="720"/>
            <w:col w:w="2480"/>
          </w:cols>
          <w:pgMar w:left="320" w:top="1035" w:right="339" w:bottom="1440" w:gutter="0" w:footer="0" w:header="0"/>
          <w:type w:val="continuous"/>
        </w:sectPr>
      </w:pPr>
    </w:p>
    <w:p>
      <w:pPr>
        <w:ind w:left="8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94" w:lineRule="exact"/>
        <w:rPr>
          <w:sz w:val="24"/>
          <w:szCs w:val="24"/>
          <w:color w:val="auto"/>
        </w:rPr>
      </w:pPr>
    </w:p>
    <w:p>
      <w:pPr>
        <w:sectPr>
          <w:pgSz w:w="11900" w:h="16838" w:orient="portrait"/>
          <w:cols w:equalWidth="0" w:num="3">
            <w:col w:w="3880" w:space="720"/>
            <w:col w:w="2800" w:space="720"/>
            <w:col w:w="3120"/>
          </w:cols>
          <w:pgMar w:left="320" w:top="1035" w:right="339" w:bottom="1440" w:gutter="0" w:footer="0" w:header="0"/>
          <w:type w:val="continuous"/>
        </w:sectPr>
      </w:pPr>
    </w:p>
    <w:p>
      <w:pPr>
        <w:ind w:left="700"/>
        <w:spacing w:after="0"/>
        <w:tabs>
          <w:tab w:leader="none" w:pos="3100" w:val="left"/>
        </w:tabs>
        <w:rPr>
          <w:sz w:val="20"/>
          <w:szCs w:val="20"/>
          <w:color w:val="auto"/>
        </w:rPr>
      </w:pPr>
      <w:r>
        <w:rPr>
          <w:rFonts w:ascii="Arial" w:cs="Arial" w:eastAsia="Arial" w:hAnsi="Arial"/>
          <w:sz w:val="18"/>
          <w:szCs w:val="18"/>
          <w:b w:val="1"/>
          <w:bCs w:val="1"/>
          <w:color w:val="auto"/>
        </w:rPr>
        <w:t>2381 Rosegate, Roseville,</w:t>
        <w:tab/>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55113</w:t>
      </w:r>
    </w:p>
    <w:p>
      <w:pPr>
        <w:spacing w:after="0" w:line="43" w:lineRule="exact"/>
        <w:rPr>
          <w:sz w:val="24"/>
          <w:szCs w:val="24"/>
          <w:color w:val="auto"/>
        </w:rPr>
      </w:pPr>
    </w:p>
    <w:p>
      <w:pPr>
        <w:sectPr>
          <w:pgSz w:w="11900" w:h="16838" w:orient="portrait"/>
          <w:cols w:equalWidth="0" w:num="2">
            <w:col w:w="8580" w:space="720"/>
            <w:col w:w="1940"/>
          </w:cols>
          <w:pgMar w:left="320" w:top="1035" w:right="339" w:bottom="1440" w:gutter="0" w:footer="0" w:header="0"/>
          <w:type w:val="continuous"/>
        </w:sectPr>
      </w:pPr>
    </w:p>
    <w:p>
      <w:pPr>
        <w:ind w:left="10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480" w:space="720"/>
            <w:col w:w="2040"/>
          </w:cols>
          <w:pgMar w:left="320" w:top="1035" w:right="339" w:bottom="1440" w:gutter="0" w:footer="0" w:header="0"/>
          <w:type w:val="continuous"/>
        </w:sect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1" w:lineRule="exact"/>
        <w:rPr>
          <w:sz w:val="24"/>
          <w:szCs w:val="24"/>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Title of each class</w:t>
            </w:r>
          </w:p>
        </w:tc>
        <w:tc>
          <w:tcPr>
            <w:tcW w:w="290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0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20" w:type="dxa"/>
            <w:vAlign w:val="bottom"/>
          </w:tcPr>
          <w:p>
            <w:pPr>
              <w:jc w:val="center"/>
              <w:ind w:left="379"/>
              <w:spacing w:after="0"/>
              <w:rPr>
                <w:sz w:val="20"/>
                <w:szCs w:val="20"/>
                <w:color w:val="auto"/>
              </w:rPr>
            </w:pPr>
            <w:r>
              <w:rPr>
                <w:rFonts w:ascii="Arial" w:cs="Arial" w:eastAsia="Arial" w:hAnsi="Arial"/>
                <w:sz w:val="16"/>
                <w:szCs w:val="16"/>
                <w:color w:val="auto"/>
              </w:rPr>
              <w:t>Nasdaq Stock Market LLC</w:t>
            </w:r>
          </w:p>
        </w:tc>
      </w:tr>
    </w:tbl>
    <w:p>
      <w:pPr>
        <w:spacing w:after="0" w:line="356"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79"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August 4, 2022, Hawkins, Inc. issued a press release announcing financial results for its fiscal 2023 first quarter ended July 3,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by the Registrant is furnished herewith as Exhibit 99.1 hereto and is incorporated herein by reference.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6"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In a press release issued on August 4, 2022, Hawkins, Inc. announced that its Board of Directors has increased the number of shares authorized to be repurchased under its share repurchase program by 1,000,000 shares of its outstanding common stock. Shares may be repurchased from time to time on the open market or in privately negotiated transactions subject to applicable securities laws and regulations.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Exhibit No.</w:t>
            </w:r>
          </w:p>
        </w:tc>
        <w:tc>
          <w:tcPr>
            <w:tcW w:w="500" w:type="dxa"/>
            <w:vAlign w:val="bottom"/>
          </w:tcPr>
          <w:p>
            <w:pPr>
              <w:spacing w:after="0"/>
              <w:rPr>
                <w:sz w:val="14"/>
                <w:szCs w:val="14"/>
                <w:color w:val="auto"/>
              </w:rPr>
            </w:pP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4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Method of Filing</w:t>
            </w:r>
          </w:p>
        </w:tc>
        <w:tc>
          <w:tcPr>
            <w:tcW w:w="20" w:type="dxa"/>
            <w:vAlign w:val="bottom"/>
          </w:tcPr>
          <w:p>
            <w:pPr>
              <w:spacing w:after="0"/>
              <w:rPr>
                <w:sz w:val="14"/>
                <w:szCs w:val="14"/>
                <w:color w:val="auto"/>
              </w:rPr>
            </w:pPr>
          </w:p>
        </w:tc>
      </w:tr>
      <w:tr>
        <w:trPr>
          <w:trHeight w:val="222"/>
        </w:trPr>
        <w:tc>
          <w:tcPr>
            <w:tcW w:w="1640" w:type="dxa"/>
            <w:vAlign w:val="bottom"/>
            <w:gridSpan w:val="2"/>
          </w:tcPr>
          <w:p>
            <w:pPr>
              <w:ind w:left="1280"/>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hyperlink>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Press Release, dated August 4, 2022, announcing financial results of Hawkins, Inc.</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197"/>
        </w:trPr>
        <w:tc>
          <w:tcPr>
            <w:tcW w:w="128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36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for its fiscal 2023 first quarter ended July 3, 2022.</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1640" w:type="dxa"/>
            <w:vAlign w:val="bottom"/>
            <w:gridSpan w:val="2"/>
          </w:tcPr>
          <w:p>
            <w:pPr>
              <w:ind w:left="128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1222"/>
        </w:trPr>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100" w:type="dxa"/>
            <w:vAlign w:val="bottom"/>
          </w:tcPr>
          <w:p>
            <w:pPr>
              <w:spacing w:after="0"/>
              <w:rPr>
                <w:sz w:val="18"/>
                <w:szCs w:val="18"/>
                <w:color w:val="auto"/>
              </w:rPr>
            </w:pPr>
          </w:p>
        </w:tc>
        <w:tc>
          <w:tcPr>
            <w:tcW w:w="2800" w:type="dxa"/>
            <w:vAlign w:val="bottom"/>
            <w:gridSpan w:val="2"/>
          </w:tcPr>
          <w:p>
            <w:pPr>
              <w:ind w:left="1380"/>
              <w:spacing w:after="0"/>
              <w:rPr>
                <w:sz w:val="20"/>
                <w:szCs w:val="20"/>
                <w:color w:val="auto"/>
              </w:rPr>
            </w:pPr>
            <w:r>
              <w:rPr>
                <w:rFonts w:ascii="Arial" w:cs="Arial" w:eastAsia="Arial" w:hAnsi="Arial"/>
                <w:sz w:val="18"/>
                <w:szCs w:val="18"/>
                <w:color w:val="auto"/>
              </w:rPr>
              <w:t>HAWKINS, INC.</w:t>
            </w:r>
          </w:p>
        </w:tc>
        <w:tc>
          <w:tcPr>
            <w:tcW w:w="5280" w:type="dxa"/>
            <w:vAlign w:val="bottom"/>
          </w:tcPr>
          <w:p>
            <w:pPr>
              <w:spacing w:after="0"/>
              <w:rPr>
                <w:sz w:val="18"/>
                <w:szCs w:val="18"/>
                <w:color w:val="auto"/>
              </w:rPr>
            </w:pPr>
          </w:p>
        </w:tc>
      </w:tr>
      <w:tr>
        <w:trPr>
          <w:trHeight w:val="283"/>
        </w:trPr>
        <w:tc>
          <w:tcPr>
            <w:tcW w:w="3100" w:type="dxa"/>
            <w:vAlign w:val="bottom"/>
          </w:tcPr>
          <w:p>
            <w:pPr>
              <w:spacing w:after="0"/>
              <w:rPr>
                <w:sz w:val="20"/>
                <w:szCs w:val="20"/>
                <w:color w:val="auto"/>
              </w:rPr>
            </w:pPr>
            <w:r>
              <w:rPr>
                <w:rFonts w:ascii="Arial" w:cs="Arial" w:eastAsia="Arial" w:hAnsi="Arial"/>
                <w:sz w:val="18"/>
                <w:szCs w:val="18"/>
                <w:color w:val="auto"/>
              </w:rPr>
              <w:t>Date: August 4, 2022</w:t>
            </w:r>
          </w:p>
        </w:tc>
        <w:tc>
          <w:tcPr>
            <w:tcW w:w="2800" w:type="dxa"/>
            <w:vAlign w:val="bottom"/>
            <w:gridSpan w:val="2"/>
          </w:tcPr>
          <w:p>
            <w:pPr>
              <w:ind w:left="1380"/>
              <w:spacing w:after="0"/>
              <w:rPr>
                <w:sz w:val="20"/>
                <w:szCs w:val="20"/>
                <w:color w:val="auto"/>
              </w:rPr>
            </w:pPr>
            <w:r>
              <w:rPr>
                <w:rFonts w:ascii="Arial" w:cs="Arial" w:eastAsia="Arial" w:hAnsi="Arial"/>
                <w:sz w:val="18"/>
                <w:szCs w:val="18"/>
                <w:color w:val="auto"/>
              </w:rPr>
              <w:t>By:</w:t>
            </w: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8"/>
              </w:rPr>
              <w:t>/s/ Jeffrey P. Oldenkamp</w:t>
            </w:r>
          </w:p>
        </w:tc>
      </w:tr>
      <w:tr>
        <w:trPr>
          <w:trHeight w:val="223"/>
        </w:trPr>
        <w:tc>
          <w:tcPr>
            <w:tcW w:w="3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28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8"/>
              </w:rPr>
              <w:t>Jeffrey P. Oldenkamp</w:t>
            </w:r>
          </w:p>
        </w:tc>
      </w:tr>
      <w:tr>
        <w:trPr>
          <w:trHeight w:val="230"/>
        </w:trPr>
        <w:tc>
          <w:tcPr>
            <w:tcW w:w="3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9"/>
              </w:rPr>
              <w:t>Executive Vice President and Chief Financial Officer</w:t>
            </w:r>
          </w:p>
        </w:tc>
      </w:tr>
    </w:tbl>
    <w:p>
      <w:pPr>
        <w:sectPr>
          <w:pgSz w:w="11900" w:h="16838" w:orient="portrait"/>
          <w:cols w:equalWidth="0" w:num="1">
            <w:col w:w="11200"/>
          </w:cols>
          <w:pgMar w:left="320" w:top="886" w:right="379" w:bottom="1440" w:gutter="0" w:footer="0" w:header="0"/>
        </w:sectPr>
      </w:pPr>
    </w:p>
    <w:bookmarkStart w:id="3" w:name="page4"/>
    <w:bookmarkEnd w:id="3"/>
    <w:p>
      <w:pPr>
        <w:ind w:left="10260"/>
        <w:spacing w:after="0"/>
        <w:rPr>
          <w:sz w:val="20"/>
          <w:szCs w:val="20"/>
          <w:color w:val="auto"/>
        </w:rPr>
      </w:pPr>
      <w:r>
        <w:rPr>
          <w:rFonts w:ascii="Arial" w:cs="Arial" w:eastAsia="Arial" w:hAnsi="Arial"/>
          <w:sz w:val="18"/>
          <w:szCs w:val="18"/>
          <w:color w:val="auto"/>
        </w:rPr>
        <w:t>Exhibit 99.1</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4, 2022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Roseville, MN 55113</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Fiscal 2023 Results</w:t>
      </w:r>
    </w:p>
    <w:p>
      <w:pPr>
        <w:spacing w:after="0" w:line="25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Minneapolis, Minn, August 4, 2022 – Hawkins, Inc. (Nasdaq: HWKN) today announced results for the three months ended July 3, 2022, its first quarter of fiscal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Year 2023 Highlights:</w:t>
      </w:r>
    </w:p>
    <w:p>
      <w:pPr>
        <w:spacing w:after="0" w:line="274"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quarterly sales of $246.5 million, a 36% year-over-year increase.</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quarterly gross profit of $46.7 million, a 20% increase over the prior year, contributing to record quarterly operating income of $27.9 million, a 26% year-over-year increase.</w:t>
      </w: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quarterly diluted earnings per share (EPS) of $0.94, 19% higher than the same period last year.</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quarterly earnings before interest, taxes, depreciation and amortization (adjusted EBITDA), a non-GAAP measure, of $34.3 million, an 18% increase over the same period of the prior year.</w:t>
      </w: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number of shares available to be repurchased under the Company's share repurchase program by 1 million.</w:t>
      </w:r>
    </w:p>
    <w:p>
      <w:pPr>
        <w:spacing w:after="0" w:line="9" w:lineRule="exact"/>
        <w:rPr>
          <w:rFonts w:ascii="Arial" w:cs="Arial" w:eastAsia="Arial" w:hAnsi="Arial"/>
          <w:sz w:val="18"/>
          <w:szCs w:val="18"/>
          <w:color w:val="auto"/>
        </w:rPr>
      </w:pPr>
    </w:p>
    <w:p>
      <w:pPr>
        <w:ind w:left="660" w:right="260" w:hanging="328"/>
        <w:spacing w:after="0" w:line="261"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expansion of our Centralia, Illinois manufacturing facility, adding 50% more capacity to support future growth mainly for our food ingredients and specialty agricultural businesses.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Commentary – Patrick H. Hawkins, Chief Executive Officer and President:</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first quarter of fiscal 2023 showed the continued strength of our business. We generated 36% sales growth, which is our third quarter in a row of more than 30% sales growth and our sixth quarter in a row of more than 20% sales growth. We continued to add new customers in the quarter and have consistently done so over the past five years, growing our customer base at a seven percent compounded annual growth rate over the last five years. Our improved performance was spread across all three segments, each growing revenue by double-digits. We continue to manage rising raw material costs, which had a negative impact on gross profits in the quarter as we recorded a charge of $3.8 million for LIFO expense, $2 million more than the first quarter of last year. Even with the additional expense we still recorded record gross profit of $47 million.”</w:t>
      </w:r>
    </w:p>
    <w:p>
      <w:pPr>
        <w:spacing w:after="0" w:line="23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Mr. Hawkins continued, “While growing our top line is an important part of our strategy, we are also intensely focused on driving profitability. We demonstrated this by achieving our 17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consecutive quarter of year-over-year operating income growth. We did this in the face of operating cost inflation, rising raw materials costs, and unfavorable LIFO reserve adjustments, which all negatively impacted our profitability.</w:t>
      </w:r>
    </w:p>
    <w:p>
      <w:pPr>
        <w:spacing w:after="0" w:line="3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will continue to manage our cost structure over time to drive profitability and to maintain our strong balance sheet. Lastly, I want to thank our customers, suppliers, and employees, as without them this growth would not be possible”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Highlights: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the first quarter of fiscal 2023, the Company reported net income of $19.7 million, or $0.94 per diluted share, compared to net income for the first quarter of fiscal 2022 of $16.6 million, or $0.79 per diluted share.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Sales were $246.5 million for the first quarter of fiscal 2023, an increase of 36%, from sales of $181.2 million for the same period a year ago,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driven primarily by price increases. Industrial segment sales increased $38.8 million, or 45%, to $124.7 million for the current quarter,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$85.9 million for the same period a year ago. The growth in Industrial segment sales was driven primarily by increased selling prices on 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our products driven by higher costs on many of our raw materials as well as a product mix shift to more sales of our food ingredient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products, which typically have higher margins. Water Treatment segment sales increased $22.3 million, or 40%, to $78.5 million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 quarter, from $56.2 million for the same period a year ago. Water Treatment sales growth was a result of increased selling prices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many of our products driven by higher costs on many of our raw materials, increased demand for our products and the added sales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acquisitions. Sales</w:t>
      </w:r>
    </w:p>
    <w:p>
      <w:pPr>
        <w:sectPr>
          <w:pgSz w:w="11900" w:h="16838" w:orient="portrait"/>
          <w:cols w:equalWidth="0" w:num="1">
            <w:col w:w="11240"/>
          </w:cols>
          <w:pgMar w:left="320" w:top="625" w:right="339" w:bottom="1440" w:gutter="0" w:footer="0" w:header="0"/>
        </w:sectPr>
      </w:pPr>
    </w:p>
    <w:bookmarkStart w:id="4" w:name="page5"/>
    <w:bookmarkEnd w:id="4"/>
    <w:p>
      <w:pPr>
        <w:ind w:right="220"/>
        <w:spacing w:after="0" w:line="256" w:lineRule="auto"/>
        <w:rPr>
          <w:sz w:val="20"/>
          <w:szCs w:val="20"/>
          <w:color w:val="auto"/>
        </w:rPr>
      </w:pPr>
      <w:r>
        <w:rPr>
          <w:rFonts w:ascii="Arial" w:cs="Arial" w:eastAsia="Arial" w:hAnsi="Arial"/>
          <w:sz w:val="18"/>
          <w:szCs w:val="18"/>
          <w:color w:val="auto"/>
        </w:rPr>
        <w:t>for our Health and Nutrition segment increased $ 4.1 million, or 10%, to $43.3 million for the current quarter, from $39.2 million for the same period a year ago. Health and Nutrition segment sales increased due to sales growth of our manufactured products, partially offset by a decrease in sales of our specialty distributed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Gross profit increased $7.7 million, or 20%, to $46.7 million, or 19% of sales, for the current quarter, from $39.0 million, or 22% of sales, for the same period a year ago. During the current quarter, the LIFO reserve increased, and gross profit decreased, by $3.8 million, primarily due to rising raw material prices. In the same quarter a year ago, the LIFO reserve increased, and gross profit decreased, by $1.8 million. Gross profit for the Industrial segment increased $5.7 million, or 40%, to $20.0 million, or 16% of sales, for the current quarter, from $14.3 million, or 17% of sales, for the same period a year ago. Total Industrial segment gross profit increased as a result of sales growth and product mix shift, partially offset by the decrease in gross profits as a result of the increased LIFO reserve. Gross profit for the Water Treatment segment increased $2.8 million, or 17%, to $19.0 million, or 24% of sales, for the current quarter, from $16.2 million, or 29% of sales, for the same period a year ago. Gross profit in our Water Treatment segment increased as a result of sales growth, partially offset by the decrease in gross profits as a result of the increased LIFO reserve. Gross profit for our Health and Nutrition segment decreased $0.7 million, or 8%, to $7.8 million, or 18% of sales, for the current quarter, from $8.5 million, or 22% of sales, for the same period a year ago. While sales increased year over year, the decrease in gross profit was a result of inventory adjustments made to increase reserves for excess product on hand.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increased $2.0 million to $18.9 million, or 8% of sales, for the current quarter, compared to</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$16.9 million, or 9% of sales, for the same period a year ago. The increase was mainly a result of added costs associated with the acquired businesses in our Water Treatment segment, as well as increased variable expenses. Partially offsetting the increase was a reduction of $0.8 million to compensation expense as a result of losses incurred on investments held for our non-qualified deferred compensation plan, as compared to a $0.2 million increase in compensation expense in the same quarter a year ago as a result of gains incurred. These amounts were offset by similar amounts recorded in other (expense) income.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Adjusted earnings before interest, taxes, depreciation and amortization ("adjusted EBITDA"), a non -GAAP financial measure, is an important performance indicator and a key compliance measure under the terms of our credit agreement. An explanation of the computation of adjusted EBITDA is presented below. Adjusted EBITDA for the three months ended July 3, 2022 was $34.3 million, an increase of $5.2 million, or 18%, from $29.1 million for the same period a year ago. The increase was primarily due to improved gross profit.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effective income tax rate was 25% for the current quarter, compared to 24% in the same period a year ago. The effective tax rate is impacted by projected levels of annual taxable income, permanent items, and state taxes. Our effective tax rate for the full year is currently expected to be approximately 26-27%.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Working capital needs increased, which is typical for the first quarter, because we received a large number of shipments of raw materials on barges that increased our inventory. Accounts receivable also increased due to our revenue growth in the quarter. Combined with variable compensation payouts in the quarter, additional capital expenditures to support future growth, and share repurchases, our debt level in the quarter increased slightly. We anticipate our cash flow generated in future quarters will allow us to reduce our debt.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jc w:val="both"/>
        <w:ind w:right="320"/>
        <w:spacing w:after="0" w:line="225" w:lineRule="auto"/>
        <w:rPr>
          <w:sz w:val="20"/>
          <w:szCs w:val="20"/>
          <w:color w:val="auto"/>
        </w:rPr>
      </w:pPr>
      <w:r>
        <w:rPr>
          <w:rFonts w:ascii="Arial" w:cs="Arial" w:eastAsia="Arial" w:hAnsi="Arial"/>
          <w:sz w:val="18"/>
          <w:szCs w:val="18"/>
          <w:color w:val="auto"/>
        </w:rPr>
        <w:t>Hawkins, Inc. was founded in 1938 and is a leading specialty chemical and ingredients company that formulates, distributes, blends, and manufactures products for its Industrial, Water Treatment, and Health &amp; Nutrition customers. Headquartered in Roseville, Minnesota, the Company has 49 facilities in 24 states and creates value for its customers through superb customer service and support, quality products and personalized applications. Hawkins, Inc. generated $775 million of revenue in fiscal 2022 and has approximately 800 employees. For more information, including registering to receive email alerts, please visit www.hawkinsinc.com/investors.</w:t>
      </w:r>
    </w:p>
    <w:p>
      <w:pPr>
        <w:sectPr>
          <w:pgSz w:w="11900" w:h="16838" w:orient="portrait"/>
          <w:cols w:equalWidth="0" w:num="1">
            <w:col w:w="11240"/>
          </w:cols>
          <w:pgMar w:left="320" w:top="5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8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7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spacing w:after="0" w:line="1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9"/>
                <w:szCs w:val="19"/>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3, 2022</w:t>
            </w:r>
          </w:p>
        </w:tc>
        <w:tc>
          <w:tcPr>
            <w:tcW w:w="200" w:type="dxa"/>
            <w:vAlign w:val="bottom"/>
          </w:tcPr>
          <w:p>
            <w:pPr>
              <w:spacing w:after="0"/>
              <w:rPr>
                <w:sz w:val="19"/>
                <w:szCs w:val="19"/>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27, 2021</w:t>
            </w:r>
          </w:p>
        </w:tc>
      </w:tr>
      <w:tr>
        <w:trPr>
          <w:trHeight w:val="223"/>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(GAAP)</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16,628</w:t>
            </w: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w:t>
            </w: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1,581</w:t>
            </w:r>
          </w:p>
        </w:tc>
      </w:tr>
      <w:tr>
        <w:trPr>
          <w:trHeight w:val="230"/>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30"/>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Non-recurring acquisition expenses</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34,254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29,086</w:t>
            </w: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58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8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03, 2022</w:t>
            </w:r>
          </w:p>
        </w:tc>
        <w:tc>
          <w:tcPr>
            <w:tcW w:w="1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June 27, 2021</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246,543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181,241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(199,794)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(142,267)</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(16,856)</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22,001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20,908,823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21,034,302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21,033,549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21,178,320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0.79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0.1400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0.1225</w:t>
            </w:r>
          </w:p>
        </w:tc>
      </w:tr>
    </w:tbl>
    <w:p>
      <w:pPr>
        <w:sectPr>
          <w:pgSz w:w="11900" w:h="16838" w:orient="portrait"/>
          <w:cols w:equalWidth="0" w:num="1">
            <w:col w:w="11240"/>
          </w:cols>
          <w:pgMar w:left="320" w:top="10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3,</w:t>
            </w:r>
          </w:p>
        </w:tc>
        <w:tc>
          <w:tcPr>
            <w:tcW w:w="260" w:type="dxa"/>
            <w:vAlign w:val="bottom"/>
          </w:tcPr>
          <w:p>
            <w:pPr>
              <w:spacing w:after="0"/>
              <w:rPr>
                <w:sz w:val="16"/>
                <w:szCs w:val="16"/>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b w:val="1"/>
                <w:bCs w:val="1"/>
                <w:color w:val="auto"/>
              </w:rPr>
              <w:t>April 3,</w:t>
            </w:r>
          </w:p>
        </w:tc>
      </w:tr>
      <w:tr>
        <w:trPr>
          <w:trHeight w:val="215"/>
        </w:trPr>
        <w:tc>
          <w:tcPr>
            <w:tcW w:w="8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19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r>
      <w:tr>
        <w:trPr>
          <w:trHeight w:val="213"/>
        </w:trPr>
        <w:tc>
          <w:tcPr>
            <w:tcW w:w="8320" w:type="dxa"/>
            <w:vAlign w:val="bottom"/>
          </w:tcPr>
          <w:p>
            <w:pPr>
              <w:ind w:left="340"/>
              <w:spacing w:after="0"/>
              <w:rPr>
                <w:sz w:val="20"/>
                <w:szCs w:val="20"/>
                <w:color w:val="auto"/>
              </w:rPr>
            </w:pPr>
            <w:r>
              <w:rPr>
                <w:rFonts w:ascii="Arial" w:cs="Arial" w:eastAsia="Arial" w:hAnsi="Arial"/>
                <w:sz w:val="16"/>
                <w:szCs w:val="16"/>
                <w:color w:val="auto"/>
              </w:rPr>
              <w:t>Trade accounts receivables, net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138,775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122,826</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94,985</w:t>
            </w:r>
          </w:p>
        </w:tc>
      </w:tr>
      <w:tr>
        <w:trPr>
          <w:trHeight w:val="213"/>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6,431</w:t>
            </w:r>
          </w:p>
        </w:tc>
      </w:tr>
      <w:tr>
        <w:trPr>
          <w:trHeight w:val="213"/>
        </w:trPr>
        <w:tc>
          <w:tcPr>
            <w:tcW w:w="83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227,738</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313,186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304,055</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146,739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142,209</w:t>
            </w:r>
          </w:p>
        </w:tc>
      </w:tr>
      <w:tr>
        <w:trPr>
          <w:trHeight w:val="207"/>
        </w:trPr>
        <w:tc>
          <w:tcPr>
            <w:tcW w:w="8320" w:type="dxa"/>
            <w:vAlign w:val="bottom"/>
          </w:tcPr>
          <w:p>
            <w:pPr>
              <w:ind w:left="780"/>
              <w:spacing w:after="0"/>
              <w:rPr>
                <w:sz w:val="20"/>
                <w:szCs w:val="20"/>
                <w:color w:val="auto"/>
              </w:rPr>
            </w:pPr>
            <w:r>
              <w:rPr>
                <w:rFonts w:ascii="Arial" w:cs="Arial" w:eastAsia="Arial" w:hAnsi="Arial"/>
                <w:sz w:val="16"/>
                <w:szCs w:val="16"/>
                <w:color w:val="auto"/>
              </w:rPr>
              <w:t>Net property, plant, and equipment</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166,447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161,846</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320" w:type="dxa"/>
            <w:vAlign w:val="bottom"/>
          </w:tcPr>
          <w:p>
            <w:pPr>
              <w:ind w:left="340"/>
              <w:spacing w:after="0"/>
              <w:rPr>
                <w:sz w:val="20"/>
                <w:szCs w:val="20"/>
                <w:color w:val="auto"/>
              </w:rPr>
            </w:pPr>
            <w:r>
              <w:rPr>
                <w:rFonts w:ascii="Arial" w:cs="Arial" w:eastAsia="Arial" w:hAnsi="Arial"/>
                <w:sz w:val="16"/>
                <w:szCs w:val="16"/>
                <w:color w:val="auto"/>
              </w:rPr>
              <w:t>Right-of-use assets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10,606</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77,401</w:t>
            </w:r>
          </w:p>
        </w:tc>
      </w:tr>
      <w:tr>
        <w:trPr>
          <w:trHeight w:val="213"/>
        </w:trPr>
        <w:tc>
          <w:tcPr>
            <w:tcW w:w="8320" w:type="dxa"/>
            <w:vAlign w:val="bottom"/>
          </w:tcPr>
          <w:p>
            <w:pPr>
              <w:ind w:left="340"/>
              <w:spacing w:after="0"/>
              <w:rPr>
                <w:sz w:val="20"/>
                <w:szCs w:val="20"/>
                <w:color w:val="auto"/>
              </w:rPr>
            </w:pPr>
            <w:r>
              <w:rPr>
                <w:rFonts w:ascii="Arial" w:cs="Arial" w:eastAsia="Arial" w:hAnsi="Arial"/>
                <w:sz w:val="16"/>
                <w:szCs w:val="16"/>
                <w:color w:val="auto"/>
              </w:rPr>
              <w:t>Intangible assets, net of accumulated amortization</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78,435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80,193</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compensation plan asset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w:t>
            </w:r>
          </w:p>
        </w:tc>
      </w:tr>
      <w:tr>
        <w:trPr>
          <w:trHeight w:val="213"/>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w:t>
            </w:r>
          </w:p>
        </w:tc>
      </w:tr>
      <w:tr>
        <w:trPr>
          <w:trHeight w:val="210"/>
        </w:trPr>
        <w:tc>
          <w:tcPr>
            <w:tcW w:w="83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176,335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177,744</w:t>
            </w:r>
          </w:p>
        </w:tc>
      </w:tr>
      <w:tr>
        <w:trPr>
          <w:trHeight w:val="209"/>
        </w:trPr>
        <w:tc>
          <w:tcPr>
            <w:tcW w:w="8320" w:type="dxa"/>
            <w:vAlign w:val="bottom"/>
          </w:tcPr>
          <w:p>
            <w:pPr>
              <w:ind w:left="78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596,404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567,328</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 trade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66,693</w:t>
            </w:r>
          </w:p>
        </w:tc>
      </w:tr>
      <w:tr>
        <w:trPr>
          <w:trHeight w:val="213"/>
        </w:trPr>
        <w:tc>
          <w:tcPr>
            <w:tcW w:w="8320" w:type="dxa"/>
            <w:vAlign w:val="bottom"/>
          </w:tcPr>
          <w:p>
            <w:pPr>
              <w:ind w:left="340"/>
              <w:spacing w:after="0"/>
              <w:rPr>
                <w:sz w:val="20"/>
                <w:szCs w:val="20"/>
                <w:color w:val="auto"/>
              </w:rPr>
            </w:pPr>
            <w:r>
              <w:rPr>
                <w:rFonts w:ascii="Arial" w:cs="Arial" w:eastAsia="Arial" w:hAnsi="Arial"/>
                <w:sz w:val="16"/>
                <w:szCs w:val="16"/>
                <w:color w:val="auto"/>
              </w:rPr>
              <w:t>Accrued payroll and employee benefits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19,034</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payable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832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9,913</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Short-term lease liability</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r>
      <w:tr>
        <w:trPr>
          <w:trHeight w:val="213"/>
        </w:trPr>
        <w:tc>
          <w:tcPr>
            <w:tcW w:w="8320" w:type="dxa"/>
            <w:vAlign w:val="bottom"/>
          </w:tcPr>
          <w:p>
            <w:pPr>
              <w:ind w:left="340"/>
              <w:spacing w:after="0"/>
              <w:rPr>
                <w:sz w:val="20"/>
                <w:szCs w:val="20"/>
                <w:color w:val="auto"/>
              </w:rPr>
            </w:pPr>
            <w:r>
              <w:rPr>
                <w:rFonts w:ascii="Arial" w:cs="Arial" w:eastAsia="Arial" w:hAnsi="Arial"/>
                <w:sz w:val="16"/>
                <w:szCs w:val="16"/>
                <w:color w:val="auto"/>
              </w:rPr>
              <w:t>Container deposits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1,558</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2,572</w:t>
            </w:r>
          </w:p>
        </w:tc>
      </w:tr>
      <w:tr>
        <w:trPr>
          <w:trHeight w:val="207"/>
        </w:trPr>
        <w:tc>
          <w:tcPr>
            <w:tcW w:w="8320" w:type="dxa"/>
            <w:vAlign w:val="bottom"/>
          </w:tcPr>
          <w:p>
            <w:pPr>
              <w:ind w:left="78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88,163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101,466</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LESS CURRENT PORTION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115,644</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9,143</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WITHDRAWAL LIABILITY</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4,276</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23,422</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LIABILITY</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8,402</w:t>
            </w:r>
          </w:p>
        </w:tc>
      </w:t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w:t>
            </w:r>
          </w:p>
        </w:tc>
      </w:tr>
      <w:tr>
        <w:trPr>
          <w:trHeight w:val="213"/>
        </w:trPr>
        <w:tc>
          <w:tcPr>
            <w:tcW w:w="83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264,727</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7"/>
        </w:trPr>
        <w:tc>
          <w:tcPr>
            <w:tcW w:w="8320" w:type="dxa"/>
            <w:vAlign w:val="bottom"/>
          </w:tcPr>
          <w:p>
            <w:pPr>
              <w:ind w:left="340"/>
              <w:spacing w:after="0" w:line="178" w:lineRule="exact"/>
              <w:rPr>
                <w:sz w:val="20"/>
                <w:szCs w:val="20"/>
                <w:color w:val="auto"/>
              </w:rPr>
            </w:pPr>
            <w:r>
              <w:rPr>
                <w:rFonts w:ascii="Arial" w:cs="Arial" w:eastAsia="Arial" w:hAnsi="Arial"/>
                <w:sz w:val="16"/>
                <w:szCs w:val="16"/>
                <w:color w:val="auto"/>
              </w:rPr>
              <w:t>Common stock; authorized: 60,000,000 shares of $0.01 par value; 20,807,338 and 20,889,777</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8"/>
        </w:trPr>
        <w:tc>
          <w:tcPr>
            <w:tcW w:w="8320" w:type="dxa"/>
            <w:vAlign w:val="bottom"/>
          </w:tcPr>
          <w:p>
            <w:pPr>
              <w:ind w:left="340"/>
              <w:spacing w:after="0"/>
              <w:rPr>
                <w:sz w:val="20"/>
                <w:szCs w:val="20"/>
                <w:color w:val="auto"/>
              </w:rPr>
            </w:pPr>
            <w:r>
              <w:rPr>
                <w:rFonts w:ascii="Arial" w:cs="Arial" w:eastAsia="Arial" w:hAnsi="Arial"/>
                <w:sz w:val="16"/>
                <w:szCs w:val="16"/>
                <w:color w:val="auto"/>
              </w:rPr>
              <w:t>shares issued and outstanding as of July 3, 2022 and April 3, 2022, respectively</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46,717</w:t>
            </w:r>
          </w:p>
        </w:tc>
      </w:tr>
      <w:tr>
        <w:trPr>
          <w:trHeight w:val="213"/>
        </w:trPr>
        <w:tc>
          <w:tcPr>
            <w:tcW w:w="832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271,121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254,384</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r>
      <w:tr>
        <w:trPr>
          <w:trHeight w:val="206"/>
        </w:trPr>
        <w:tc>
          <w:tcPr>
            <w:tcW w:w="832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shareholders’ equity</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313,277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302,601</w:t>
            </w:r>
          </w:p>
        </w:tc>
      </w:tr>
      <w:tr>
        <w:trPr>
          <w:trHeight w:val="235"/>
        </w:trPr>
        <w:tc>
          <w:tcPr>
            <w:tcW w:w="83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596,404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567,328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1048"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159"/>
        </w:trPr>
        <w:tc>
          <w:tcPr>
            <w:tcW w:w="8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20"/>
              <w:spacing w:after="0" w:line="158" w:lineRule="exact"/>
              <w:rPr>
                <w:sz w:val="20"/>
                <w:szCs w:val="20"/>
                <w:color w:val="auto"/>
              </w:rPr>
            </w:pPr>
            <w:r>
              <w:rPr>
                <w:rFonts w:ascii="Arial" w:cs="Arial" w:eastAsia="Arial" w:hAnsi="Arial"/>
                <w:sz w:val="16"/>
                <w:szCs w:val="16"/>
                <w:b w:val="1"/>
                <w:bCs w:val="1"/>
                <w:color w:val="auto"/>
              </w:rPr>
              <w:t>July 3,</w:t>
            </w:r>
          </w:p>
        </w:tc>
        <w:tc>
          <w:tcPr>
            <w:tcW w:w="260" w:type="dxa"/>
            <w:vAlign w:val="bottom"/>
          </w:tcPr>
          <w:p>
            <w:pPr>
              <w:spacing w:after="0"/>
              <w:rPr>
                <w:sz w:val="13"/>
                <w:szCs w:val="13"/>
                <w:color w:val="auto"/>
              </w:rPr>
            </w:pPr>
          </w:p>
        </w:tc>
        <w:tc>
          <w:tcPr>
            <w:tcW w:w="1220" w:type="dxa"/>
            <w:vAlign w:val="bottom"/>
          </w:tcPr>
          <w:p>
            <w:pPr>
              <w:jc w:val="right"/>
              <w:ind w:right="339"/>
              <w:spacing w:after="0" w:line="158" w:lineRule="exact"/>
              <w:rPr>
                <w:sz w:val="20"/>
                <w:szCs w:val="20"/>
                <w:color w:val="auto"/>
              </w:rPr>
            </w:pPr>
            <w:r>
              <w:rPr>
                <w:rFonts w:ascii="Arial" w:cs="Arial" w:eastAsia="Arial" w:hAnsi="Arial"/>
                <w:sz w:val="16"/>
                <w:szCs w:val="16"/>
                <w:b w:val="1"/>
                <w:bCs w:val="1"/>
                <w:color w:val="auto"/>
              </w:rPr>
              <w:t>June 27,</w:t>
            </w:r>
          </w:p>
        </w:tc>
      </w:tr>
      <w:tr>
        <w:trPr>
          <w:trHeight w:val="215"/>
        </w:trPr>
        <w:tc>
          <w:tcPr>
            <w:tcW w:w="80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19,695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16,628</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5,935</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Loss (Gain) on deferred compensation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 compensation expense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accounts providing (using) cash:</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Trade receivables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(15,857)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(4,079)</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868</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Accrued 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(10,159)</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Lease liabilities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w:t>
            </w:r>
          </w:p>
        </w:tc>
      </w:tr>
      <w:tr>
        <w:trPr>
          <w:trHeight w:val="213"/>
        </w:trPr>
        <w:tc>
          <w:tcPr>
            <w:tcW w:w="8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(used in) provided by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14,821</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r>
      <w:tr>
        <w:trPr>
          <w:trHeight w:val="213"/>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declared and paid</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New shares issued</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taxes paid in exchange for shares withheld</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(3,401)</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on revolving loan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3"/>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revolving loan borrowings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23,421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(10,468)</w:t>
            </w:r>
          </w:p>
        </w:tc>
      </w:tr>
      <w:tr>
        <w:trPr>
          <w:trHeight w:val="206"/>
        </w:trPr>
        <w:tc>
          <w:tcPr>
            <w:tcW w:w="806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2,499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2,224</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10"/>
        </w:trPr>
        <w:tc>
          <w:tcPr>
            <w:tcW w:w="8060" w:type="dxa"/>
            <w:vAlign w:val="bottom"/>
          </w:tcPr>
          <w:p>
            <w:pPr>
              <w:ind w:left="36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1,858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497</w:t>
            </w:r>
          </w:p>
        </w:tc>
      </w:tr>
    </w:tbl>
    <w:p>
      <w:pPr>
        <w:sectPr>
          <w:pgSz w:w="11900" w:h="16838" w:orient="portrait"/>
          <w:cols w:equalWidth="0" w:num="1">
            <w:col w:w="11240"/>
          </w:cols>
          <w:pgMar w:left="320" w:top="88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REPORTABLE SEGMENTS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Treatment</w:t>
            </w:r>
          </w:p>
        </w:tc>
        <w:tc>
          <w:tcPr>
            <w:tcW w:w="16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July 3, 2022:</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124,710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78,490</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43,343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246,543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46,749</w:t>
            </w:r>
          </w:p>
        </w:tc>
        <w:tc>
          <w:tcPr>
            <w:tcW w:w="0" w:type="dxa"/>
            <w:vAlign w:val="bottom"/>
          </w:tcPr>
          <w:p>
            <w:pPr>
              <w:spacing w:after="0"/>
              <w:rPr>
                <w:sz w:val="1"/>
                <w:szCs w:val="1"/>
                <w:color w:val="auto"/>
              </w:rPr>
            </w:pPr>
          </w:p>
        </w:tc>
      </w:tr>
      <w:tr>
        <w:trPr>
          <w:trHeight w:val="229"/>
        </w:trPr>
        <w:tc>
          <w:tcPr>
            <w:tcW w:w="554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8,701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18,885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27,864</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Three months ended June 27, 2021:</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181,241</w:t>
            </w: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38,974</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16,856</w:t>
            </w: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9,172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22,118</w:t>
            </w:r>
          </w:p>
        </w:tc>
        <w:tc>
          <w:tcPr>
            <w:tcW w:w="0" w:type="dxa"/>
            <w:vAlign w:val="bottom"/>
          </w:tcPr>
          <w:p>
            <w:pPr>
              <w:spacing w:after="0"/>
              <w:rPr>
                <w:sz w:val="1"/>
                <w:szCs w:val="1"/>
                <w:color w:val="auto"/>
              </w:rPr>
            </w:pPr>
          </w:p>
        </w:tc>
      </w:tr>
    </w:tbl>
    <w:p>
      <w:pPr>
        <w:sectPr>
          <w:pgSz w:w="11900" w:h="16838" w:orient="portrait"/>
          <w:cols w:equalWidth="0" w:num="1">
            <w:col w:w="11200"/>
          </w:cols>
          <w:pgMar w:left="340" w:top="886" w:right="359" w:bottom="1440" w:gutter="0" w:footer="0" w:header="0"/>
        </w:sectPr>
      </w:pPr>
    </w:p>
    <w:bookmarkStart w:id="10" w:name="page11"/>
    <w:bookmarkEnd w:id="10"/>
    <w:p>
      <w:pPr>
        <w:spacing w:after="0" w:line="251" w:lineRule="auto"/>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xml:space="preserve">. Various remarks in this press release constitute forward-looking statements within the meaning of Section 27A of the Securities Act of 1933, as amended, and Section 21E of the Securities Exchange Act of 1934, as amended. These statements include those relating to consumer demand for products containing our ingredients and the impacts of those demands, expectations for results in our business segments and the timing of our filings with the Securities and Exchange Commission.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changes in regulations, availability of technological improvements, the impact and severity of the COVID-19 outbreak, changes in the labor markets, our available cash for investments, changes in competition and price pressures, changes in demand and customer requirements or processes for our products, availability of product and disruptions to supplies, interruptions in production resulting from hazards, transportation limitations or other extraordinary events outside our control that may negatively impact our business or the supply chains in which we participate,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w:t>
      </w:r>
      <w:hyperlink r:id="rId11">
        <w:r>
          <w:rPr>
            <w:rFonts w:ascii="Arial" w:cs="Arial" w:eastAsia="Arial" w:hAnsi="Arial"/>
            <w:sz w:val="18"/>
            <w:szCs w:val="18"/>
            <w:u w:val="single" w:color="auto"/>
            <w:color w:val="0000FF"/>
          </w:rPr>
          <w:t>Annual Report on Form 10-K for the fiscal year ended April 3, 2022</w:t>
        </w:r>
      </w:hyperlink>
      <w:r>
        <w:rPr>
          <w:rFonts w:ascii="Arial" w:cs="Arial" w:eastAsia="Arial" w:hAnsi="Arial"/>
          <w:sz w:val="18"/>
          <w:szCs w:val="18"/>
          <w:color w:val="auto"/>
        </w:rPr>
        <w:t>,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pacing w:after="0" w:line="23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Contacts:</w:t>
        <w:tab/>
        <w:t>Jeffrey P. Oldenkamp</w:t>
      </w:r>
    </w:p>
    <w:p>
      <w:pPr>
        <w:ind w:left="1300"/>
        <w:spacing w:after="0" w:line="234" w:lineRule="auto"/>
        <w:rPr>
          <w:sz w:val="20"/>
          <w:szCs w:val="20"/>
          <w:color w:val="auto"/>
        </w:rPr>
      </w:pPr>
      <w:r>
        <w:rPr>
          <w:rFonts w:ascii="Arial" w:cs="Arial" w:eastAsia="Arial" w:hAnsi="Arial"/>
          <w:sz w:val="18"/>
          <w:szCs w:val="18"/>
          <w:color w:val="auto"/>
        </w:rPr>
        <w:t>Executive Vice President and Chief Financial Officer</w:t>
      </w:r>
    </w:p>
    <w:p>
      <w:pPr>
        <w:ind w:left="1300"/>
        <w:spacing w:after="0" w:line="235" w:lineRule="auto"/>
        <w:rPr>
          <w:sz w:val="20"/>
          <w:szCs w:val="20"/>
          <w:color w:val="auto"/>
        </w:rPr>
      </w:pPr>
      <w:r>
        <w:rPr>
          <w:rFonts w:ascii="Arial" w:cs="Arial" w:eastAsia="Arial" w:hAnsi="Arial"/>
          <w:sz w:val="18"/>
          <w:szCs w:val="18"/>
          <w:color w:val="auto"/>
        </w:rPr>
        <w:t>612/331-6910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ir@HawkinsInc.com</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ix?doc=/Archives/edgar/data/46250/000004625022000016/hwkn-202204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2022-08-04T15:45:17Z</dcterms:created>
  <dcterms:modified xsi:type="dcterms:W3CDTF">2022-08-04T15:45:17Z</dcterms:modified>
</cp:coreProperties>
</file>