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1"/>
          <w:szCs w:val="21"/>
          <w:color w:val="auto"/>
        </w:rPr>
        <w:t>UNITED STATES</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SECURITIES AND EXCHANGE COMMISSION</w:t>
      </w:r>
    </w:p>
    <w:p>
      <w:pPr>
        <w:spacing w:after="0" w:line="13"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Washington, D.C. 20549</w:t>
      </w:r>
    </w:p>
    <w:p>
      <w:pPr>
        <w:spacing w:after="0" w:line="227"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SCHEDULE 13G</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Under the Securities Exchange Act of 1934</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(Amendment No. 6)</w:t>
      </w:r>
    </w:p>
    <w:p>
      <w:pPr>
        <w:spacing w:after="0" w:line="245" w:lineRule="exact"/>
        <w:rPr>
          <w:sz w:val="24"/>
          <w:szCs w:val="24"/>
          <w:color w:val="auto"/>
        </w:rPr>
      </w:pPr>
    </w:p>
    <w:p>
      <w:pPr>
        <w:ind w:left="5020"/>
        <w:spacing w:after="0"/>
        <w:rPr>
          <w:sz w:val="20"/>
          <w:szCs w:val="20"/>
          <w:color w:val="auto"/>
        </w:rPr>
      </w:pPr>
      <w:r>
        <w:rPr>
          <w:rFonts w:ascii="Arial" w:cs="Arial" w:eastAsia="Arial" w:hAnsi="Arial"/>
          <w:sz w:val="21"/>
          <w:szCs w:val="21"/>
          <w:color w:val="auto"/>
        </w:rPr>
        <w:t>HAWKINS INC</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(Name of Issuer)</w:t>
      </w:r>
    </w:p>
    <w:p>
      <w:pPr>
        <w:spacing w:after="0" w:line="245" w:lineRule="exact"/>
        <w:rPr>
          <w:sz w:val="24"/>
          <w:szCs w:val="24"/>
          <w:color w:val="auto"/>
        </w:rPr>
      </w:pPr>
    </w:p>
    <w:p>
      <w:pPr>
        <w:ind w:left="4880"/>
        <w:spacing w:after="0"/>
        <w:rPr>
          <w:sz w:val="20"/>
          <w:szCs w:val="20"/>
          <w:color w:val="auto"/>
        </w:rPr>
      </w:pPr>
      <w:r>
        <w:rPr>
          <w:rFonts w:ascii="Arial" w:cs="Arial" w:eastAsia="Arial" w:hAnsi="Arial"/>
          <w:sz w:val="21"/>
          <w:szCs w:val="21"/>
          <w:color w:val="auto"/>
        </w:rPr>
        <w:t>COMMON STOCK</w:t>
      </w:r>
    </w:p>
    <w:p>
      <w:pPr>
        <w:spacing w:after="0" w:line="245" w:lineRule="exact"/>
        <w:rPr>
          <w:sz w:val="24"/>
          <w:szCs w:val="24"/>
          <w:color w:val="auto"/>
        </w:rPr>
      </w:pPr>
    </w:p>
    <w:p>
      <w:pPr>
        <w:ind w:left="4860"/>
        <w:spacing w:after="0"/>
        <w:rPr>
          <w:sz w:val="20"/>
          <w:szCs w:val="20"/>
          <w:color w:val="auto"/>
        </w:rPr>
      </w:pPr>
      <w:r>
        <w:rPr>
          <w:rFonts w:ascii="Arial" w:cs="Arial" w:eastAsia="Arial" w:hAnsi="Arial"/>
          <w:sz w:val="21"/>
          <w:szCs w:val="21"/>
          <w:color w:val="auto"/>
        </w:rPr>
        <w:t>(Title of Class of Securities)</w:t>
      </w:r>
    </w:p>
    <w:p>
      <w:pPr>
        <w:spacing w:after="0" w:line="245" w:lineRule="exact"/>
        <w:rPr>
          <w:sz w:val="24"/>
          <w:szCs w:val="24"/>
          <w:color w:val="auto"/>
        </w:rPr>
      </w:pPr>
    </w:p>
    <w:p>
      <w:pPr>
        <w:ind w:left="5260"/>
        <w:spacing w:after="0"/>
        <w:rPr>
          <w:sz w:val="20"/>
          <w:szCs w:val="20"/>
          <w:color w:val="auto"/>
        </w:rPr>
      </w:pPr>
      <w:r>
        <w:rPr>
          <w:rFonts w:ascii="Arial" w:cs="Arial" w:eastAsia="Arial" w:hAnsi="Arial"/>
          <w:sz w:val="21"/>
          <w:szCs w:val="21"/>
          <w:color w:val="auto"/>
        </w:rPr>
        <w:t>420261109</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(CUSIP Number)</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December 31, 2014</w:t>
      </w:r>
    </w:p>
    <w:p>
      <w:pPr>
        <w:spacing w:after="0" w:line="245" w:lineRule="exact"/>
        <w:rPr>
          <w:sz w:val="24"/>
          <w:szCs w:val="24"/>
          <w:color w:val="auto"/>
        </w:rPr>
      </w:pPr>
    </w:p>
    <w:p>
      <w:pPr>
        <w:ind w:left="3580"/>
        <w:spacing w:after="0"/>
        <w:rPr>
          <w:sz w:val="20"/>
          <w:szCs w:val="20"/>
          <w:color w:val="auto"/>
        </w:rPr>
      </w:pPr>
      <w:r>
        <w:rPr>
          <w:rFonts w:ascii="Arial" w:cs="Arial" w:eastAsia="Arial" w:hAnsi="Arial"/>
          <w:sz w:val="19"/>
          <w:szCs w:val="19"/>
          <w:color w:val="auto"/>
        </w:rPr>
        <w:t>(Date of Event which Requires Filing of Statement)</w:t>
      </w:r>
    </w:p>
    <w:p>
      <w:pPr>
        <w:spacing w:after="0" w:line="26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56" w:lineRule="exact"/>
        <w:rPr>
          <w:sz w:val="24"/>
          <w:szCs w:val="24"/>
          <w:color w:val="auto"/>
        </w:rPr>
      </w:pPr>
    </w:p>
    <w:p>
      <w:pPr>
        <w:jc w:val="both"/>
        <w:ind w:left="660" w:right="8299" w:hanging="652"/>
        <w:spacing w:after="0" w:line="597" w:lineRule="auto"/>
        <w:tabs>
          <w:tab w:leader="none" w:pos="305"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 - 1(b) Rule 13d - 1(c) Rule 13d - 1(d)</w:t>
      </w:r>
    </w:p>
    <w:p>
      <w:pPr>
        <w:sectPr>
          <w:pgSz w:w="11900" w:h="16838" w:orient="portrait"/>
          <w:cols w:equalWidth="0" w:num="1">
            <w:col w:w="10219"/>
          </w:cols>
          <w:pgMar w:left="240" w:top="234" w:right="1440" w:bottom="1440" w:gutter="0" w:footer="0" w:header="0"/>
        </w:sectPr>
      </w:pPr>
    </w:p>
    <w:bookmarkStart w:id="1" w:name="page2"/>
    <w:bookmarkEnd w:id="1"/>
    <w:p>
      <w:pPr>
        <w:spacing w:after="0"/>
        <w:rPr>
          <w:sz w:val="20"/>
          <w:szCs w:val="20"/>
          <w:color w:val="auto"/>
        </w:rPr>
      </w:pPr>
      <w:r>
        <w:rPr>
          <w:rFonts w:ascii="Arial" w:cs="Arial" w:eastAsia="Arial" w:hAnsi="Arial"/>
          <w:sz w:val="21"/>
          <w:szCs w:val="21"/>
          <w:color w:val="auto"/>
        </w:rPr>
        <w:t>1 Name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21"/>
          <w:szCs w:val="21"/>
          <w:color w:val="auto"/>
        </w:rPr>
        <w:t>52-0556948</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2 Check the Appropriate Box if a Member of a Group</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480" w:hanging="472"/>
        <w:spacing w:after="0"/>
        <w:tabs>
          <w:tab w:leader="none" w:pos="480" w:val="left"/>
        </w:tabs>
        <w:numPr>
          <w:ilvl w:val="0"/>
          <w:numId w:val="2"/>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19"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______________________________</w:t>
      </w:r>
    </w:p>
    <w:p>
      <w:pPr>
        <w:spacing w:after="0" w:line="227" w:lineRule="exact"/>
        <w:rPr>
          <w:sz w:val="20"/>
          <w:szCs w:val="20"/>
          <w:color w:val="auto"/>
        </w:rPr>
      </w:pPr>
    </w:p>
    <w:p>
      <w:pPr>
        <w:ind w:left="480" w:hanging="472"/>
        <w:spacing w:after="0"/>
        <w:tabs>
          <w:tab w:leader="none" w:pos="480" w:val="left"/>
        </w:tabs>
        <w:numPr>
          <w:ilvl w:val="0"/>
          <w:numId w:val="3"/>
        </w:numPr>
        <w:rPr>
          <w:rFonts w:ascii="Arial" w:cs="Arial" w:eastAsia="Arial" w:hAnsi="Arial"/>
          <w:sz w:val="21"/>
          <w:szCs w:val="21"/>
          <w:color w:val="auto"/>
        </w:rPr>
      </w:pPr>
      <w:r>
        <w:rPr>
          <w:rFonts w:ascii="Arial" w:cs="Arial" w:eastAsia="Arial" w:hAnsi="Arial"/>
          <w:sz w:val="21"/>
          <w:szCs w:val="21"/>
          <w:color w:val="auto"/>
        </w:rPr>
        <w:t>Citizenship or Place of Organization</w:t>
      </w:r>
    </w:p>
    <w:p>
      <w:pPr>
        <w:spacing w:after="0" w:line="244"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MARYLAND</w:t>
      </w:r>
    </w:p>
    <w:p>
      <w:pPr>
        <w:spacing w:after="0" w:line="245" w:lineRule="exact"/>
        <w:rPr>
          <w:sz w:val="20"/>
          <w:szCs w:val="20"/>
          <w:color w:val="auto"/>
        </w:rPr>
      </w:pPr>
    </w:p>
    <w:p>
      <w:pPr>
        <w:ind w:right="4319"/>
        <w:spacing w:after="0" w:line="506" w:lineRule="auto"/>
        <w:rPr>
          <w:sz w:val="20"/>
          <w:szCs w:val="20"/>
          <w:color w:val="auto"/>
        </w:rPr>
      </w:pPr>
      <w:r>
        <w:rPr>
          <w:rFonts w:ascii="Arial" w:cs="Arial" w:eastAsia="Arial" w:hAnsi="Arial"/>
          <w:sz w:val="21"/>
          <w:szCs w:val="21"/>
          <w:color w:val="auto"/>
        </w:rPr>
        <w:t>Number of Shares Beneficially Owned by Each Reporting Person With 5 Sole Voting Power* 171,980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0" w:hanging="472"/>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21"/>
          <w:szCs w:val="21"/>
          <w:color w:val="auto"/>
        </w:rPr>
        <w:t>841,511</w:t>
      </w:r>
    </w:p>
    <w:p>
      <w:pPr>
        <w:spacing w:after="0" w:line="245"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7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21"/>
          <w:szCs w:val="21"/>
          <w:color w:val="auto"/>
        </w:rPr>
        <w:t>NOT APPLICABLE</w:t>
      </w:r>
    </w:p>
    <w:p>
      <w:pPr>
        <w:spacing w:after="0" w:line="244"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21"/>
          <w:szCs w:val="21"/>
          <w:color w:val="auto"/>
        </w:rPr>
      </w:pPr>
      <w:r>
        <w:rPr>
          <w:rFonts w:ascii="Arial" w:cs="Arial" w:eastAsia="Arial" w:hAnsi="Arial"/>
          <w:sz w:val="21"/>
          <w:szCs w:val="21"/>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7.9%</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12 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IA</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*Any shares reported in Items 5 and 6 are also reported in Item 7.</w:t>
      </w:r>
    </w:p>
    <w:p>
      <w:pPr>
        <w:sectPr>
          <w:pgSz w:w="11900" w:h="16838" w:orient="portrait"/>
          <w:cols w:equalWidth="0" w:num="1">
            <w:col w:w="10219"/>
          </w:cols>
          <w:pgMar w:left="240" w:top="477" w:right="1440" w:bottom="1440" w:gutter="0" w:footer="0" w:header="0"/>
        </w:sectPr>
      </w:pPr>
    </w:p>
    <w:bookmarkStart w:id="2" w:name="page3"/>
    <w:bookmarkEnd w:id="2"/>
    <w:p>
      <w:pPr>
        <w:spacing w:after="0"/>
        <w:rPr>
          <w:sz w:val="20"/>
          <w:szCs w:val="20"/>
          <w:color w:val="auto"/>
        </w:rPr>
      </w:pPr>
      <w:r>
        <w:rPr>
          <w:rFonts w:ascii="Arial" w:cs="Arial" w:eastAsia="Arial" w:hAnsi="Arial"/>
          <w:sz w:val="21"/>
          <w:szCs w:val="21"/>
          <w:color w:val="auto"/>
        </w:rPr>
        <w:t>1 Name of Reporting Person</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1"/>
          <w:szCs w:val="21"/>
          <w:color w:val="auto"/>
        </w:rPr>
        <w:t>T. ROWE PRICE SMALL-CAP VALUE FUND, INC.</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21"/>
          <w:szCs w:val="21"/>
          <w:color w:val="auto"/>
        </w:rPr>
        <w:t>52-1575325</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2 Check the Appropriate Box if a Member of a Group</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480" w:hanging="472"/>
        <w:spacing w:after="0"/>
        <w:tabs>
          <w:tab w:leader="none" w:pos="480" w:val="left"/>
        </w:tabs>
        <w:numPr>
          <w:ilvl w:val="0"/>
          <w:numId w:val="6"/>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19"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______________________________</w:t>
      </w:r>
    </w:p>
    <w:p>
      <w:pPr>
        <w:spacing w:after="0" w:line="227" w:lineRule="exact"/>
        <w:rPr>
          <w:sz w:val="20"/>
          <w:szCs w:val="20"/>
          <w:color w:val="auto"/>
        </w:rPr>
      </w:pPr>
    </w:p>
    <w:p>
      <w:pPr>
        <w:ind w:left="480" w:hanging="472"/>
        <w:spacing w:after="0"/>
        <w:tabs>
          <w:tab w:leader="none" w:pos="480" w:val="left"/>
        </w:tabs>
        <w:numPr>
          <w:ilvl w:val="0"/>
          <w:numId w:val="7"/>
        </w:numPr>
        <w:rPr>
          <w:rFonts w:ascii="Arial" w:cs="Arial" w:eastAsia="Arial" w:hAnsi="Arial"/>
          <w:sz w:val="21"/>
          <w:szCs w:val="21"/>
          <w:color w:val="auto"/>
        </w:rPr>
      </w:pPr>
      <w:r>
        <w:rPr>
          <w:rFonts w:ascii="Arial" w:cs="Arial" w:eastAsia="Arial" w:hAnsi="Arial"/>
          <w:sz w:val="21"/>
          <w:szCs w:val="21"/>
          <w:color w:val="auto"/>
        </w:rPr>
        <w:t>Citizenship or Place of Organization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Maryland</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Number of Shares Beneficially Owned by Each Reporting Person With</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5 Sole Voting Power* 662,500</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6 Shared Voting Power* -0-</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7 Sole Dispositive Power* </w:t>
      </w:r>
      <w:r>
        <w:rPr>
          <w:rFonts w:ascii="Arial" w:cs="Arial" w:eastAsia="Arial" w:hAnsi="Arial"/>
          <w:sz w:val="20"/>
          <w:szCs w:val="20"/>
          <w:color w:val="auto"/>
        </w:rPr>
        <w:t>-0-</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8 Shared Dispositive Power -0-</w:t>
      </w:r>
    </w:p>
    <w:p>
      <w:pPr>
        <w:spacing w:after="0" w:line="245" w:lineRule="exact"/>
        <w:rPr>
          <w:sz w:val="20"/>
          <w:szCs w:val="20"/>
          <w:color w:val="auto"/>
        </w:rPr>
      </w:pPr>
    </w:p>
    <w:p>
      <w:pPr>
        <w:ind w:left="480" w:right="5340" w:hanging="472"/>
        <w:spacing w:after="0" w:line="483" w:lineRule="auto"/>
        <w:tabs>
          <w:tab w:leader="none" w:pos="478" w:val="left"/>
        </w:tabs>
        <w:numPr>
          <w:ilvl w:val="0"/>
          <w:numId w:val="8"/>
        </w:numPr>
        <w:rPr>
          <w:rFonts w:ascii="Arial" w:cs="Arial" w:eastAsia="Arial" w:hAnsi="Arial"/>
          <w:sz w:val="21"/>
          <w:szCs w:val="21"/>
          <w:color w:val="auto"/>
        </w:rPr>
      </w:pPr>
      <w:r>
        <w:rPr>
          <w:rFonts w:ascii="Arial" w:cs="Arial" w:eastAsia="Arial" w:hAnsi="Arial"/>
          <w:sz w:val="21"/>
          <w:szCs w:val="21"/>
          <w:color w:val="auto"/>
        </w:rPr>
        <w:t>Aggregate Amount Beneficially Owned by Each Reporting Person 662,500</w:t>
      </w:r>
    </w:p>
    <w:p>
      <w:pPr>
        <w:ind w:left="480" w:hanging="472"/>
        <w:spacing w:after="0"/>
        <w:tabs>
          <w:tab w:leader="none" w:pos="480" w:val="left"/>
        </w:tabs>
        <w:numPr>
          <w:ilvl w:val="0"/>
          <w:numId w:val="9"/>
        </w:numPr>
        <w:rPr>
          <w:rFonts w:ascii="Arial" w:cs="Arial" w:eastAsia="Arial" w:hAnsi="Arial"/>
          <w:sz w:val="21"/>
          <w:szCs w:val="21"/>
          <w:color w:val="auto"/>
        </w:rPr>
      </w:pPr>
      <w:r>
        <w:rPr>
          <w:rFonts w:ascii="Arial" w:cs="Arial" w:eastAsia="Arial" w:hAnsi="Arial"/>
          <w:sz w:val="21"/>
          <w:szCs w:val="21"/>
          <w:color w:val="auto"/>
        </w:rPr>
        <w:t>Check Box if the Aggregate Amount in Row (9) Excludes Certain Shares</w:t>
      </w:r>
    </w:p>
    <w:p>
      <w:pPr>
        <w:spacing w:after="0" w:line="244"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NOT APPLICABLE</w:t>
      </w:r>
    </w:p>
    <w:p>
      <w:pPr>
        <w:spacing w:after="0" w:line="244" w:lineRule="exact"/>
        <w:rPr>
          <w:rFonts w:ascii="Arial" w:cs="Arial" w:eastAsia="Arial" w:hAnsi="Arial"/>
          <w:sz w:val="21"/>
          <w:szCs w:val="21"/>
          <w:color w:val="auto"/>
        </w:rPr>
      </w:pPr>
    </w:p>
    <w:p>
      <w:pPr>
        <w:ind w:left="260" w:hanging="252"/>
        <w:spacing w:after="0"/>
        <w:tabs>
          <w:tab w:leader="none" w:pos="260" w:val="left"/>
        </w:tabs>
        <w:numPr>
          <w:ilvl w:val="0"/>
          <w:numId w:val="9"/>
        </w:numPr>
        <w:rPr>
          <w:rFonts w:ascii="Arial" w:cs="Arial" w:eastAsia="Arial" w:hAnsi="Arial"/>
          <w:sz w:val="21"/>
          <w:szCs w:val="21"/>
          <w:color w:val="auto"/>
        </w:rPr>
      </w:pPr>
      <w:r>
        <w:rPr>
          <w:rFonts w:ascii="Arial" w:cs="Arial" w:eastAsia="Arial" w:hAnsi="Arial"/>
          <w:sz w:val="21"/>
          <w:szCs w:val="21"/>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6.2%</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12 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IV</w:t>
      </w:r>
    </w:p>
    <w:p>
      <w:pPr>
        <w:spacing w:after="0" w:line="20"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*The aggregate amount reported on this page is also included in the aggregate amount reported by T. Rowe Price Associates, Inc. on this Schedule 13G.</w:t>
      </w:r>
    </w:p>
    <w:p>
      <w:pPr>
        <w:sectPr>
          <w:pgSz w:w="11900" w:h="16838" w:orient="portrait"/>
          <w:cols w:equalWidth="0" w:num="1">
            <w:col w:w="11340"/>
          </w:cols>
          <w:pgMar w:left="240" w:top="477" w:right="319" w:bottom="1440" w:gutter="0" w:footer="0" w:header="0"/>
        </w:sectPr>
      </w:pPr>
    </w:p>
    <w:bookmarkStart w:id="3" w:name="page4"/>
    <w:bookmarkEnd w:id="3"/>
    <w:p>
      <w:pPr>
        <w:spacing w:after="0"/>
        <w:rPr>
          <w:sz w:val="20"/>
          <w:szCs w:val="20"/>
          <w:color w:val="auto"/>
        </w:rPr>
      </w:pPr>
      <w:r>
        <w:rPr>
          <w:rFonts w:ascii="Arial" w:cs="Arial" w:eastAsia="Arial" w:hAnsi="Arial"/>
          <w:sz w:val="21"/>
          <w:szCs w:val="21"/>
          <w:color w:val="auto"/>
        </w:rPr>
        <w:t>Item 1(a) Name of Issuer:</w:t>
      </w:r>
    </w:p>
    <w:p>
      <w:pPr>
        <w:spacing w:after="0" w:line="20" w:lineRule="exact"/>
        <w:rPr>
          <w:sz w:val="20"/>
          <w:szCs w:val="20"/>
          <w:color w:val="auto"/>
        </w:rPr>
      </w:pPr>
    </w:p>
    <w:p>
      <w:pPr>
        <w:ind w:left="1380"/>
        <w:spacing w:after="0"/>
        <w:rPr>
          <w:sz w:val="20"/>
          <w:szCs w:val="20"/>
          <w:color w:val="auto"/>
        </w:rPr>
      </w:pPr>
      <w:r>
        <w:rPr>
          <w:rFonts w:ascii="Arial" w:cs="Arial" w:eastAsia="Arial" w:hAnsi="Arial"/>
          <w:sz w:val="21"/>
          <w:szCs w:val="21"/>
          <w:color w:val="auto"/>
        </w:rPr>
        <w:t>Reference is made to page 1 of this Schedule 13G</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Item 1(b) Address of Issuer's Principal Executive Offices:</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3100 E HENNEPIN AVE, MINNEAPOLIS, MN 55413</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2(a) Name of Person(s) Filing:</w:t>
      </w:r>
    </w:p>
    <w:p>
      <w:pPr>
        <w:spacing w:after="0" w:line="245" w:lineRule="exact"/>
        <w:rPr>
          <w:sz w:val="20"/>
          <w:szCs w:val="20"/>
          <w:color w:val="auto"/>
        </w:rPr>
      </w:pPr>
    </w:p>
    <w:p>
      <w:pPr>
        <w:ind w:left="1680" w:hanging="294"/>
        <w:spacing w:after="0"/>
        <w:tabs>
          <w:tab w:leader="none" w:pos="16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 Rowe Price Associates, Inc. ("Price Associates")</w:t>
      </w:r>
    </w:p>
    <w:p>
      <w:pPr>
        <w:spacing w:after="0" w:line="244" w:lineRule="exact"/>
        <w:rPr>
          <w:rFonts w:ascii="Arial" w:cs="Arial" w:eastAsia="Arial" w:hAnsi="Arial"/>
          <w:sz w:val="21"/>
          <w:szCs w:val="21"/>
          <w:color w:val="auto"/>
        </w:rPr>
      </w:pPr>
    </w:p>
    <w:p>
      <w:pPr>
        <w:ind w:left="1680" w:hanging="294"/>
        <w:spacing w:after="0"/>
        <w:tabs>
          <w:tab w:leader="none" w:pos="16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 Rowe Price Small-Cap Value Fund, Inc.</w:t>
      </w:r>
    </w:p>
    <w:p>
      <w:pPr>
        <w:spacing w:after="0" w:line="245" w:lineRule="exact"/>
        <w:rPr>
          <w:sz w:val="20"/>
          <w:szCs w:val="20"/>
          <w:color w:val="auto"/>
        </w:rPr>
      </w:pPr>
    </w:p>
    <w:p>
      <w:pPr>
        <w:ind w:left="1300" w:hanging="1296"/>
        <w:spacing w:after="0" w:line="264" w:lineRule="auto"/>
        <w:rPr>
          <w:sz w:val="20"/>
          <w:szCs w:val="20"/>
          <w:color w:val="auto"/>
        </w:rPr>
      </w:pPr>
      <w:r>
        <w:rPr>
          <w:rFonts w:ascii="Arial" w:cs="Arial" w:eastAsia="Arial" w:hAnsi="Arial"/>
          <w:sz w:val="21"/>
          <w:szCs w:val="21"/>
          <w:color w:val="auto"/>
        </w:rPr>
        <w:t>X Attached as Exhibit A is a copy of an agreement between the Persons Filing (as specified hereinabove) that this Schedule 13G is being filed on behalf of each of them.</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2(b) Address of Principal Business Office:</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100 E. Pratt Street, Baltimore, Maryland 21202</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2(c) Citizenship or Place of Organization:</w:t>
      </w:r>
    </w:p>
    <w:p>
      <w:pPr>
        <w:spacing w:after="0" w:line="245" w:lineRule="exact"/>
        <w:rPr>
          <w:sz w:val="20"/>
          <w:szCs w:val="20"/>
          <w:color w:val="auto"/>
        </w:rPr>
      </w:pPr>
    </w:p>
    <w:p>
      <w:pPr>
        <w:ind w:left="1680" w:hanging="290"/>
        <w:spacing w:after="0"/>
        <w:tabs>
          <w:tab w:leader="none" w:pos="16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Maryland</w:t>
      </w:r>
    </w:p>
    <w:p>
      <w:pPr>
        <w:spacing w:after="0" w:line="244" w:lineRule="exact"/>
        <w:rPr>
          <w:rFonts w:ascii="Arial" w:cs="Arial" w:eastAsia="Arial" w:hAnsi="Arial"/>
          <w:sz w:val="21"/>
          <w:szCs w:val="21"/>
          <w:color w:val="auto"/>
        </w:rPr>
      </w:pPr>
    </w:p>
    <w:p>
      <w:pPr>
        <w:ind w:left="1680" w:hanging="290"/>
        <w:spacing w:after="0"/>
        <w:tabs>
          <w:tab w:leader="none" w:pos="16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380" w:hanging="1372"/>
        <w:spacing w:after="0"/>
        <w:tabs>
          <w:tab w:leader="none" w:pos="13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Investment Adviser registered under Section 203 of the Investment Advisers Act of 1940</w:t>
      </w:r>
    </w:p>
    <w:p>
      <w:pPr>
        <w:spacing w:after="0" w:line="244" w:lineRule="exact"/>
        <w:rPr>
          <w:rFonts w:ascii="Arial" w:cs="Arial" w:eastAsia="Arial" w:hAnsi="Arial"/>
          <w:sz w:val="21"/>
          <w:szCs w:val="21"/>
          <w:color w:val="auto"/>
        </w:rPr>
      </w:pPr>
    </w:p>
    <w:p>
      <w:pPr>
        <w:ind w:right="2580" w:firstLine="8"/>
        <w:spacing w:after="0" w:line="543" w:lineRule="auto"/>
        <w:tabs>
          <w:tab w:leader="none" w:pos="1378"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Investment Company registered under Section 8 of the Investment Company Act of 1940 Item 4 Reference is made to Items 5-11 on the preceding pages of this Schedule 13G.</w:t>
      </w:r>
    </w:p>
    <w:p>
      <w:pPr>
        <w:sectPr>
          <w:pgSz w:w="11900" w:h="16838" w:orient="portrait"/>
          <w:cols w:equalWidth="0" w:num="1">
            <w:col w:w="11360"/>
          </w:cols>
          <w:pgMar w:left="240" w:top="477" w:right="299" w:bottom="1440" w:gutter="0" w:footer="0" w:header="0"/>
        </w:sectPr>
      </w:pPr>
    </w:p>
    <w:bookmarkStart w:id="4" w:name="page5"/>
    <w:bookmarkEnd w:id="4"/>
    <w:p>
      <w:pPr>
        <w:spacing w:after="0"/>
        <w:rPr>
          <w:sz w:val="20"/>
          <w:szCs w:val="20"/>
          <w:color w:val="auto"/>
        </w:rPr>
      </w:pPr>
      <w:r>
        <w:rPr>
          <w:rFonts w:ascii="Arial" w:cs="Arial" w:eastAsia="Arial" w:hAnsi="Arial"/>
          <w:sz w:val="21"/>
          <w:szCs w:val="21"/>
          <w:color w:val="auto"/>
        </w:rPr>
        <w:t>Item 5 Ownership of Five Percent or Less of a Class.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X Not Applicable.</w:t>
      </w:r>
    </w:p>
    <w:p>
      <w:pPr>
        <w:spacing w:after="0" w:line="245" w:lineRule="exact"/>
        <w:rPr>
          <w:sz w:val="20"/>
          <w:szCs w:val="20"/>
          <w:color w:val="auto"/>
        </w:rPr>
      </w:pPr>
    </w:p>
    <w:p>
      <w:pPr>
        <w:ind w:left="1040" w:right="180"/>
        <w:spacing w:after="0" w:line="264" w:lineRule="auto"/>
        <w:rPr>
          <w:sz w:val="20"/>
          <w:szCs w:val="20"/>
          <w:color w:val="auto"/>
        </w:rPr>
      </w:pPr>
      <w:r>
        <w:rPr>
          <w:rFonts w:ascii="Arial" w:cs="Arial" w:eastAsia="Arial" w:hAnsi="Arial"/>
          <w:sz w:val="21"/>
          <w:szCs w:val="21"/>
          <w:color w:val="auto"/>
        </w:rPr>
        <w:t>This statement is being filed to report the fact that, as of the date of this report, the reporting person(s) has (have) ceased to be the beneficial owner of more than five percent of the class of securities.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6 Ownership of More than Five Percent on Behalf of Another Person</w:t>
      </w:r>
    </w:p>
    <w:p>
      <w:pPr>
        <w:spacing w:after="0" w:line="245" w:lineRule="exact"/>
        <w:rPr>
          <w:sz w:val="20"/>
          <w:szCs w:val="20"/>
          <w:color w:val="auto"/>
        </w:rPr>
      </w:pPr>
    </w:p>
    <w:p>
      <w:pPr>
        <w:ind w:left="1300" w:hanging="887"/>
        <w:spacing w:after="0" w:line="253" w:lineRule="auto"/>
        <w:tabs>
          <w:tab w:leader="none" w:pos="13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8" w:lineRule="exact"/>
        <w:rPr>
          <w:rFonts w:ascii="Arial" w:cs="Arial" w:eastAsia="Arial" w:hAnsi="Arial"/>
          <w:sz w:val="21"/>
          <w:szCs w:val="21"/>
          <w:color w:val="auto"/>
        </w:rPr>
      </w:pPr>
    </w:p>
    <w:p>
      <w:pPr>
        <w:ind w:left="1300" w:right="280"/>
        <w:spacing w:after="0" w:line="249" w:lineRule="auto"/>
        <w:rPr>
          <w:rFonts w:ascii="Arial" w:cs="Arial" w:eastAsia="Arial" w:hAnsi="Arial"/>
          <w:sz w:val="21"/>
          <w:szCs w:val="21"/>
          <w:color w:val="auto"/>
        </w:rPr>
      </w:pPr>
      <w:r>
        <w:rPr>
          <w:rFonts w:ascii="Arial" w:cs="Arial" w:eastAsia="Arial" w:hAnsi="Arial"/>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13" w:lineRule="exact"/>
        <w:rPr>
          <w:rFonts w:ascii="Arial" w:cs="Arial" w:eastAsia="Arial" w:hAnsi="Arial"/>
          <w:sz w:val="21"/>
          <w:szCs w:val="21"/>
          <w:color w:val="auto"/>
        </w:rPr>
      </w:pPr>
    </w:p>
    <w:p>
      <w:pPr>
        <w:jc w:val="both"/>
        <w:ind w:left="1300" w:right="340"/>
        <w:spacing w:after="0" w:line="271" w:lineRule="auto"/>
        <w:rPr>
          <w:rFonts w:ascii="Arial" w:cs="Arial" w:eastAsia="Arial" w:hAnsi="Arial"/>
          <w:sz w:val="21"/>
          <w:szCs w:val="21"/>
          <w:color w:val="auto"/>
        </w:rPr>
      </w:pPr>
      <w:r>
        <w:rPr>
          <w:rFonts w:ascii="Arial" w:cs="Arial" w:eastAsia="Arial" w:hAnsi="Arial"/>
          <w:sz w:val="20"/>
          <w:szCs w:val="20"/>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93" w:lineRule="exact"/>
        <w:rPr>
          <w:rFonts w:ascii="Arial" w:cs="Arial" w:eastAsia="Arial" w:hAnsi="Arial"/>
          <w:sz w:val="21"/>
          <w:szCs w:val="21"/>
          <w:color w:val="auto"/>
        </w:rPr>
      </w:pPr>
    </w:p>
    <w:p>
      <w:pPr>
        <w:ind w:left="1300" w:hanging="887"/>
        <w:spacing w:after="0" w:line="249" w:lineRule="auto"/>
        <w:tabs>
          <w:tab w:leader="none" w:pos="13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3" w:lineRule="exact"/>
        <w:rPr>
          <w:sz w:val="20"/>
          <w:szCs w:val="20"/>
          <w:color w:val="auto"/>
        </w:rPr>
      </w:pPr>
    </w:p>
    <w:p>
      <w:pPr>
        <w:ind w:left="1040" w:right="680" w:hanging="1040"/>
        <w:spacing w:after="0" w:line="264" w:lineRule="auto"/>
        <w:rPr>
          <w:sz w:val="20"/>
          <w:szCs w:val="20"/>
          <w:color w:val="auto"/>
        </w:rPr>
      </w:pPr>
      <w:r>
        <w:rPr>
          <w:rFonts w:ascii="Arial" w:cs="Arial" w:eastAsia="Arial" w:hAnsi="Arial"/>
          <w:sz w:val="21"/>
          <w:szCs w:val="21"/>
          <w:color w:val="auto"/>
        </w:rPr>
        <w:t>Item 7 Identification and Classification of the Subsidiary Which Acquired the Security Being Reported on By the Parent Holding Company.</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8 Identification and Classification of Members of the Group.</w:t>
      </w:r>
    </w:p>
    <w:p>
      <w:pPr>
        <w:spacing w:after="0" w:line="245"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9 Notice of Dissolution of Group.</w:t>
      </w:r>
    </w:p>
    <w:p>
      <w:pPr>
        <w:spacing w:after="0" w:line="245" w:lineRule="exact"/>
        <w:rPr>
          <w:sz w:val="20"/>
          <w:szCs w:val="20"/>
          <w:color w:val="auto"/>
        </w:rPr>
      </w:pPr>
    </w:p>
    <w:p>
      <w:pPr>
        <w:ind w:left="1060"/>
        <w:spacing w:after="0"/>
        <w:rPr>
          <w:sz w:val="20"/>
          <w:szCs w:val="20"/>
          <w:color w:val="auto"/>
        </w:rPr>
      </w:pPr>
      <w:r>
        <w:rPr>
          <w:rFonts w:ascii="Arial" w:cs="Arial" w:eastAsia="Arial" w:hAnsi="Arial"/>
          <w:sz w:val="21"/>
          <w:szCs w:val="21"/>
          <w:color w:val="auto"/>
        </w:rPr>
        <w:t>Not Applicable.</w:t>
      </w:r>
    </w:p>
    <w:p>
      <w:pPr>
        <w:sectPr>
          <w:pgSz w:w="11900" w:h="16838" w:orient="portrait"/>
          <w:cols w:equalWidth="0" w:num="1">
            <w:col w:w="11400"/>
          </w:cols>
          <w:pgMar w:left="240" w:top="477" w:right="259" w:bottom="1440" w:gutter="0" w:footer="0" w:header="0"/>
        </w:sectPr>
      </w:pPr>
    </w:p>
    <w:bookmarkStart w:id="5" w:name="page6"/>
    <w:bookmarkEnd w:id="5"/>
    <w:p>
      <w:pPr>
        <w:spacing w:after="0"/>
        <w:rPr>
          <w:sz w:val="20"/>
          <w:szCs w:val="20"/>
          <w:color w:val="auto"/>
        </w:rPr>
      </w:pPr>
      <w:r>
        <w:rPr>
          <w:rFonts w:ascii="Arial" w:cs="Arial" w:eastAsia="Arial" w:hAnsi="Arial"/>
          <w:sz w:val="21"/>
          <w:szCs w:val="21"/>
          <w:color w:val="auto"/>
        </w:rPr>
        <w:t>Item 10 Certification.</w:t>
      </w:r>
    </w:p>
    <w:p>
      <w:pPr>
        <w:spacing w:after="0" w:line="245" w:lineRule="exact"/>
        <w:rPr>
          <w:sz w:val="20"/>
          <w:szCs w:val="20"/>
          <w:color w:val="auto"/>
        </w:rPr>
      </w:pPr>
    </w:p>
    <w:p>
      <w:pPr>
        <w:ind w:left="1260"/>
        <w:spacing w:after="0" w:line="260"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Signature.</w:t>
      </w:r>
    </w:p>
    <w:p>
      <w:pPr>
        <w:spacing w:after="0" w:line="245" w:lineRule="exact"/>
        <w:rPr>
          <w:sz w:val="20"/>
          <w:szCs w:val="20"/>
          <w:color w:val="auto"/>
        </w:rPr>
      </w:pPr>
    </w:p>
    <w:p>
      <w:pPr>
        <w:ind w:left="1260" w:right="680"/>
        <w:spacing w:after="0" w:line="264" w:lineRule="auto"/>
        <w:rPr>
          <w:sz w:val="20"/>
          <w:szCs w:val="20"/>
          <w:color w:val="auto"/>
        </w:rPr>
      </w:pPr>
      <w:r>
        <w:rPr>
          <w:rFonts w:ascii="Arial" w:cs="Arial" w:eastAsia="Arial" w:hAnsi="Arial"/>
          <w:sz w:val="21"/>
          <w:szCs w:val="21"/>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17,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rPr>
        <w:t>T. ROWE PRICE SMALL-CAP VALUE</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21"/>
          <w:szCs w:val="21"/>
          <w:color w:val="auto"/>
        </w:rPr>
        <w:t>FUND,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17,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color w:val="auto"/>
        </w:rPr>
        <w:t>12/31/2014</w:t>
      </w:r>
    </w:p>
    <w:p>
      <w:pPr>
        <w:sectPr>
          <w:pgSz w:w="11900" w:h="16838" w:orient="portrait"/>
          <w:cols w:equalWidth="0" w:num="1">
            <w:col w:w="11360"/>
          </w:cols>
          <w:pgMar w:left="240" w:top="477" w:right="299" w:bottom="1440" w:gutter="0" w:footer="0" w:header="0"/>
        </w:sectPr>
      </w:pPr>
    </w:p>
    <w:bookmarkStart w:id="6" w:name="page7"/>
    <w:bookmarkEnd w:id="6"/>
    <w:p>
      <w:pPr>
        <w:spacing w:after="0"/>
        <w:rPr>
          <w:sz w:val="20"/>
          <w:szCs w:val="20"/>
          <w:color w:val="auto"/>
        </w:rPr>
      </w:pPr>
      <w:r>
        <w:rPr>
          <w:rFonts w:ascii="Arial" w:cs="Arial" w:eastAsia="Arial" w:hAnsi="Arial"/>
          <w:sz w:val="21"/>
          <w:szCs w:val="21"/>
          <w:color w:val="auto"/>
        </w:rPr>
        <w:t>EXHIBIT A</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color w:val="auto"/>
        </w:rPr>
        <w:t>AGREEMENT</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JOINT FILING OF SCHEDULE 13G</w:t>
      </w:r>
    </w:p>
    <w:p>
      <w:pPr>
        <w:spacing w:after="0" w:line="200" w:lineRule="exact"/>
        <w:rPr>
          <w:sz w:val="20"/>
          <w:szCs w:val="20"/>
          <w:color w:val="auto"/>
        </w:rPr>
      </w:pPr>
    </w:p>
    <w:p>
      <w:pPr>
        <w:spacing w:after="0" w:line="288"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Price Associates, Inc. (an investment adviser registered under the Investment Advisers Act of 1940), and T. Rowe Price Small-Cap Value Fund, Inc., 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13" w:lineRule="exact"/>
        <w:rPr>
          <w:sz w:val="20"/>
          <w:szCs w:val="20"/>
          <w:color w:val="auto"/>
        </w:rPr>
      </w:pPr>
    </w:p>
    <w:p>
      <w:pPr>
        <w:ind w:right="20" w:firstLine="734"/>
        <w:spacing w:after="0" w:line="249" w:lineRule="auto"/>
        <w:rPr>
          <w:sz w:val="20"/>
          <w:szCs w:val="20"/>
          <w:color w:val="auto"/>
        </w:rPr>
      </w:pPr>
      <w:r>
        <w:rPr>
          <w:rFonts w:ascii="Arial" w:cs="Arial" w:eastAsia="Arial" w:hAnsi="Arial"/>
          <w:sz w:val="21"/>
          <w:szCs w:val="21"/>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13" w:lineRule="exact"/>
        <w:rPr>
          <w:sz w:val="20"/>
          <w:szCs w:val="20"/>
          <w:color w:val="auto"/>
        </w:rPr>
      </w:pPr>
    </w:p>
    <w:p>
      <w:pPr>
        <w:ind w:right="140" w:firstLine="734"/>
        <w:spacing w:after="0" w:line="264" w:lineRule="auto"/>
        <w:rPr>
          <w:sz w:val="20"/>
          <w:szCs w:val="20"/>
          <w:color w:val="auto"/>
        </w:rPr>
      </w:pPr>
      <w:r>
        <w:rPr>
          <w:rFonts w:ascii="Arial" w:cs="Arial" w:eastAsia="Arial" w:hAnsi="Arial"/>
          <w:sz w:val="21"/>
          <w:szCs w:val="21"/>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17,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rPr>
        <w:t>T. ROWE PRICE SMALL-CAP VALUE</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21"/>
          <w:szCs w:val="21"/>
          <w:color w:val="auto"/>
        </w:rPr>
        <w:t>FUND,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17,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sectPr>
      <w:pgSz w:w="11900" w:h="16838" w:orient="portrait"/>
      <w:cols w:equalWidth="0" w:num="1">
        <w:col w:w="11400"/>
      </w:cols>
      <w:pgMar w:left="240" w:top="47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0"/>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4"/>
      <w:numFmt w:val="bullet"/>
      <w:start w:val="1"/>
    </w:lvl>
  </w:abstractNum>
  <w:abstractNum w:abstractNumId="3">
    <w:nsid w:val="515F007C"/>
    <w:multiLevelType w:val="hybridMultilevel"/>
    <w:lvl w:ilvl="0">
      <w:lvlJc w:val="left"/>
      <w:lvlText w:val="9"/>
      <w:numFmt w:val="bullet"/>
      <w:start w:val="1"/>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1"/>
      <w:numFmt w:val="decimal"/>
      <w:start w:val="10"/>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X"/>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2019-12-05T11:14:39Z</dcterms:created>
  <dcterms:modified xsi:type="dcterms:W3CDTF">2019-12-05T11:14:39Z</dcterms:modified>
</cp:coreProperties>
</file>