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332740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HAWKINS,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420261109</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80" w:hanging="216"/>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80" w:hanging="216"/>
        <w:spacing w:after="0"/>
        <w:tabs>
          <w:tab w:leader="none" w:pos="68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680" w:hanging="216"/>
        <w:spacing w:after="0"/>
        <w:tabs>
          <w:tab w:leader="none" w:pos="68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in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18"/>
          <w:szCs w:val="18"/>
          <w:color w:val="auto"/>
        </w:rPr>
      </w:pPr>
    </w:p>
    <w:p>
      <w:pPr>
        <w:ind w:left="460"/>
        <w:spacing w:after="0" w:line="264" w:lineRule="auto"/>
        <w:rPr>
          <w:rFonts w:ascii="MS PGothic" w:cs="MS PGothic" w:eastAsia="MS PGothic" w:hAnsi="MS PGothic"/>
          <w:sz w:val="18"/>
          <w:szCs w:val="18"/>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as amended (the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CUSIP No. 420261109</w:t>
      </w:r>
    </w:p>
    <w:p>
      <w:pPr>
        <w:spacing w:after="0" w:line="171" w:lineRule="exact"/>
        <w:rPr>
          <w:sz w:val="20"/>
          <w:szCs w:val="20"/>
          <w:color w:val="auto"/>
        </w:rPr>
      </w:pPr>
    </w:p>
    <w:p>
      <w:pPr>
        <w:ind w:left="260"/>
        <w:spacing w:after="0"/>
        <w:tabs>
          <w:tab w:leader="none" w:pos="5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auto"/>
        </w:rPr>
        <w:t>Bank of Montreal</w:t>
      </w:r>
    </w:p>
    <w:p>
      <w:pPr>
        <w:spacing w:after="0" w:line="30" w:lineRule="exact"/>
        <w:rPr>
          <w:sz w:val="20"/>
          <w:szCs w:val="20"/>
          <w:color w:val="auto"/>
        </w:rPr>
      </w:pPr>
    </w:p>
    <w:p>
      <w:pPr>
        <w:ind w:left="260"/>
        <w:spacing w:after="0"/>
        <w:tabs>
          <w:tab w:leader="none" w:pos="5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Check the Appropriate Box if a Member of a Group</w:t>
      </w:r>
    </w:p>
    <w:p>
      <w:pPr>
        <w:spacing w:after="0" w:line="23" w:lineRule="exact"/>
        <w:rPr>
          <w:sz w:val="20"/>
          <w:szCs w:val="20"/>
          <w:color w:val="auto"/>
        </w:rPr>
      </w:pPr>
    </w:p>
    <w:p>
      <w:pPr>
        <w:ind w:left="560"/>
        <w:spacing w:after="0" w:line="207" w:lineRule="exact"/>
        <w:tabs>
          <w:tab w:leader="none" w:pos="13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5" w:lineRule="exact"/>
        <w:rPr>
          <w:sz w:val="20"/>
          <w:szCs w:val="20"/>
          <w:color w:val="auto"/>
        </w:rPr>
      </w:pPr>
    </w:p>
    <w:p>
      <w:pPr>
        <w:ind w:left="560" w:hanging="305"/>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60" w:hanging="305"/>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auto"/>
        </w:rPr>
        <w:t>Canada</w:t>
      </w:r>
    </w:p>
    <w:p>
      <w:pPr>
        <w:spacing w:after="0" w:line="30"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99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2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41"/>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tcBorders>
          </w:tcPr>
          <w:p>
            <w:pPr>
              <w:spacing w:after="0"/>
              <w:rPr>
                <w:sz w:val="3"/>
                <w:szCs w:val="3"/>
                <w:color w:val="auto"/>
              </w:rPr>
            </w:pPr>
          </w:p>
        </w:tc>
        <w:tc>
          <w:tcPr>
            <w:tcW w:w="9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920" w:type="dxa"/>
            <w:vAlign w:val="bottom"/>
            <w:vMerge w:val="continue"/>
          </w:tcPr>
          <w:p>
            <w:pPr>
              <w:spacing w:after="0"/>
              <w:rPr>
                <w:sz w:val="13"/>
                <w:szCs w:val="13"/>
                <w:color w:val="auto"/>
              </w:rPr>
            </w:pPr>
          </w:p>
        </w:tc>
        <w:tc>
          <w:tcPr>
            <w:tcW w:w="420" w:type="dxa"/>
            <w:vAlign w:val="bottom"/>
          </w:tcPr>
          <w:p>
            <w:pPr>
              <w:jc w:val="right"/>
              <w:spacing w:after="0" w:line="156" w:lineRule="exact"/>
              <w:rPr>
                <w:sz w:val="20"/>
                <w:szCs w:val="20"/>
                <w:color w:val="auto"/>
              </w:rPr>
            </w:pPr>
            <w:r>
              <w:rPr>
                <w:rFonts w:ascii="Arial" w:cs="Arial" w:eastAsia="Arial" w:hAnsi="Arial"/>
                <w:sz w:val="18"/>
                <w:szCs w:val="18"/>
                <w:color w:val="auto"/>
              </w:rPr>
              <w:t>6)</w:t>
            </w:r>
          </w:p>
        </w:tc>
        <w:tc>
          <w:tcPr>
            <w:tcW w:w="990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2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20" w:type="dxa"/>
            <w:vAlign w:val="bottom"/>
          </w:tcPr>
          <w:p>
            <w:pPr>
              <w:spacing w:after="0"/>
              <w:rPr>
                <w:sz w:val="23"/>
                <w:szCs w:val="23"/>
                <w:color w:val="auto"/>
              </w:rPr>
            </w:pPr>
          </w:p>
        </w:tc>
        <w:tc>
          <w:tcPr>
            <w:tcW w:w="9900" w:type="dxa"/>
            <w:vAlign w:val="bottom"/>
          </w:tcPr>
          <w:p>
            <w:pPr>
              <w:ind w:left="80"/>
              <w:spacing w:after="0"/>
              <w:rPr>
                <w:sz w:val="20"/>
                <w:szCs w:val="20"/>
                <w:color w:val="auto"/>
              </w:rPr>
            </w:pPr>
            <w:r>
              <w:rPr>
                <w:rFonts w:ascii="Arial" w:cs="Arial" w:eastAsia="Arial" w:hAnsi="Arial"/>
                <w:sz w:val="22"/>
                <w:szCs w:val="22"/>
                <w:b w:val="1"/>
                <w:bCs w:val="1"/>
                <w:color w:val="auto"/>
              </w:rPr>
              <w:t>929,102</w:t>
            </w: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line="161" w:lineRule="exact"/>
              <w:rPr>
                <w:sz w:val="20"/>
                <w:szCs w:val="20"/>
                <w:color w:val="auto"/>
              </w:rPr>
            </w:pPr>
            <w:r>
              <w:rPr>
                <w:rFonts w:ascii="Arial" w:cs="Arial" w:eastAsia="Arial" w:hAnsi="Arial"/>
                <w:sz w:val="18"/>
                <w:szCs w:val="18"/>
                <w:color w:val="auto"/>
                <w:w w:val="87"/>
              </w:rPr>
              <w:t>Each</w:t>
            </w:r>
          </w:p>
        </w:tc>
        <w:tc>
          <w:tcPr>
            <w:tcW w:w="420" w:type="dxa"/>
            <w:vAlign w:val="bottom"/>
            <w:tcBorders>
              <w:bottom w:val="single" w:sz="8" w:color="auto"/>
            </w:tcBorders>
          </w:tcPr>
          <w:p>
            <w:pPr>
              <w:spacing w:after="0"/>
              <w:rPr>
                <w:sz w:val="5"/>
                <w:szCs w:val="5"/>
                <w:color w:val="auto"/>
              </w:rPr>
            </w:pPr>
          </w:p>
        </w:tc>
        <w:tc>
          <w:tcPr>
            <w:tcW w:w="9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920" w:type="dxa"/>
            <w:vAlign w:val="bottom"/>
            <w:vMerge w:val="continue"/>
          </w:tcPr>
          <w:p>
            <w:pPr>
              <w:spacing w:after="0"/>
              <w:rPr>
                <w:sz w:val="6"/>
                <w:szCs w:val="6"/>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90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20" w:type="dxa"/>
            <w:vAlign w:val="bottom"/>
            <w:vMerge w:val="continue"/>
          </w:tcPr>
          <w:p>
            <w:pPr>
              <w:spacing w:after="0"/>
              <w:rPr>
                <w:sz w:val="13"/>
                <w:szCs w:val="13"/>
                <w:color w:val="auto"/>
              </w:rPr>
            </w:pPr>
          </w:p>
        </w:tc>
        <w:tc>
          <w:tcPr>
            <w:tcW w:w="9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7"/>
              </w:rPr>
              <w:t>Person</w:t>
            </w:r>
          </w:p>
        </w:tc>
        <w:tc>
          <w:tcPr>
            <w:tcW w:w="420" w:type="dxa"/>
            <w:vAlign w:val="bottom"/>
          </w:tcPr>
          <w:p>
            <w:pPr>
              <w:spacing w:after="0"/>
              <w:rPr>
                <w:sz w:val="18"/>
                <w:szCs w:val="18"/>
                <w:color w:val="auto"/>
              </w:rPr>
            </w:pPr>
          </w:p>
        </w:tc>
        <w:tc>
          <w:tcPr>
            <w:tcW w:w="9900" w:type="dxa"/>
            <w:vAlign w:val="bottom"/>
            <w:vMerge w:val="restart"/>
          </w:tcPr>
          <w:p>
            <w:pPr>
              <w:ind w:left="8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03"/>
        </w:trPr>
        <w:tc>
          <w:tcPr>
            <w:tcW w:w="920" w:type="dxa"/>
            <w:vAlign w:val="bottom"/>
          </w:tcPr>
          <w:p>
            <w:pPr>
              <w:jc w:val="center"/>
              <w:spacing w:after="0" w:line="203" w:lineRule="exact"/>
              <w:rPr>
                <w:sz w:val="20"/>
                <w:szCs w:val="20"/>
                <w:color w:val="auto"/>
              </w:rPr>
            </w:pPr>
            <w:r>
              <w:rPr>
                <w:rFonts w:ascii="Arial" w:cs="Arial" w:eastAsia="Arial" w:hAnsi="Arial"/>
                <w:sz w:val="18"/>
                <w:szCs w:val="18"/>
                <w:color w:val="auto"/>
                <w:w w:val="97"/>
              </w:rPr>
              <w:t>With:</w:t>
            </w:r>
          </w:p>
        </w:tc>
        <w:tc>
          <w:tcPr>
            <w:tcW w:w="420" w:type="dxa"/>
            <w:vAlign w:val="bottom"/>
            <w:tcBorders>
              <w:bottom w:val="single" w:sz="8" w:color="auto"/>
            </w:tcBorders>
          </w:tcPr>
          <w:p>
            <w:pPr>
              <w:spacing w:after="0"/>
              <w:rPr>
                <w:sz w:val="17"/>
                <w:szCs w:val="17"/>
                <w:color w:val="auto"/>
              </w:rPr>
            </w:pPr>
          </w:p>
        </w:tc>
        <w:tc>
          <w:tcPr>
            <w:tcW w:w="9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99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20"/>
        <w:spacing w:after="0"/>
        <w:rPr>
          <w:sz w:val="20"/>
          <w:szCs w:val="20"/>
          <w:color w:val="auto"/>
        </w:rPr>
      </w:pPr>
      <w:r>
        <w:rPr>
          <w:rFonts w:ascii="Arial" w:cs="Arial" w:eastAsia="Arial" w:hAnsi="Arial"/>
          <w:sz w:val="22"/>
          <w:szCs w:val="22"/>
          <w:b w:val="1"/>
          <w:bCs w:val="1"/>
          <w:color w:val="auto"/>
        </w:rPr>
        <w:t>929,102</w:t>
      </w:r>
      <w:r>
        <w:rPr>
          <w:rFonts w:ascii="Arial" w:cs="Arial" w:eastAsia="Arial" w:hAnsi="Arial"/>
          <w:sz w:val="18"/>
          <w:szCs w:val="18"/>
          <w:b w:val="1"/>
          <w:bCs w:val="1"/>
          <w:color w:val="auto"/>
        </w:rPr>
        <w:t>(1)(2)</w:t>
      </w:r>
    </w:p>
    <w:p>
      <w:pPr>
        <w:spacing w:after="0" w:line="30" w:lineRule="exact"/>
        <w:rPr>
          <w:sz w:val="20"/>
          <w:szCs w:val="20"/>
          <w:color w:val="auto"/>
        </w:rPr>
      </w:pPr>
    </w:p>
    <w:p>
      <w:pPr>
        <w:ind w:left="260"/>
        <w:spacing w:after="0"/>
        <w:tabs>
          <w:tab w:leader="none" w:pos="54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auto"/>
        </w:rPr>
        <w:t>929,102</w:t>
      </w:r>
      <w:r>
        <w:rPr>
          <w:rFonts w:ascii="Arial" w:cs="Arial" w:eastAsia="Arial" w:hAnsi="Arial"/>
          <w:sz w:val="18"/>
          <w:szCs w:val="18"/>
          <w:b w:val="1"/>
          <w:bCs w:val="1"/>
          <w:color w:val="auto"/>
        </w:rPr>
        <w:t>(1)(2)</w:t>
      </w:r>
    </w:p>
    <w:p>
      <w:pPr>
        <w:spacing w:after="0" w:line="28" w:lineRule="exact"/>
        <w:rPr>
          <w:sz w:val="20"/>
          <w:szCs w:val="20"/>
          <w:color w:val="auto"/>
        </w:rPr>
      </w:pPr>
    </w:p>
    <w:p>
      <w:pPr>
        <w:ind w:left="560" w:hanging="395"/>
        <w:spacing w:after="0" w:line="207" w:lineRule="exact"/>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560" w:hanging="395"/>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auto"/>
        </w:rPr>
        <w:t>8.8%</w:t>
      </w:r>
    </w:p>
    <w:p>
      <w:pPr>
        <w:spacing w:after="0" w:line="30" w:lineRule="exact"/>
        <w:rPr>
          <w:sz w:val="20"/>
          <w:szCs w:val="20"/>
          <w:color w:val="auto"/>
        </w:rPr>
      </w:pPr>
    </w:p>
    <w:p>
      <w:pPr>
        <w:ind w:left="160"/>
        <w:spacing w:after="0"/>
        <w:tabs>
          <w:tab w:leader="none" w:pos="5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Shares are held indirectly by the Reporting Person’s subsidiary, BMO Harris Bank N.A.</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Beneficial ownership of 929,102 shares is specifically disclaimed. See Item 4.</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270" w:right="2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CUSIP No. 420261109</w:t>
      </w:r>
    </w:p>
    <w:p>
      <w:pPr>
        <w:spacing w:after="0" w:line="171" w:lineRule="exact"/>
        <w:rPr>
          <w:sz w:val="20"/>
          <w:szCs w:val="20"/>
          <w:color w:val="auto"/>
        </w:rPr>
      </w:pPr>
    </w:p>
    <w:p>
      <w:pPr>
        <w:ind w:left="260"/>
        <w:spacing w:after="0"/>
        <w:tabs>
          <w:tab w:leader="none" w:pos="5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auto"/>
        </w:rPr>
        <w:t>BMO Harris Bank N.A.</w:t>
      </w:r>
    </w:p>
    <w:p>
      <w:pPr>
        <w:spacing w:after="0" w:line="30" w:lineRule="exact"/>
        <w:rPr>
          <w:sz w:val="20"/>
          <w:szCs w:val="20"/>
          <w:color w:val="auto"/>
        </w:rPr>
      </w:pPr>
    </w:p>
    <w:p>
      <w:pPr>
        <w:ind w:left="260"/>
        <w:spacing w:after="0"/>
        <w:tabs>
          <w:tab w:leader="none" w:pos="5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Check the Appropriate Box if a Member of a Group</w:t>
      </w:r>
    </w:p>
    <w:p>
      <w:pPr>
        <w:spacing w:after="0" w:line="18" w:lineRule="exact"/>
        <w:rPr>
          <w:sz w:val="20"/>
          <w:szCs w:val="20"/>
          <w:color w:val="auto"/>
        </w:rPr>
      </w:pPr>
    </w:p>
    <w:p>
      <w:pPr>
        <w:ind w:left="560"/>
        <w:spacing w:after="0" w:line="207" w:lineRule="exact"/>
        <w:tabs>
          <w:tab w:leader="none" w:pos="13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60" w:hanging="305"/>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60" w:hanging="305"/>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99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2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41"/>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tcBorders>
          </w:tcPr>
          <w:p>
            <w:pPr>
              <w:spacing w:after="0"/>
              <w:rPr>
                <w:sz w:val="3"/>
                <w:szCs w:val="3"/>
                <w:color w:val="auto"/>
              </w:rPr>
            </w:pPr>
          </w:p>
        </w:tc>
        <w:tc>
          <w:tcPr>
            <w:tcW w:w="9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920" w:type="dxa"/>
            <w:vAlign w:val="bottom"/>
            <w:vMerge w:val="continue"/>
          </w:tcPr>
          <w:p>
            <w:pPr>
              <w:spacing w:after="0"/>
              <w:rPr>
                <w:sz w:val="13"/>
                <w:szCs w:val="13"/>
                <w:color w:val="auto"/>
              </w:rPr>
            </w:pPr>
          </w:p>
        </w:tc>
        <w:tc>
          <w:tcPr>
            <w:tcW w:w="420" w:type="dxa"/>
            <w:vAlign w:val="bottom"/>
          </w:tcPr>
          <w:p>
            <w:pPr>
              <w:jc w:val="right"/>
              <w:spacing w:after="0" w:line="156" w:lineRule="exact"/>
              <w:rPr>
                <w:sz w:val="20"/>
                <w:szCs w:val="20"/>
                <w:color w:val="auto"/>
              </w:rPr>
            </w:pPr>
            <w:r>
              <w:rPr>
                <w:rFonts w:ascii="Arial" w:cs="Arial" w:eastAsia="Arial" w:hAnsi="Arial"/>
                <w:sz w:val="18"/>
                <w:szCs w:val="18"/>
                <w:color w:val="auto"/>
              </w:rPr>
              <w:t>6)</w:t>
            </w:r>
          </w:p>
        </w:tc>
        <w:tc>
          <w:tcPr>
            <w:tcW w:w="990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2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20" w:type="dxa"/>
            <w:vAlign w:val="bottom"/>
          </w:tcPr>
          <w:p>
            <w:pPr>
              <w:spacing w:after="0"/>
              <w:rPr>
                <w:sz w:val="23"/>
                <w:szCs w:val="23"/>
                <w:color w:val="auto"/>
              </w:rPr>
            </w:pPr>
          </w:p>
        </w:tc>
        <w:tc>
          <w:tcPr>
            <w:tcW w:w="9900" w:type="dxa"/>
            <w:vAlign w:val="bottom"/>
          </w:tcPr>
          <w:p>
            <w:pPr>
              <w:ind w:left="80"/>
              <w:spacing w:after="0"/>
              <w:rPr>
                <w:sz w:val="20"/>
                <w:szCs w:val="20"/>
                <w:color w:val="auto"/>
              </w:rPr>
            </w:pPr>
            <w:r>
              <w:rPr>
                <w:rFonts w:ascii="Arial" w:cs="Arial" w:eastAsia="Arial" w:hAnsi="Arial"/>
                <w:sz w:val="22"/>
                <w:szCs w:val="22"/>
                <w:b w:val="1"/>
                <w:bCs w:val="1"/>
                <w:color w:val="auto"/>
              </w:rPr>
              <w:t>929,102</w:t>
            </w: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line="161" w:lineRule="exact"/>
              <w:rPr>
                <w:sz w:val="20"/>
                <w:szCs w:val="20"/>
                <w:color w:val="auto"/>
              </w:rPr>
            </w:pPr>
            <w:r>
              <w:rPr>
                <w:rFonts w:ascii="Arial" w:cs="Arial" w:eastAsia="Arial" w:hAnsi="Arial"/>
                <w:sz w:val="18"/>
                <w:szCs w:val="18"/>
                <w:color w:val="auto"/>
                <w:w w:val="87"/>
              </w:rPr>
              <w:t>Each</w:t>
            </w:r>
          </w:p>
        </w:tc>
        <w:tc>
          <w:tcPr>
            <w:tcW w:w="420" w:type="dxa"/>
            <w:vAlign w:val="bottom"/>
            <w:tcBorders>
              <w:bottom w:val="single" w:sz="8" w:color="auto"/>
            </w:tcBorders>
          </w:tcPr>
          <w:p>
            <w:pPr>
              <w:spacing w:after="0"/>
              <w:rPr>
                <w:sz w:val="5"/>
                <w:szCs w:val="5"/>
                <w:color w:val="auto"/>
              </w:rPr>
            </w:pPr>
          </w:p>
        </w:tc>
        <w:tc>
          <w:tcPr>
            <w:tcW w:w="9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920" w:type="dxa"/>
            <w:vAlign w:val="bottom"/>
            <w:vMerge w:val="continue"/>
          </w:tcPr>
          <w:p>
            <w:pPr>
              <w:spacing w:after="0"/>
              <w:rPr>
                <w:sz w:val="6"/>
                <w:szCs w:val="6"/>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90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20" w:type="dxa"/>
            <w:vAlign w:val="bottom"/>
            <w:vMerge w:val="continue"/>
          </w:tcPr>
          <w:p>
            <w:pPr>
              <w:spacing w:after="0"/>
              <w:rPr>
                <w:sz w:val="13"/>
                <w:szCs w:val="13"/>
                <w:color w:val="auto"/>
              </w:rPr>
            </w:pPr>
          </w:p>
        </w:tc>
        <w:tc>
          <w:tcPr>
            <w:tcW w:w="9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7"/>
              </w:rPr>
              <w:t>Person</w:t>
            </w:r>
          </w:p>
        </w:tc>
        <w:tc>
          <w:tcPr>
            <w:tcW w:w="420" w:type="dxa"/>
            <w:vAlign w:val="bottom"/>
          </w:tcPr>
          <w:p>
            <w:pPr>
              <w:spacing w:after="0"/>
              <w:rPr>
                <w:sz w:val="18"/>
                <w:szCs w:val="18"/>
                <w:color w:val="auto"/>
              </w:rPr>
            </w:pPr>
          </w:p>
        </w:tc>
        <w:tc>
          <w:tcPr>
            <w:tcW w:w="9900" w:type="dxa"/>
            <w:vAlign w:val="bottom"/>
            <w:vMerge w:val="restart"/>
          </w:tcPr>
          <w:p>
            <w:pPr>
              <w:ind w:left="8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03"/>
        </w:trPr>
        <w:tc>
          <w:tcPr>
            <w:tcW w:w="920" w:type="dxa"/>
            <w:vAlign w:val="bottom"/>
          </w:tcPr>
          <w:p>
            <w:pPr>
              <w:jc w:val="center"/>
              <w:spacing w:after="0" w:line="203" w:lineRule="exact"/>
              <w:rPr>
                <w:sz w:val="20"/>
                <w:szCs w:val="20"/>
                <w:color w:val="auto"/>
              </w:rPr>
            </w:pPr>
            <w:r>
              <w:rPr>
                <w:rFonts w:ascii="Arial" w:cs="Arial" w:eastAsia="Arial" w:hAnsi="Arial"/>
                <w:sz w:val="18"/>
                <w:szCs w:val="18"/>
                <w:color w:val="auto"/>
                <w:w w:val="97"/>
              </w:rPr>
              <w:t>With:</w:t>
            </w:r>
          </w:p>
        </w:tc>
        <w:tc>
          <w:tcPr>
            <w:tcW w:w="420" w:type="dxa"/>
            <w:vAlign w:val="bottom"/>
            <w:tcBorders>
              <w:bottom w:val="single" w:sz="8" w:color="auto"/>
            </w:tcBorders>
          </w:tcPr>
          <w:p>
            <w:pPr>
              <w:spacing w:after="0"/>
              <w:rPr>
                <w:sz w:val="17"/>
                <w:szCs w:val="17"/>
                <w:color w:val="auto"/>
              </w:rPr>
            </w:pPr>
          </w:p>
        </w:tc>
        <w:tc>
          <w:tcPr>
            <w:tcW w:w="9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99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20"/>
        <w:spacing w:after="0"/>
        <w:rPr>
          <w:sz w:val="20"/>
          <w:szCs w:val="20"/>
          <w:color w:val="auto"/>
        </w:rPr>
      </w:pPr>
      <w:r>
        <w:rPr>
          <w:rFonts w:ascii="Arial" w:cs="Arial" w:eastAsia="Arial" w:hAnsi="Arial"/>
          <w:sz w:val="22"/>
          <w:szCs w:val="22"/>
          <w:b w:val="1"/>
          <w:bCs w:val="1"/>
          <w:color w:val="auto"/>
        </w:rPr>
        <w:t>929,102</w:t>
      </w:r>
      <w:r>
        <w:rPr>
          <w:rFonts w:ascii="Arial" w:cs="Arial" w:eastAsia="Arial" w:hAnsi="Arial"/>
          <w:sz w:val="18"/>
          <w:szCs w:val="18"/>
          <w:b w:val="1"/>
          <w:bCs w:val="1"/>
          <w:color w:val="auto"/>
        </w:rPr>
        <w:t>(1)</w:t>
      </w:r>
    </w:p>
    <w:p>
      <w:pPr>
        <w:spacing w:after="0" w:line="30" w:lineRule="exact"/>
        <w:rPr>
          <w:sz w:val="20"/>
          <w:szCs w:val="20"/>
          <w:color w:val="auto"/>
        </w:rPr>
      </w:pPr>
    </w:p>
    <w:p>
      <w:pPr>
        <w:ind w:left="260"/>
        <w:spacing w:after="0"/>
        <w:tabs>
          <w:tab w:leader="none" w:pos="54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auto"/>
        </w:rPr>
        <w:t>929,102</w:t>
      </w:r>
      <w:r>
        <w:rPr>
          <w:rFonts w:ascii="Arial" w:cs="Arial" w:eastAsia="Arial" w:hAnsi="Arial"/>
          <w:sz w:val="18"/>
          <w:szCs w:val="18"/>
          <w:b w:val="1"/>
          <w:bCs w:val="1"/>
          <w:color w:val="auto"/>
        </w:rPr>
        <w:t>(1)</w:t>
      </w:r>
    </w:p>
    <w:p>
      <w:pPr>
        <w:spacing w:after="0" w:line="28" w:lineRule="exact"/>
        <w:rPr>
          <w:sz w:val="20"/>
          <w:szCs w:val="20"/>
          <w:color w:val="auto"/>
        </w:rPr>
      </w:pPr>
    </w:p>
    <w:p>
      <w:pPr>
        <w:ind w:left="560" w:hanging="395"/>
        <w:spacing w:after="0" w:line="207" w:lineRule="exact"/>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560" w:hanging="395"/>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auto"/>
        </w:rPr>
        <w:t>8.8%</w:t>
      </w:r>
    </w:p>
    <w:p>
      <w:pPr>
        <w:spacing w:after="0" w:line="30" w:lineRule="exact"/>
        <w:rPr>
          <w:sz w:val="20"/>
          <w:szCs w:val="20"/>
          <w:color w:val="auto"/>
        </w:rPr>
      </w:pPr>
    </w:p>
    <w:p>
      <w:pPr>
        <w:ind w:left="160"/>
        <w:spacing w:after="0"/>
        <w:tabs>
          <w:tab w:leader="none" w:pos="5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auto"/>
        </w:rPr>
        <w:t>BK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9" w:lineRule="exact"/>
        <w:rPr>
          <w:sz w:val="20"/>
          <w:szCs w:val="20"/>
          <w:color w:val="auto"/>
        </w:rPr>
      </w:pPr>
    </w:p>
    <w:p>
      <w:pPr>
        <w:ind w:left="5660" w:right="5360" w:hanging="5652"/>
        <w:spacing w:after="0" w:line="490" w:lineRule="auto"/>
        <w:tabs>
          <w:tab w:leader="none" w:pos="445" w:val="left"/>
        </w:tabs>
        <w:numPr>
          <w:ilvl w:val="0"/>
          <w:numId w:val="8"/>
        </w:numPr>
        <w:rPr>
          <w:rFonts w:ascii="Arial" w:cs="Arial" w:eastAsia="Arial" w:hAnsi="Arial"/>
          <w:sz w:val="17"/>
          <w:szCs w:val="17"/>
          <w:color w:val="auto"/>
        </w:rPr>
      </w:pPr>
      <w:r>
        <w:rPr>
          <w:rFonts w:ascii="Arial" w:cs="Arial" w:eastAsia="Arial" w:hAnsi="Arial"/>
          <w:sz w:val="17"/>
          <w:szCs w:val="17"/>
          <w:color w:val="auto"/>
        </w:rPr>
        <w:t>Beneficial ownership of 929,102 shares is specifically disclaimed. See Item 4. 3</w:t>
      </w:r>
    </w:p>
    <w:p>
      <w:pPr>
        <w:sectPr>
          <w:pgSz w:w="11900" w:h="16838" w:orient="portrait"/>
          <w:cols w:equalWidth="0" w:num="1">
            <w:col w:w="11440"/>
          </w:cols>
          <w:pgMar w:left="240" w:top="270" w:right="219" w:bottom="1440" w:gutter="0" w:footer="0" w:header="0"/>
        </w:sectPr>
      </w:pPr>
    </w:p>
    <w:bookmarkStart w:id="3" w:name="page4"/>
    <w:bookmarkEnd w:id="3"/>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CUSIP No. 420261109</w:t>
      </w:r>
    </w:p>
    <w:p>
      <w:pPr>
        <w:spacing w:after="0" w:line="1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Hawkins, Inc.</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3100 E. Hennepin Ave.</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Minneapolis, Minnesota 55413</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color w:val="auto"/>
        </w:rPr>
        <w:t>Names of Persons Filing.</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Bank of Montreal and its subsidiary, BMO Harris Bank N.A.</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Bank of Montreal</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 First Canadian Place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Toronto, Ontario, Canada M5X 1A1</w:t>
      </w: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BMO Harris Bank N.A.</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111 West Monroe Street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Floor 6E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Chicago, IL 60690</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 or Place of Organization.</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Bank of Montreal is organized under the laws of Canada. BMO Harris Bank N.A. is organized under the laws of the United States.</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Common Stock</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420261109</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Sections 240.13d-1(b) or 240.13d-2(b) or (c), check whether the person filing is a:</w:t>
      </w:r>
    </w:p>
    <w:p>
      <w:pPr>
        <w:spacing w:after="0" w:line="102" w:lineRule="exact"/>
        <w:rPr>
          <w:sz w:val="20"/>
          <w:szCs w:val="20"/>
          <w:color w:val="auto"/>
        </w:rPr>
      </w:pPr>
    </w:p>
    <w:p>
      <w:pPr>
        <w:ind w:left="1440" w:hanging="325"/>
        <w:spacing w:after="0" w:line="207" w:lineRule="exact"/>
        <w:tabs>
          <w:tab w:leader="none" w:pos="144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440" w:hanging="325"/>
        <w:spacing w:after="0" w:line="207" w:lineRule="exact"/>
        <w:tabs>
          <w:tab w:leader="none" w:pos="144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440" w:hanging="325"/>
        <w:spacing w:after="0" w:line="207" w:lineRule="exact"/>
        <w:tabs>
          <w:tab w:leader="none" w:pos="144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5660" w:right="1080" w:hanging="4545"/>
        <w:spacing w:after="0" w:line="314" w:lineRule="exact"/>
        <w:tabs>
          <w:tab w:leader="none" w:pos="1431"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 4</w:t>
      </w:r>
    </w:p>
    <w:p>
      <w:pPr>
        <w:sectPr>
          <w:pgSz w:w="11900" w:h="16838" w:orient="portrait"/>
          <w:cols w:equalWidth="0" w:num="1">
            <w:col w:w="10560"/>
          </w:cols>
          <w:pgMar w:left="240" w:top="270" w:right="1099" w:bottom="1440" w:gutter="0" w:footer="0" w:header="0"/>
        </w:sectPr>
      </w:pPr>
    </w:p>
    <w:bookmarkStart w:id="4" w:name="page5"/>
    <w:bookmarkEnd w:id="4"/>
    <w:p>
      <w:pPr>
        <w:ind w:left="1440" w:hanging="325"/>
        <w:spacing w:after="0" w:line="207" w:lineRule="exact"/>
        <w:tabs>
          <w:tab w:leader="none" w:pos="144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color w:val="auto"/>
        </w:rPr>
        <w:t xml:space="preserve"> An investment adviser in accordance with Section 240.13d-1(b)(1)(ii)(E);</w:t>
      </w:r>
    </w:p>
    <w:p>
      <w:pPr>
        <w:spacing w:after="0" w:line="117" w:lineRule="exact"/>
        <w:rPr>
          <w:rFonts w:ascii="Arial" w:cs="Arial" w:eastAsia="Arial" w:hAnsi="Arial"/>
          <w:sz w:val="18"/>
          <w:szCs w:val="18"/>
          <w:color w:val="auto"/>
        </w:rPr>
      </w:pPr>
    </w:p>
    <w:p>
      <w:pPr>
        <w:ind w:left="1440" w:hanging="325"/>
        <w:spacing w:after="0" w:line="207" w:lineRule="exact"/>
        <w:tabs>
          <w:tab w:leader="none" w:pos="144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Section 240.13d-1(b)(1)(ii)(F);</w:t>
      </w:r>
    </w:p>
    <w:p>
      <w:pPr>
        <w:spacing w:after="0" w:line="117" w:lineRule="exact"/>
        <w:rPr>
          <w:rFonts w:ascii="Arial" w:cs="Arial" w:eastAsia="Arial" w:hAnsi="Arial"/>
          <w:sz w:val="18"/>
          <w:szCs w:val="18"/>
          <w:color w:val="auto"/>
        </w:rPr>
      </w:pPr>
    </w:p>
    <w:p>
      <w:pPr>
        <w:ind w:left="1440" w:hanging="325"/>
        <w:spacing w:after="0" w:line="207" w:lineRule="exact"/>
        <w:tabs>
          <w:tab w:leader="none" w:pos="144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Section 240.13d-1(b)(1)(ii)(G);</w:t>
      </w:r>
    </w:p>
    <w:p>
      <w:pPr>
        <w:spacing w:after="0" w:line="117" w:lineRule="exact"/>
        <w:rPr>
          <w:rFonts w:ascii="Arial" w:cs="Arial" w:eastAsia="Arial" w:hAnsi="Arial"/>
          <w:sz w:val="18"/>
          <w:szCs w:val="18"/>
          <w:color w:val="auto"/>
        </w:rPr>
      </w:pPr>
    </w:p>
    <w:p>
      <w:pPr>
        <w:ind w:left="1440" w:hanging="325"/>
        <w:spacing w:after="0" w:line="207" w:lineRule="exact"/>
        <w:tabs>
          <w:tab w:leader="none" w:pos="144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17" w:lineRule="exact"/>
        <w:rPr>
          <w:rFonts w:ascii="Arial" w:cs="Arial" w:eastAsia="Arial" w:hAnsi="Arial"/>
          <w:sz w:val="18"/>
          <w:szCs w:val="18"/>
          <w:color w:val="auto"/>
        </w:rPr>
      </w:pPr>
    </w:p>
    <w:p>
      <w:pPr>
        <w:ind w:left="1700" w:right="60" w:hanging="585"/>
        <w:spacing w:after="0" w:line="239" w:lineRule="exact"/>
        <w:tabs>
          <w:tab w:leader="none" w:pos="143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1440" w:hanging="325"/>
        <w:spacing w:after="0" w:line="207" w:lineRule="exact"/>
        <w:tabs>
          <w:tab w:leader="none" w:pos="144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Section 240.13d-1(b)(1)(ii)(J);</w:t>
      </w:r>
    </w:p>
    <w:p>
      <w:pPr>
        <w:spacing w:after="0" w:line="117" w:lineRule="exact"/>
        <w:rPr>
          <w:rFonts w:ascii="Arial" w:cs="Arial" w:eastAsia="Arial" w:hAnsi="Arial"/>
          <w:sz w:val="18"/>
          <w:szCs w:val="18"/>
          <w:color w:val="auto"/>
        </w:rPr>
      </w:pPr>
    </w:p>
    <w:p>
      <w:pPr>
        <w:ind w:left="1440" w:hanging="325"/>
        <w:spacing w:after="0" w:line="207" w:lineRule="exact"/>
        <w:tabs>
          <w:tab w:leader="none" w:pos="144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Section 240.13d-1(b)(1)(ii)(K).</w:t>
      </w:r>
    </w:p>
    <w:p>
      <w:pPr>
        <w:spacing w:after="0" w:line="200" w:lineRule="exact"/>
        <w:rPr>
          <w:sz w:val="20"/>
          <w:szCs w:val="20"/>
          <w:color w:val="auto"/>
        </w:rPr>
      </w:pPr>
    </w:p>
    <w:p>
      <w:pPr>
        <w:spacing w:after="0" w:line="20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1140"/>
        <w:spacing w:after="0" w:line="255" w:lineRule="auto"/>
        <w:rPr>
          <w:sz w:val="20"/>
          <w:szCs w:val="20"/>
          <w:color w:val="auto"/>
        </w:rPr>
      </w:pPr>
      <w:r>
        <w:rPr>
          <w:rFonts w:ascii="Arial" w:cs="Arial" w:eastAsia="Arial" w:hAnsi="Arial"/>
          <w:sz w:val="18"/>
          <w:szCs w:val="18"/>
          <w:color w:val="auto"/>
        </w:rPr>
        <w:t>The information contained in Items 5 – 11 on the cover pages is incorporated herein by reference. The information included in Items 5-11 for Bank of Montreal and BMO Harris Bank N.A. includes 929,102 shares held in one or more employee benefit plans where BMO Harris Bank N.A., as directed trustee, may be viewed as having voting or dispositive authority in certain situations pursuant to SEC and Department of Labor regulations or interpretations. Pursuant to Rule 13d-4 under the Act, inclusion of such shares in this statement shall not be construed as an admission that the Reporting Person or its subsidiaries are, for purposes of Section 13(d) or 13(g) of the Act, the beneficial owners of such securities.</w:t>
      </w:r>
    </w:p>
    <w:p>
      <w:pPr>
        <w:spacing w:after="0" w:line="33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140" w:right="1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140" w:right="80"/>
        <w:spacing w:after="0" w:line="279" w:lineRule="auto"/>
        <w:rPr>
          <w:sz w:val="20"/>
          <w:szCs w:val="20"/>
          <w:color w:val="auto"/>
        </w:rPr>
      </w:pPr>
      <w:r>
        <w:rPr>
          <w:rFonts w:ascii="Arial" w:cs="Arial" w:eastAsia="Arial" w:hAnsi="Arial"/>
          <w:sz w:val="17"/>
          <w:szCs w:val="17"/>
          <w:color w:val="auto"/>
        </w:rPr>
        <w:t>Bank of Montreal is reporting on this Schedule 13G securities held through its subsidiary, BMO Harris Bank N.A. as fiduciary for certain employee benefit plans, trust and/or customer accounts. As a result, participants in the plans, trust beneficiaries and customers are entitled to receive, or have the power to direct the receipt of, dividends and proceeds from the sale of such securities. No such person is known to have such an interest relating to more than five percent of the class of subject securities except as follows: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Hawkins, Inc. ESOP</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41" w:right="319" w:bottom="1440" w:gutter="0" w:footer="0" w:header="0"/>
        </w:sectPr>
      </w:pPr>
    </w:p>
    <w:bookmarkStart w:id="5" w:name="page6"/>
    <w:bookmarkEnd w:id="5"/>
    <w:p>
      <w:pPr>
        <w:ind w:left="1140" w:right="6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Bank of Montreal is the ultimate parent company of BMO Harris Bank N.A., a bank as defined in section 3(a)6 of the Act.</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11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0" w:right="319" w:bottom="1440" w:gutter="0" w:footer="0" w:header="0"/>
        </w:sectPr>
      </w:pPr>
    </w:p>
    <w:bookmarkStart w:id="6" w:name="page7"/>
    <w:bookmarkEnd w:id="6"/>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as of the 14</w:t>
      </w:r>
      <w:r>
        <w:rPr>
          <w:rFonts w:ascii="Arial" w:cs="Arial" w:eastAsia="Arial" w:hAnsi="Arial"/>
          <w:sz w:val="15"/>
          <w:szCs w:val="15"/>
          <w:color w:val="auto"/>
        </w:rPr>
        <w:t>th</w:t>
      </w:r>
      <w:r>
        <w:rPr>
          <w:rFonts w:ascii="Arial" w:cs="Arial" w:eastAsia="Arial" w:hAnsi="Arial"/>
          <w:sz w:val="18"/>
          <w:szCs w:val="18"/>
          <w:color w:val="auto"/>
        </w:rPr>
        <w:t xml:space="preserve"> day of February,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BANK OF MONTREAL</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 Blair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Blair Morrison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SVP, Deputy General Counsel &amp; Chief Compliance Officer</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BMO HARRIS BANK N.A.</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  Pursuant to Power of Attorney filed herewith.</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240" w:top="270" w:right="5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In accordance with Rule 13d-1(k) under the Securities Exchange Act of 1934, as amended, each of the undersigned entities, as applicable, pursuant to a duly executed power of attorney, hereby agrees to this and any future joint filing of Schedule 13G (including any and all amendments thereto) to be made on their behalf and further agrees to the filing of this Agreement as an Exhibit thereto. In addition, each party to this Agreement consents to the filing of this and any future Schedule 13G (including any and all amendments thereto) by Bank of Montreal.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may be executed in any number of counterparts all of which taken together shall constitute one and the same instrument.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hereby execute this Agreement this 14</w:t>
      </w:r>
      <w:r>
        <w:rPr>
          <w:rFonts w:ascii="Arial" w:cs="Arial" w:eastAsia="Arial" w:hAnsi="Arial"/>
          <w:sz w:val="15"/>
          <w:szCs w:val="15"/>
          <w:color w:val="auto"/>
        </w:rPr>
        <w:t>th</w:t>
      </w:r>
      <w:r>
        <w:rPr>
          <w:rFonts w:ascii="Arial" w:cs="Arial" w:eastAsia="Arial" w:hAnsi="Arial"/>
          <w:sz w:val="18"/>
          <w:szCs w:val="18"/>
          <w:color w:val="auto"/>
        </w:rPr>
        <w:t xml:space="preserve"> day of February, 2014.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BANK OF MONTREAL</w:t>
            </w:r>
          </w:p>
        </w:tc>
      </w:tr>
      <w:tr>
        <w:trPr>
          <w:trHeight w:val="432"/>
        </w:trPr>
        <w:tc>
          <w:tcPr>
            <w:tcW w:w="5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Blair Morrison</w:t>
            </w:r>
          </w:p>
        </w:tc>
      </w:tr>
      <w:tr>
        <w:trPr>
          <w:trHeight w:val="209"/>
        </w:trPr>
        <w:tc>
          <w:tcPr>
            <w:tcW w:w="5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Senior Vice President, Deputy General</w:t>
            </w:r>
          </w:p>
        </w:tc>
      </w:tr>
      <w:tr>
        <w:trPr>
          <w:trHeight w:val="230"/>
        </w:trPr>
        <w:tc>
          <w:tcPr>
            <w:tcW w:w="5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Counsel &amp; Chief Compliance Officer</w:t>
            </w:r>
          </w:p>
        </w:tc>
      </w:tr>
      <w:tr>
        <w:trPr>
          <w:trHeight w:val="473"/>
        </w:trPr>
        <w:tc>
          <w:tcPr>
            <w:tcW w:w="5500" w:type="dxa"/>
            <w:vAlign w:val="bottom"/>
          </w:tcPr>
          <w:p>
            <w:pPr>
              <w:spacing w:after="0"/>
              <w:rPr>
                <w:sz w:val="20"/>
                <w:szCs w:val="20"/>
                <w:color w:val="auto"/>
              </w:rPr>
            </w:pPr>
            <w:r>
              <w:rPr>
                <w:rFonts w:ascii="Arial" w:cs="Arial" w:eastAsia="Arial" w:hAnsi="Arial"/>
                <w:sz w:val="18"/>
                <w:szCs w:val="18"/>
                <w:color w:val="auto"/>
              </w:rPr>
              <w:t>BANK OF MONTREAL IRELAND PLC</w:t>
            </w:r>
          </w:p>
        </w:tc>
        <w:tc>
          <w:tcPr>
            <w:tcW w:w="56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BMO ASSET MANAGEMENT CORP.</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560" w:type="dxa"/>
            <w:vAlign w:val="bottom"/>
          </w:tcPr>
          <w:p>
            <w:pPr>
              <w:spacing w:after="0"/>
              <w:rPr>
                <w:sz w:val="24"/>
                <w:szCs w:val="24"/>
                <w:color w:val="auto"/>
              </w:rPr>
            </w:pPr>
          </w:p>
        </w:tc>
      </w:tr>
      <w:tr>
        <w:trPr>
          <w:trHeight w:val="439"/>
        </w:trPr>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BMO ASSET MANAGEMENT INC.</w:t>
            </w:r>
          </w:p>
        </w:tc>
        <w:tc>
          <w:tcPr>
            <w:tcW w:w="560" w:type="dxa"/>
            <w:vAlign w:val="bottom"/>
          </w:tcPr>
          <w:p>
            <w:pPr>
              <w:spacing w:after="0"/>
              <w:rPr>
                <w:sz w:val="24"/>
                <w:szCs w:val="24"/>
                <w:color w:val="auto"/>
              </w:rPr>
            </w:pPr>
          </w:p>
        </w:tc>
        <w:tc>
          <w:tcPr>
            <w:tcW w:w="5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BMO CAPITAL MARKETS CORP.</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560" w:type="dxa"/>
            <w:vAlign w:val="bottom"/>
          </w:tcPr>
          <w:p>
            <w:pPr>
              <w:spacing w:after="0"/>
              <w:rPr>
                <w:sz w:val="24"/>
                <w:szCs w:val="24"/>
                <w:color w:val="auto"/>
              </w:rPr>
            </w:pPr>
          </w:p>
        </w:tc>
      </w:tr>
      <w:tr>
        <w:trPr>
          <w:trHeight w:val="439"/>
        </w:trPr>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BMO CAPITAL MARKETS LIMITED</w:t>
            </w:r>
          </w:p>
        </w:tc>
        <w:tc>
          <w:tcPr>
            <w:tcW w:w="560" w:type="dxa"/>
            <w:vAlign w:val="bottom"/>
          </w:tcPr>
          <w:p>
            <w:pPr>
              <w:spacing w:after="0"/>
              <w:rPr>
                <w:sz w:val="24"/>
                <w:szCs w:val="24"/>
                <w:color w:val="auto"/>
              </w:rPr>
            </w:pPr>
          </w:p>
        </w:tc>
        <w:tc>
          <w:tcPr>
            <w:tcW w:w="5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BMO DELAWARE TRUST COMPANY</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560" w:type="dxa"/>
            <w:vAlign w:val="bottom"/>
          </w:tcPr>
          <w:p>
            <w:pPr>
              <w:spacing w:after="0"/>
              <w:rPr>
                <w:sz w:val="24"/>
                <w:szCs w:val="24"/>
                <w:color w:val="auto"/>
              </w:rPr>
            </w:pPr>
          </w:p>
        </w:tc>
      </w:tr>
      <w:tr>
        <w:trPr>
          <w:trHeight w:val="439"/>
        </w:trPr>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BMO FINANCIAL CORP.</w:t>
            </w:r>
          </w:p>
        </w:tc>
        <w:tc>
          <w:tcPr>
            <w:tcW w:w="560" w:type="dxa"/>
            <w:vAlign w:val="bottom"/>
          </w:tcPr>
          <w:p>
            <w:pPr>
              <w:spacing w:after="0"/>
              <w:rPr>
                <w:sz w:val="24"/>
                <w:szCs w:val="24"/>
                <w:color w:val="auto"/>
              </w:rPr>
            </w:pPr>
          </w:p>
        </w:tc>
        <w:tc>
          <w:tcPr>
            <w:tcW w:w="5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BMO GLOBAL ASSET MANAGEMENT (ASIA) LIMITED</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560" w:type="dxa"/>
            <w:vAlign w:val="bottom"/>
          </w:tcPr>
          <w:p>
            <w:pPr>
              <w:spacing w:after="0"/>
              <w:rPr>
                <w:sz w:val="24"/>
                <w:szCs w:val="24"/>
                <w:color w:val="auto"/>
              </w:rPr>
            </w:pPr>
          </w:p>
        </w:tc>
      </w:tr>
      <w:tr>
        <w:trPr>
          <w:trHeight w:val="439"/>
        </w:trPr>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BMO HARRIS BANK N.A.</w:t>
            </w:r>
          </w:p>
        </w:tc>
        <w:tc>
          <w:tcPr>
            <w:tcW w:w="560" w:type="dxa"/>
            <w:vAlign w:val="bottom"/>
          </w:tcPr>
          <w:p>
            <w:pPr>
              <w:spacing w:after="0"/>
              <w:rPr>
                <w:sz w:val="24"/>
                <w:szCs w:val="24"/>
                <w:color w:val="auto"/>
              </w:rPr>
            </w:pPr>
          </w:p>
        </w:tc>
        <w:tc>
          <w:tcPr>
            <w:tcW w:w="5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BMO HARRIS FINANCIAL ADVISORS, INC.</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560" w:type="dxa"/>
            <w:vAlign w:val="bottom"/>
          </w:tcPr>
          <w:p>
            <w:pPr>
              <w:spacing w:after="0"/>
              <w:rPr>
                <w:sz w:val="24"/>
                <w:szCs w:val="24"/>
                <w:color w:val="auto"/>
              </w:rPr>
            </w:pPr>
          </w:p>
        </w:tc>
      </w:tr>
      <w:tr>
        <w:trPr>
          <w:trHeight w:val="439"/>
        </w:trPr>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BANK HARRIS INVESTMENT MANAGEMENT INC.</w:t>
            </w:r>
          </w:p>
        </w:tc>
        <w:tc>
          <w:tcPr>
            <w:tcW w:w="560" w:type="dxa"/>
            <w:vAlign w:val="bottom"/>
          </w:tcPr>
          <w:p>
            <w:pPr>
              <w:spacing w:after="0"/>
              <w:rPr>
                <w:sz w:val="24"/>
                <w:szCs w:val="24"/>
                <w:color w:val="auto"/>
              </w:rPr>
            </w:pPr>
          </w:p>
        </w:tc>
        <w:tc>
          <w:tcPr>
            <w:tcW w:w="5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BMO INVESTORLINE, INC.</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560" w:type="dxa"/>
            <w:vAlign w:val="bottom"/>
          </w:tcPr>
          <w:p>
            <w:pPr>
              <w:spacing w:after="0"/>
              <w:rPr>
                <w:sz w:val="24"/>
                <w:szCs w:val="24"/>
                <w:color w:val="auto"/>
              </w:rPr>
            </w:pPr>
          </w:p>
        </w:tc>
      </w:tr>
      <w:tr>
        <w:trPr>
          <w:trHeight w:val="372"/>
        </w:trPr>
        <w:tc>
          <w:tcPr>
            <w:tcW w:w="5500" w:type="dxa"/>
            <w:vAlign w:val="bottom"/>
            <w:tcBorders>
              <w:top w:val="single" w:sz="8" w:color="auto"/>
            </w:tcBorders>
          </w:tcPr>
          <w:p>
            <w:pPr>
              <w:spacing w:after="0"/>
              <w:rPr>
                <w:sz w:val="24"/>
                <w:szCs w:val="24"/>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rPr>
              <w:t>8</w:t>
            </w:r>
          </w:p>
        </w:tc>
        <w:tc>
          <w:tcPr>
            <w:tcW w:w="800" w:type="dxa"/>
            <w:vAlign w:val="bottom"/>
            <w:tcBorders>
              <w:top w:val="single" w:sz="8" w:color="auto"/>
            </w:tcBorders>
          </w:tcPr>
          <w:p>
            <w:pPr>
              <w:spacing w:after="0"/>
              <w:rPr>
                <w:sz w:val="24"/>
                <w:szCs w:val="24"/>
                <w:color w:val="auto"/>
              </w:rPr>
            </w:pPr>
          </w:p>
        </w:tc>
        <w:tc>
          <w:tcPr>
            <w:tcW w:w="45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BMO LIFE ASSURANCE COMPANY</w:t>
            </w:r>
          </w:p>
        </w:tc>
        <w:tc>
          <w:tcPr>
            <w:tcW w:w="5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BMO NESBITT BURNS INC.</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w:t>
            </w:r>
          </w:p>
        </w:tc>
        <w:tc>
          <w:tcPr>
            <w:tcW w:w="592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439"/>
        </w:trPr>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HARRIS MY CFO, LLC</w:t>
            </w:r>
          </w:p>
        </w:tc>
        <w:tc>
          <w:tcPr>
            <w:tcW w:w="560" w:type="dxa"/>
            <w:vAlign w:val="bottom"/>
          </w:tcPr>
          <w:p>
            <w:pPr>
              <w:spacing w:after="0"/>
              <w:rPr>
                <w:sz w:val="24"/>
                <w:szCs w:val="24"/>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LLOYD GEORGE MANAGEMENT (BERMUDA) LTD.</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w:t>
            </w:r>
          </w:p>
        </w:tc>
        <w:tc>
          <w:tcPr>
            <w:tcW w:w="592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439"/>
        </w:trPr>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LLOYD GEORGE MANAGEMENT (EUROPE) LTD.</w:t>
            </w:r>
          </w:p>
        </w:tc>
        <w:tc>
          <w:tcPr>
            <w:tcW w:w="560" w:type="dxa"/>
            <w:vAlign w:val="bottom"/>
          </w:tcPr>
          <w:p>
            <w:pPr>
              <w:spacing w:after="0"/>
              <w:rPr>
                <w:sz w:val="24"/>
                <w:szCs w:val="24"/>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MONEGY INC.</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w:t>
            </w:r>
          </w:p>
        </w:tc>
        <w:tc>
          <w:tcPr>
            <w:tcW w:w="592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439"/>
        </w:trPr>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NORTH STAR TRUST COMPANY</w:t>
            </w:r>
          </w:p>
        </w:tc>
        <w:tc>
          <w:tcPr>
            <w:tcW w:w="560" w:type="dxa"/>
            <w:vAlign w:val="bottom"/>
          </w:tcPr>
          <w:p>
            <w:pPr>
              <w:spacing w:after="0"/>
              <w:rPr>
                <w:sz w:val="24"/>
                <w:szCs w:val="24"/>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PYRFORD INTERNATIONAL LIMITED</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w:t>
            </w:r>
          </w:p>
        </w:tc>
        <w:tc>
          <w:tcPr>
            <w:tcW w:w="592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439"/>
        </w:trPr>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STOKLER OSTLER WEALTH ADVISORS INC.</w:t>
            </w:r>
          </w:p>
        </w:tc>
        <w:tc>
          <w:tcPr>
            <w:tcW w:w="560" w:type="dxa"/>
            <w:vAlign w:val="bottom"/>
          </w:tcPr>
          <w:p>
            <w:pPr>
              <w:spacing w:after="0"/>
              <w:rPr>
                <w:sz w:val="24"/>
                <w:szCs w:val="24"/>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SULLIVAN, BRUYETTE, SPEROS &amp; BLAYNEY, INC.</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w:t>
            </w:r>
          </w:p>
        </w:tc>
        <w:tc>
          <w:tcPr>
            <w:tcW w:w="592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439"/>
        </w:trPr>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TAPLIN, CANIDA &amp; HABACHT, LLC</w:t>
            </w:r>
          </w:p>
        </w:tc>
        <w:tc>
          <w:tcPr>
            <w:tcW w:w="560" w:type="dxa"/>
            <w:vAlign w:val="bottom"/>
          </w:tcPr>
          <w:p>
            <w:pPr>
              <w:spacing w:after="0"/>
              <w:rPr>
                <w:sz w:val="24"/>
                <w:szCs w:val="24"/>
                <w:color w:val="auto"/>
              </w:rPr>
            </w:pPr>
          </w:p>
        </w:tc>
        <w:tc>
          <w:tcPr>
            <w:tcW w:w="5360" w:type="dxa"/>
            <w:vAlign w:val="bottom"/>
            <w:tcBorders>
              <w:top w:val="single" w:sz="8" w:color="auto"/>
            </w:tcBorders>
          </w:tcPr>
          <w:p>
            <w:pPr>
              <w:spacing w:after="0"/>
              <w:rPr>
                <w:sz w:val="24"/>
                <w:szCs w:val="24"/>
                <w:color w:val="auto"/>
              </w:rPr>
            </w:pPr>
          </w:p>
        </w:tc>
      </w:tr>
      <w:tr>
        <w:trPr>
          <w:trHeight w:val="432"/>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466"/>
        </w:trPr>
        <w:tc>
          <w:tcPr>
            <w:tcW w:w="5500" w:type="dxa"/>
            <w:vAlign w:val="bottom"/>
          </w:tcPr>
          <w:p>
            <w:pPr>
              <w:spacing w:after="0"/>
              <w:rPr>
                <w:sz w:val="20"/>
                <w:szCs w:val="20"/>
                <w:color w:val="auto"/>
              </w:rPr>
            </w:pPr>
            <w:r>
              <w:rPr>
                <w:rFonts w:ascii="Arial" w:cs="Arial" w:eastAsia="Arial" w:hAnsi="Arial"/>
                <w:sz w:val="18"/>
                <w:szCs w:val="18"/>
                <w:color w:val="auto"/>
              </w:rPr>
              <w:t>*  Pursuant to Power of Attorney filed herewith.</w:t>
            </w:r>
          </w:p>
        </w:tc>
        <w:tc>
          <w:tcPr>
            <w:tcW w:w="56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365"/>
        </w:trPr>
        <w:tc>
          <w:tcPr>
            <w:tcW w:w="5500" w:type="dxa"/>
            <w:vAlign w:val="bottom"/>
          </w:tcPr>
          <w:p>
            <w:pPr>
              <w:spacing w:after="0"/>
              <w:rPr>
                <w:sz w:val="24"/>
                <w:szCs w:val="24"/>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rPr>
              <w:t>9</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490"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executing Schedules 13G and 13D, 13G/D Joint Filing Agreement and Form 13F</w:t>
      </w:r>
    </w:p>
    <w:p>
      <w:pPr>
        <w:spacing w:after="0" w:line="229"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Each of the undersigned entities represents that the individuals signing on behalf of the entity is duly authorized to do so and hereby constitutes and appoints Blair Morrison, Senior Vice-President, Deputy General Counsel and Chief Compliance Officer of Bank of Montreal, Barbara Muir, Senior Vice-President, Deputy General Counsel, Corporate Affairs &amp; Corporate Secretary of Bank of Montreal and Lino Cambone, Vice-President, Deputy General Counsel, Wealth Management &amp; Assistant Corporate Secretary of Bank of Montreal, his or her true and lawful attorneys-in-fact and agent with full power of substitution and resubstitution, for him or her and in his or her name, place, and stead, in any and all capacities, to:</w:t>
      </w:r>
    </w:p>
    <w:p>
      <w:pPr>
        <w:spacing w:after="0" w:line="78" w:lineRule="exact"/>
        <w:rPr>
          <w:sz w:val="20"/>
          <w:szCs w:val="20"/>
          <w:color w:val="auto"/>
        </w:rPr>
      </w:pPr>
    </w:p>
    <w:p>
      <w:pPr>
        <w:ind w:left="900" w:right="120" w:hanging="446"/>
        <w:spacing w:after="0" w:line="34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complete and execute for and on behalf of the undersigned filings on Schedules 13G and 13D in accordance with Section 13(d) of the Securities Exchange Act of 1934, as amended (the “Act”) and the rules and regulations promulgated thereunder, or any successor laws and regulations;</w:t>
      </w:r>
    </w:p>
    <w:p>
      <w:pPr>
        <w:spacing w:after="0" w:line="29" w:lineRule="exact"/>
        <w:rPr>
          <w:rFonts w:ascii="Arial" w:cs="Arial" w:eastAsia="Arial" w:hAnsi="Arial"/>
          <w:sz w:val="16"/>
          <w:szCs w:val="16"/>
          <w:color w:val="auto"/>
        </w:rPr>
      </w:pPr>
    </w:p>
    <w:p>
      <w:pPr>
        <w:ind w:left="900" w:right="340" w:hanging="446"/>
        <w:spacing w:after="0" w:line="34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complete and execute for and on behalf of the undersigned a joint filing agreement to provide for the joint filing on Schedules 13G or 13D in accordance with Section 13(d) of the Act and the rules and regulations promulgated thereunder, or any successor laws and regulations;</w:t>
      </w:r>
    </w:p>
    <w:p>
      <w:pPr>
        <w:spacing w:after="0" w:line="29" w:lineRule="exact"/>
        <w:rPr>
          <w:rFonts w:ascii="Arial" w:cs="Arial" w:eastAsia="Arial" w:hAnsi="Arial"/>
          <w:sz w:val="16"/>
          <w:szCs w:val="16"/>
          <w:color w:val="auto"/>
        </w:rPr>
      </w:pPr>
    </w:p>
    <w:p>
      <w:pPr>
        <w:ind w:left="900" w:right="70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complete and execute for and on behalf of the undersigned filings on Form 13F as required by Section 13(f) of the Act and the rules and regulations promulgated thereunder, or any successor laws and regulations;</w:t>
      </w:r>
    </w:p>
    <w:p>
      <w:pPr>
        <w:spacing w:after="0" w:line="75" w:lineRule="exact"/>
        <w:rPr>
          <w:rFonts w:ascii="Arial" w:cs="Arial" w:eastAsia="Arial" w:hAnsi="Arial"/>
          <w:sz w:val="18"/>
          <w:szCs w:val="18"/>
          <w:color w:val="auto"/>
        </w:rPr>
      </w:pPr>
    </w:p>
    <w:p>
      <w:pPr>
        <w:ind w:left="900" w:right="280" w:hanging="446"/>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that may be necessary or desirable to complete the execution of any such Schedules 13G and 13D, joint filing agreement and Forms 13F and the timely filing of such forms and agreements with the United States Securities and Exchange Commission and any other authority; and</w:t>
      </w:r>
    </w:p>
    <w:p>
      <w:pPr>
        <w:spacing w:after="0" w:line="86"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the Power of Attorney shall be in such form and shall contain such terms and conditions as such attorneys-in-fact may approve in his or her discretion.</w:t>
      </w:r>
    </w:p>
    <w:p>
      <w:pPr>
        <w:spacing w:after="0" w:line="18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Each of the undersigned entities grants to said attorneys-in-fact and agent full power and authority to do and perform each and every act necessary to be done in order to effectuate the same as fully, to all intents and purposes, as he or she might or could do in person, hereby ratifying and confirming all that said attorneys-in-fact and agent, or his substitute or substitutes, may lawfully do or cause to be done by virtue hereof. The undersigned entities acknowledge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0" w:right="259" w:bottom="1440" w:gutter="0" w:footer="0" w:header="0"/>
        </w:sectPr>
      </w:pPr>
    </w:p>
    <w:bookmarkStart w:id="10" w:name="page11"/>
    <w:bookmarkEnd w:id="10"/>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the foregoing attorneys-in-fact, in serving in such capacity at the request of the undersigned, is not assuming any of the undersigned’s responsibilities to comply with Section 13(d) of the Act and the rules and regulations promulgated thereunder.</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This Power of Attorney shall remain in effect until the undersigned entity is no longer required to file Schedules 13G, 13D or Form 13F, unless earlier revoked by a duly authorized officer of the undersigned entity in writing and delivered to the foregoing attorneys-in-fact.</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This Power of Attorney Signature Page may be executed in any number of counterparts, each of which shall be an original, but all of which together shall constitute one instrument. A facsimile or portable document format (.pdf) copy of the signature of a party to this Power of Attorney on any such counterpart shall be fully effective as in an original signature.</w:t>
      </w:r>
    </w:p>
    <w:p>
      <w:pPr>
        <w:spacing w:after="0" w:line="18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IN WITNESS WHEREOF, the undersigned duly authorized individuals have caused this Power of Attorney to be executed on this 14</w:t>
      </w:r>
      <w:r>
        <w:rPr>
          <w:rFonts w:ascii="Arial" w:cs="Arial" w:eastAsia="Arial" w:hAnsi="Arial"/>
          <w:sz w:val="15"/>
          <w:szCs w:val="15"/>
          <w:color w:val="auto"/>
        </w:rPr>
        <w:t>th</w:t>
      </w:r>
      <w:r>
        <w:rPr>
          <w:rFonts w:ascii="Arial" w:cs="Arial" w:eastAsia="Arial" w:hAnsi="Arial"/>
          <w:sz w:val="18"/>
          <w:szCs w:val="18"/>
          <w:color w:val="auto"/>
        </w:rPr>
        <w:t xml:space="preserve"> day of February, 2014, on behalf of the respective entities.</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[Signatures on following pages.]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80"/>
          </w:cols>
          <w:pgMar w:left="240" w:top="274"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BMO ASSET MANAGEMENT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Barry McInerney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898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Barry McInerney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BMO DELAWARE TRUST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Deborah Korompilas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898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Deborah Korompilas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BMO HARRIS BANK N.A.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Terry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Terry Jenkins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Executive Vice President and Head of Private Banking U.S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Joe Visaya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Joe Visaya</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Assistant 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MONEGY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Sadhana Valia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Sadhana Valia</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Arial" w:cs="Arial" w:eastAsia="Arial" w:hAnsi="Arial"/>
          <w:sz w:val="18"/>
          <w:szCs w:val="18"/>
          <w:color w:val="auto"/>
        </w:rPr>
        <w:t>BMO CAPITAL MARKETS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-215900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Brad A. Rothbaum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14605</wp:posOffset>
            </wp:positionV>
            <wp:extent cx="29673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Brad A. Rothbaum</w:t>
      </w:r>
    </w:p>
    <w:p>
      <w:pPr>
        <w:spacing w:after="0" w:line="9" w:lineRule="exact"/>
        <w:rPr>
          <w:sz w:val="20"/>
          <w:szCs w:val="20"/>
          <w:color w:val="auto"/>
        </w:rPr>
      </w:pPr>
    </w:p>
    <w:p>
      <w:pPr>
        <w:jc w:val="right"/>
        <w:ind w:right="319"/>
        <w:spacing w:after="0"/>
        <w:rPr>
          <w:sz w:val="20"/>
          <w:szCs w:val="20"/>
          <w:color w:val="auto"/>
        </w:rPr>
      </w:pPr>
      <w:r>
        <w:rPr>
          <w:rFonts w:ascii="Arial" w:cs="Arial" w:eastAsia="Arial" w:hAnsi="Arial"/>
          <w:sz w:val="18"/>
          <w:szCs w:val="18"/>
          <w:color w:val="auto"/>
        </w:rPr>
        <w:t>Chief Operating Officer/Managing Director</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BMO FINANCIAL CORP.</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Terry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14605</wp:posOffset>
            </wp:positionV>
            <wp:extent cx="29673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Terry Jenkins</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Executive Vice President, Head of Private</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Banking U.S.</w:t>
      </w:r>
    </w:p>
    <w:p>
      <w:pPr>
        <w:spacing w:after="0" w:line="22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Joe Visaya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14605</wp:posOffset>
            </wp:positionV>
            <wp:extent cx="29673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4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Joe Visaya</w:t>
      </w:r>
    </w:p>
    <w:p>
      <w:pPr>
        <w:spacing w:after="0" w:line="23" w:lineRule="exact"/>
        <w:rPr>
          <w:sz w:val="20"/>
          <w:szCs w:val="20"/>
          <w:color w:val="auto"/>
        </w:rPr>
      </w:pPr>
    </w:p>
    <w:p>
      <w:pPr>
        <w:jc w:val="center"/>
        <w:ind w:right="959"/>
        <w:spacing w:after="0"/>
        <w:rPr>
          <w:sz w:val="20"/>
          <w:szCs w:val="20"/>
          <w:color w:val="auto"/>
        </w:rPr>
      </w:pPr>
      <w:r>
        <w:rPr>
          <w:rFonts w:ascii="Arial" w:cs="Arial" w:eastAsia="Arial" w:hAnsi="Arial"/>
          <w:sz w:val="18"/>
          <w:szCs w:val="18"/>
          <w:color w:val="auto"/>
        </w:rPr>
        <w:t>Assistant Secretary</w:t>
      </w:r>
    </w:p>
    <w:p>
      <w:pPr>
        <w:spacing w:after="0" w:line="23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HARRIS MYCFO, LLC</w:t>
      </w:r>
    </w:p>
    <w:p>
      <w:pPr>
        <w:spacing w:after="0" w:line="23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John Benevides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14605</wp:posOffset>
            </wp:positionV>
            <wp:extent cx="29673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John Benevides</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President</w:t>
      </w:r>
    </w:p>
    <w:p>
      <w:pPr>
        <w:spacing w:after="0" w:line="22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NORTH STAR TRUST COMPANY</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Steven J. Arquilla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14605</wp:posOffset>
            </wp:positionV>
            <wp:extent cx="29673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Steven J. Arquilla</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President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ectPr>
          <w:pgSz w:w="11900" w:h="16838" w:orient="portrait"/>
          <w:cols w:equalWidth="0" w:num="2">
            <w:col w:w="4900" w:space="720"/>
            <w:col w:w="4599"/>
          </w:cols>
          <w:pgMar w:left="240" w:top="274"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BMO HARRIS FINANCIAL ADVISORS, INC.</w:t>
            </w:r>
          </w:p>
        </w:tc>
        <w:tc>
          <w:tcPr>
            <w:tcW w:w="6600" w:type="dxa"/>
            <w:vAlign w:val="bottom"/>
            <w:gridSpan w:val="2"/>
          </w:tcPr>
          <w:p>
            <w:pPr>
              <w:ind w:left="1780"/>
              <w:spacing w:after="0"/>
              <w:rPr>
                <w:sz w:val="20"/>
                <w:szCs w:val="20"/>
                <w:color w:val="auto"/>
              </w:rPr>
            </w:pPr>
            <w:r>
              <w:rPr>
                <w:rFonts w:ascii="Arial" w:cs="Arial" w:eastAsia="Arial" w:hAnsi="Arial"/>
                <w:sz w:val="18"/>
                <w:szCs w:val="18"/>
                <w:color w:val="auto"/>
              </w:rPr>
              <w:t>BMO ASSET MANAGEMENT INC.</w:t>
            </w:r>
          </w:p>
        </w:tc>
      </w:tr>
      <w:tr>
        <w:trPr>
          <w:trHeight w:val="432"/>
        </w:trPr>
        <w:tc>
          <w:tcPr>
            <w:tcW w:w="482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Miroballi</w:t>
            </w:r>
          </w:p>
        </w:tc>
        <w:tc>
          <w:tcPr>
            <w:tcW w:w="6600" w:type="dxa"/>
            <w:vAlign w:val="bottom"/>
            <w:gridSpan w:val="2"/>
          </w:tcPr>
          <w:p>
            <w:pPr>
              <w:ind w:left="1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Dirk McRobb</w:t>
            </w:r>
          </w:p>
        </w:tc>
      </w:tr>
      <w:tr>
        <w:trPr>
          <w:trHeight w:val="209"/>
        </w:trPr>
        <w:tc>
          <w:tcPr>
            <w:tcW w:w="380" w:type="dxa"/>
            <w:vAlign w:val="bottom"/>
          </w:tcPr>
          <w:p>
            <w:pPr>
              <w:spacing w:after="0"/>
              <w:rPr>
                <w:sz w:val="18"/>
                <w:szCs w:val="18"/>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Michael Miroballi</w:t>
            </w:r>
          </w:p>
        </w:tc>
        <w:tc>
          <w:tcPr>
            <w:tcW w:w="2160" w:type="dxa"/>
            <w:vAlign w:val="bottom"/>
          </w:tcPr>
          <w:p>
            <w:pPr>
              <w:spacing w:after="0"/>
              <w:rPr>
                <w:sz w:val="18"/>
                <w:szCs w:val="18"/>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Dirk McRobb</w:t>
            </w:r>
          </w:p>
        </w:tc>
      </w:tr>
      <w:tr>
        <w:trPr>
          <w:trHeight w:val="216"/>
        </w:trPr>
        <w:tc>
          <w:tcPr>
            <w:tcW w:w="3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1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Senior Vice President and Chief</w:t>
            </w:r>
          </w:p>
        </w:tc>
      </w:tr>
      <w:tr>
        <w:trPr>
          <w:trHeight w:val="230"/>
        </w:trPr>
        <w:tc>
          <w:tcPr>
            <w:tcW w:w="3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Administrative Officer</w:t>
            </w:r>
          </w:p>
        </w:tc>
      </w:tr>
      <w:tr>
        <w:trPr>
          <w:trHeight w:val="446"/>
        </w:trPr>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600" w:type="dxa"/>
            <w:vAlign w:val="bottom"/>
            <w:gridSpan w:val="2"/>
          </w:tcPr>
          <w:p>
            <w:pPr>
              <w:ind w:left="1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Penelope Muradya</w:t>
            </w:r>
          </w:p>
        </w:tc>
      </w:tr>
      <w:tr>
        <w:trPr>
          <w:trHeight w:val="209"/>
        </w:trPr>
        <w:tc>
          <w:tcPr>
            <w:tcW w:w="3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Penelope Muradya</w:t>
            </w:r>
          </w:p>
        </w:tc>
      </w:tr>
      <w:tr>
        <w:trPr>
          <w:trHeight w:val="230"/>
        </w:trPr>
        <w:tc>
          <w:tcPr>
            <w:tcW w:w="3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Corporate Secretary</w:t>
            </w:r>
          </w:p>
        </w:tc>
      </w:tr>
      <w:tr>
        <w:trPr>
          <w:trHeight w:val="446"/>
        </w:trPr>
        <w:tc>
          <w:tcPr>
            <w:tcW w:w="4820" w:type="dxa"/>
            <w:vAlign w:val="bottom"/>
            <w:gridSpan w:val="2"/>
          </w:tcPr>
          <w:p>
            <w:pPr>
              <w:spacing w:after="0"/>
              <w:rPr>
                <w:sz w:val="20"/>
                <w:szCs w:val="20"/>
                <w:color w:val="auto"/>
              </w:rPr>
            </w:pPr>
            <w:r>
              <w:rPr>
                <w:rFonts w:ascii="Arial" w:cs="Arial" w:eastAsia="Arial" w:hAnsi="Arial"/>
                <w:sz w:val="18"/>
                <w:szCs w:val="18"/>
                <w:color w:val="auto"/>
              </w:rPr>
              <w:t>BMO HARRIS INVESTMENT MANAGEMENT INC.</w:t>
            </w:r>
          </w:p>
        </w:tc>
        <w:tc>
          <w:tcPr>
            <w:tcW w:w="6600" w:type="dxa"/>
            <w:vAlign w:val="bottom"/>
            <w:gridSpan w:val="2"/>
          </w:tcPr>
          <w:p>
            <w:pPr>
              <w:ind w:left="1780"/>
              <w:spacing w:after="0"/>
              <w:rPr>
                <w:sz w:val="20"/>
                <w:szCs w:val="20"/>
                <w:color w:val="auto"/>
              </w:rPr>
            </w:pPr>
            <w:r>
              <w:rPr>
                <w:rFonts w:ascii="Arial" w:cs="Arial" w:eastAsia="Arial" w:hAnsi="Arial"/>
                <w:sz w:val="18"/>
                <w:szCs w:val="18"/>
                <w:color w:val="auto"/>
              </w:rPr>
              <w:t>BMO INVESTORLINE, INC.</w:t>
            </w:r>
          </w:p>
        </w:tc>
      </w:tr>
      <w:tr>
        <w:trPr>
          <w:trHeight w:val="432"/>
        </w:trPr>
        <w:tc>
          <w:tcPr>
            <w:tcW w:w="482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Richard Mason</w:t>
            </w:r>
          </w:p>
        </w:tc>
        <w:tc>
          <w:tcPr>
            <w:tcW w:w="6600" w:type="dxa"/>
            <w:vAlign w:val="bottom"/>
            <w:gridSpan w:val="2"/>
          </w:tcPr>
          <w:p>
            <w:pPr>
              <w:ind w:left="1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Viki Lazaris</w:t>
            </w:r>
          </w:p>
        </w:tc>
      </w:tr>
      <w:tr>
        <w:trPr>
          <w:trHeight w:val="209"/>
        </w:trPr>
        <w:tc>
          <w:tcPr>
            <w:tcW w:w="380" w:type="dxa"/>
            <w:vAlign w:val="bottom"/>
          </w:tcPr>
          <w:p>
            <w:pPr>
              <w:spacing w:after="0"/>
              <w:rPr>
                <w:sz w:val="18"/>
                <w:szCs w:val="18"/>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Mason</w:t>
            </w:r>
          </w:p>
        </w:tc>
        <w:tc>
          <w:tcPr>
            <w:tcW w:w="2160" w:type="dxa"/>
            <w:vAlign w:val="bottom"/>
          </w:tcPr>
          <w:p>
            <w:pPr>
              <w:spacing w:after="0"/>
              <w:rPr>
                <w:sz w:val="18"/>
                <w:szCs w:val="18"/>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Viki Lazaris</w:t>
            </w:r>
          </w:p>
        </w:tc>
      </w:tr>
      <w:tr>
        <w:trPr>
          <w:trHeight w:val="230"/>
        </w:trPr>
        <w:tc>
          <w:tcPr>
            <w:tcW w:w="3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1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482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Penelope Muradya</w:t>
            </w:r>
          </w:p>
        </w:tc>
        <w:tc>
          <w:tcPr>
            <w:tcW w:w="6600" w:type="dxa"/>
            <w:vAlign w:val="bottom"/>
            <w:gridSpan w:val="2"/>
          </w:tcPr>
          <w:p>
            <w:pPr>
              <w:ind w:left="1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Kristina Germain</w:t>
            </w:r>
          </w:p>
        </w:tc>
      </w:tr>
      <w:tr>
        <w:trPr>
          <w:trHeight w:val="209"/>
        </w:trPr>
        <w:tc>
          <w:tcPr>
            <w:tcW w:w="380" w:type="dxa"/>
            <w:vAlign w:val="bottom"/>
          </w:tcPr>
          <w:p>
            <w:pPr>
              <w:spacing w:after="0"/>
              <w:rPr>
                <w:sz w:val="18"/>
                <w:szCs w:val="18"/>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Penelope Muradya</w:t>
            </w:r>
          </w:p>
        </w:tc>
        <w:tc>
          <w:tcPr>
            <w:tcW w:w="2160" w:type="dxa"/>
            <w:vAlign w:val="bottom"/>
          </w:tcPr>
          <w:p>
            <w:pPr>
              <w:spacing w:after="0"/>
              <w:rPr>
                <w:sz w:val="18"/>
                <w:szCs w:val="18"/>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Kristina Germain</w:t>
            </w:r>
          </w:p>
        </w:tc>
      </w:tr>
      <w:tr>
        <w:trPr>
          <w:trHeight w:val="230"/>
        </w:trPr>
        <w:tc>
          <w:tcPr>
            <w:tcW w:w="3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Corporate Secretary</w:t>
            </w:r>
          </w:p>
        </w:tc>
        <w:tc>
          <w:tcPr>
            <w:tcW w:w="21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Corporate Secretary</w:t>
            </w:r>
          </w:p>
        </w:tc>
      </w:tr>
      <w:tr>
        <w:trPr>
          <w:trHeight w:val="432"/>
        </w:trPr>
        <w:tc>
          <w:tcPr>
            <w:tcW w:w="4820" w:type="dxa"/>
            <w:vAlign w:val="bottom"/>
            <w:gridSpan w:val="2"/>
          </w:tcPr>
          <w:p>
            <w:pPr>
              <w:spacing w:after="0"/>
              <w:rPr>
                <w:sz w:val="20"/>
                <w:szCs w:val="20"/>
                <w:color w:val="auto"/>
              </w:rPr>
            </w:pPr>
            <w:r>
              <w:rPr>
                <w:rFonts w:ascii="Arial" w:cs="Arial" w:eastAsia="Arial" w:hAnsi="Arial"/>
                <w:sz w:val="18"/>
                <w:szCs w:val="18"/>
                <w:color w:val="auto"/>
              </w:rPr>
              <w:t>BMO LIFE ASSURANCE COMPANY</w:t>
            </w:r>
          </w:p>
        </w:tc>
        <w:tc>
          <w:tcPr>
            <w:tcW w:w="6600" w:type="dxa"/>
            <w:vAlign w:val="bottom"/>
            <w:gridSpan w:val="2"/>
          </w:tcPr>
          <w:p>
            <w:pPr>
              <w:ind w:left="1780"/>
              <w:spacing w:after="0"/>
              <w:rPr>
                <w:sz w:val="20"/>
                <w:szCs w:val="20"/>
                <w:color w:val="auto"/>
              </w:rPr>
            </w:pPr>
            <w:r>
              <w:rPr>
                <w:rFonts w:ascii="Arial" w:cs="Arial" w:eastAsia="Arial" w:hAnsi="Arial"/>
                <w:sz w:val="18"/>
                <w:szCs w:val="18"/>
                <w:color w:val="auto"/>
              </w:rPr>
              <w:t>BMO NESBITT BURNS INC.</w:t>
            </w:r>
          </w:p>
        </w:tc>
      </w:tr>
      <w:tr>
        <w:trPr>
          <w:trHeight w:val="432"/>
        </w:trPr>
        <w:tc>
          <w:tcPr>
            <w:tcW w:w="482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Peter McCarthy</w:t>
            </w:r>
          </w:p>
        </w:tc>
        <w:tc>
          <w:tcPr>
            <w:tcW w:w="6600" w:type="dxa"/>
            <w:vAlign w:val="bottom"/>
            <w:gridSpan w:val="2"/>
          </w:tcPr>
          <w:p>
            <w:pPr>
              <w:ind w:left="1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Peter Hinman</w:t>
            </w:r>
          </w:p>
        </w:tc>
      </w:tr>
      <w:tr>
        <w:trPr>
          <w:trHeight w:val="209"/>
        </w:trPr>
        <w:tc>
          <w:tcPr>
            <w:tcW w:w="380" w:type="dxa"/>
            <w:vAlign w:val="bottom"/>
          </w:tcPr>
          <w:p>
            <w:pPr>
              <w:spacing w:after="0"/>
              <w:rPr>
                <w:sz w:val="18"/>
                <w:szCs w:val="18"/>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Peter McCarthy</w:t>
            </w:r>
          </w:p>
        </w:tc>
        <w:tc>
          <w:tcPr>
            <w:tcW w:w="2160" w:type="dxa"/>
            <w:vAlign w:val="bottom"/>
          </w:tcPr>
          <w:p>
            <w:pPr>
              <w:spacing w:after="0"/>
              <w:rPr>
                <w:sz w:val="18"/>
                <w:szCs w:val="18"/>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Peter Hinman</w:t>
            </w:r>
          </w:p>
        </w:tc>
      </w:tr>
      <w:tr>
        <w:trPr>
          <w:trHeight w:val="230"/>
        </w:trPr>
        <w:tc>
          <w:tcPr>
            <w:tcW w:w="3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1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482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Vandra Goedvolk</w:t>
            </w:r>
          </w:p>
        </w:tc>
        <w:tc>
          <w:tcPr>
            <w:tcW w:w="216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09"/>
        </w:trPr>
        <w:tc>
          <w:tcPr>
            <w:tcW w:w="380" w:type="dxa"/>
            <w:vAlign w:val="bottom"/>
          </w:tcPr>
          <w:p>
            <w:pPr>
              <w:spacing w:after="0"/>
              <w:rPr>
                <w:sz w:val="18"/>
                <w:szCs w:val="18"/>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Vandra Goedvolk</w:t>
            </w:r>
          </w:p>
        </w:tc>
        <w:tc>
          <w:tcPr>
            <w:tcW w:w="2160" w:type="dxa"/>
            <w:vAlign w:val="bottom"/>
          </w:tcPr>
          <w:p>
            <w:pPr>
              <w:spacing w:after="0"/>
              <w:rPr>
                <w:sz w:val="18"/>
                <w:szCs w:val="18"/>
                <w:color w:val="auto"/>
              </w:rPr>
            </w:pPr>
          </w:p>
        </w:tc>
        <w:tc>
          <w:tcPr>
            <w:tcW w:w="444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Corporate Secretary</w:t>
            </w:r>
          </w:p>
        </w:tc>
        <w:tc>
          <w:tcPr>
            <w:tcW w:w="216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365"/>
        </w:trPr>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160" w:type="dxa"/>
            <w:vAlign w:val="bottom"/>
          </w:tcPr>
          <w:p>
            <w:pPr>
              <w:ind w:left="800"/>
              <w:spacing w:after="0"/>
              <w:rPr>
                <w:sz w:val="20"/>
                <w:szCs w:val="20"/>
                <w:color w:val="auto"/>
              </w:rPr>
            </w:pPr>
            <w:r>
              <w:rPr>
                <w:rFonts w:ascii="Arial" w:cs="Arial" w:eastAsia="Arial" w:hAnsi="Arial"/>
                <w:sz w:val="18"/>
                <w:szCs w:val="18"/>
                <w:color w:val="auto"/>
              </w:rPr>
              <w:t>13</w:t>
            </w:r>
          </w:p>
        </w:tc>
        <w:tc>
          <w:tcPr>
            <w:tcW w:w="44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3" w:name="page14"/>
    <w:bookmarkEnd w:id="13"/>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BANK OF MONTREAL IRELAND PLC</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BMO CAPITAL MARKETS LIMITED</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Neil Ward</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William Smith</w:t>
            </w:r>
          </w:p>
        </w:tc>
      </w:tr>
      <w:tr>
        <w:trPr>
          <w:trHeight w:val="209"/>
        </w:trPr>
        <w:tc>
          <w:tcPr>
            <w:tcW w:w="38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Neil Ward</w:t>
            </w:r>
          </w:p>
        </w:tc>
        <w:tc>
          <w:tcPr>
            <w:tcW w:w="100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William Smith</w:t>
            </w:r>
          </w:p>
        </w:tc>
      </w:tr>
      <w:tr>
        <w:trPr>
          <w:trHeight w:val="230"/>
        </w:trPr>
        <w:tc>
          <w:tcPr>
            <w:tcW w:w="3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General Manager</w:t>
            </w:r>
          </w:p>
        </w:tc>
        <w:tc>
          <w:tcPr>
            <w:tcW w:w="10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Alan Lynch</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Scott Matthews</w:t>
            </w:r>
          </w:p>
        </w:tc>
      </w:tr>
      <w:tr>
        <w:trPr>
          <w:trHeight w:val="209"/>
        </w:trPr>
        <w:tc>
          <w:tcPr>
            <w:tcW w:w="38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Alan Lynch</w:t>
            </w:r>
          </w:p>
        </w:tc>
        <w:tc>
          <w:tcPr>
            <w:tcW w:w="100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Scott Matthews</w:t>
            </w:r>
          </w:p>
        </w:tc>
      </w:tr>
      <w:tr>
        <w:trPr>
          <w:trHeight w:val="230"/>
        </w:trPr>
        <w:tc>
          <w:tcPr>
            <w:tcW w:w="3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0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BMO GLOBAL ASSET MANAGEMENT (ASIA) LIMITED</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LLOYD GEORGE MANAGEMENT (BERMUDA) LTD.</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Drew Newman</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Drew Newman</w:t>
            </w:r>
          </w:p>
        </w:tc>
      </w:tr>
      <w:tr>
        <w:trPr>
          <w:trHeight w:val="209"/>
        </w:trPr>
        <w:tc>
          <w:tcPr>
            <w:tcW w:w="38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Drew Newman</w:t>
            </w:r>
          </w:p>
        </w:tc>
        <w:tc>
          <w:tcPr>
            <w:tcW w:w="100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Drew Newman</w:t>
            </w:r>
          </w:p>
        </w:tc>
      </w:tr>
      <w:tr>
        <w:trPr>
          <w:trHeight w:val="230"/>
        </w:trPr>
        <w:tc>
          <w:tcPr>
            <w:tcW w:w="3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10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PYRFORD INTERNATIONAL LIMITED</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LLOYD GEORGE MANAGEMENT (EUROPE) LTD.</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Drew Newman</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Drew Newman</w:t>
            </w:r>
          </w:p>
        </w:tc>
      </w:tr>
      <w:tr>
        <w:trPr>
          <w:trHeight w:val="209"/>
        </w:trPr>
        <w:tc>
          <w:tcPr>
            <w:tcW w:w="38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Drew Newman</w:t>
            </w:r>
          </w:p>
        </w:tc>
        <w:tc>
          <w:tcPr>
            <w:tcW w:w="100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Drew Newman</w:t>
            </w:r>
          </w:p>
        </w:tc>
      </w:tr>
      <w:tr>
        <w:trPr>
          <w:trHeight w:val="230"/>
        </w:trPr>
        <w:tc>
          <w:tcPr>
            <w:tcW w:w="3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10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STOKER OSTLER WEALTH ADVISORS INC.</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SULLIVAN, BRUYETTE, SPEROS &amp; BLAYNEY, INC.</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Michelle L. Decker</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Gregory Sullivan</w:t>
            </w:r>
          </w:p>
        </w:tc>
      </w:tr>
      <w:tr>
        <w:trPr>
          <w:trHeight w:val="209"/>
        </w:trPr>
        <w:tc>
          <w:tcPr>
            <w:tcW w:w="38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Michelle L. Decker</w:t>
            </w:r>
          </w:p>
        </w:tc>
        <w:tc>
          <w:tcPr>
            <w:tcW w:w="100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Gregory Sullivan</w:t>
            </w:r>
          </w:p>
        </w:tc>
      </w:tr>
      <w:tr>
        <w:trPr>
          <w:trHeight w:val="230"/>
        </w:trPr>
        <w:tc>
          <w:tcPr>
            <w:tcW w:w="3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10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TAPLIN, CANIDA &amp; HABACHT, LLC</w:t>
            </w:r>
          </w:p>
        </w:tc>
        <w:tc>
          <w:tcPr>
            <w:tcW w:w="100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Tere Alvarez Canida</w:t>
            </w:r>
          </w:p>
        </w:tc>
        <w:tc>
          <w:tcPr>
            <w:tcW w:w="100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09"/>
        </w:trPr>
        <w:tc>
          <w:tcPr>
            <w:tcW w:w="38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Tere Alvarez Canida</w:t>
            </w:r>
          </w:p>
        </w:tc>
        <w:tc>
          <w:tcPr>
            <w:tcW w:w="100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President</w:t>
            </w:r>
          </w:p>
        </w:tc>
        <w:tc>
          <w:tcPr>
            <w:tcW w:w="100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365"/>
        </w:trPr>
        <w:tc>
          <w:tcPr>
            <w:tcW w:w="3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Arial" w:cs="Arial" w:eastAsia="Arial" w:hAnsi="Arial"/>
                <w:sz w:val="18"/>
                <w:szCs w:val="18"/>
                <w:color w:val="auto"/>
              </w:rPr>
              <w:t>14</w:t>
            </w:r>
          </w:p>
        </w:tc>
        <w:tc>
          <w:tcPr>
            <w:tcW w:w="5020" w:type="dxa"/>
            <w:vAlign w:val="bottom"/>
          </w:tcPr>
          <w:p>
            <w:pPr>
              <w:spacing w:after="0"/>
              <w:rPr>
                <w:sz w:val="24"/>
                <w:szCs w:val="24"/>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10"/>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3"/>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5"/>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2019-12-05T10:40:12Z</dcterms:created>
  <dcterms:modified xsi:type="dcterms:W3CDTF">2019-12-05T10:40:12Z</dcterms:modified>
</cp:coreProperties>
</file>