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51"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-160020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5" w:lineRule="exact"/>
        <w:rPr>
          <w:sz w:val="24"/>
          <w:szCs w:val="24"/>
          <w:color w:val="auto"/>
        </w:rPr>
      </w:pPr>
    </w:p>
    <w:p>
      <w:pPr>
        <w:ind w:left="2440"/>
        <w:spacing w:after="0"/>
        <w:rPr>
          <w:sz w:val="20"/>
          <w:szCs w:val="20"/>
          <w:color w:val="auto"/>
        </w:rPr>
      </w:pPr>
      <w:r>
        <w:rPr>
          <w:rFonts w:ascii="Arial" w:cs="Arial" w:eastAsia="Arial" w:hAnsi="Arial"/>
          <w:sz w:val="21"/>
          <w:szCs w:val="21"/>
          <w:b w:val="1"/>
          <w:bCs w:val="1"/>
          <w:color w:val="auto"/>
        </w:rPr>
        <w:t>ANNUAL REPORT PURSUANT TO SECTION 13 OR 15(d) OF THE</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Fiscal Year Ended March 31, 2019</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No. 0-7647</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-254635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859" w:right="259" w:bottom="1440" w:gutter="0" w:footer="0" w:header="0"/>
        </w:sectPr>
      </w:pPr>
    </w:p>
    <w:p>
      <w:pPr>
        <w:spacing w:after="0" w:line="336" w:lineRule="exact"/>
        <w:rPr>
          <w:sz w:val="24"/>
          <w:szCs w:val="24"/>
          <w:color w:val="auto"/>
        </w:rPr>
      </w:pPr>
    </w:p>
    <w:p>
      <w:pPr>
        <w:ind w:left="2540"/>
        <w:spacing w:after="0"/>
        <w:rPr>
          <w:sz w:val="20"/>
          <w:szCs w:val="20"/>
          <w:color w:val="auto"/>
        </w:rPr>
      </w:pPr>
      <w:r>
        <w:rPr>
          <w:rFonts w:ascii="Arial" w:cs="Arial" w:eastAsia="Arial" w:hAnsi="Arial"/>
          <w:sz w:val="12"/>
          <w:szCs w:val="12"/>
          <w:b w:val="1"/>
          <w:bCs w:val="1"/>
          <w:color w:val="auto"/>
        </w:rPr>
        <w:t>Minnesota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41-0771293</w:t>
      </w:r>
    </w:p>
    <w:p>
      <w:pPr>
        <w:spacing w:after="0" w:line="68" w:lineRule="exact"/>
        <w:rPr>
          <w:sz w:val="24"/>
          <w:szCs w:val="24"/>
          <w:color w:val="auto"/>
        </w:rPr>
      </w:pPr>
    </w:p>
    <w:p>
      <w:pPr>
        <w:sectPr>
          <w:pgSz w:w="11900" w:h="16838" w:orient="portrait"/>
          <w:cols w:equalWidth="0" w:num="2">
            <w:col w:w="7740" w:space="720"/>
            <w:col w:w="2940"/>
          </w:cols>
          <w:pgMar w:left="240" w:top="859" w:right="259" w:bottom="1440" w:gutter="0" w:footer="0" w:header="0"/>
          <w:type w:val="continuous"/>
        </w:sectPr>
      </w:pPr>
    </w:p>
    <w:p>
      <w:pPr>
        <w:spacing w:after="0" w:line="1" w:lineRule="exact"/>
        <w:rPr>
          <w:sz w:val="24"/>
          <w:szCs w:val="24"/>
          <w:color w:val="auto"/>
        </w:rPr>
      </w:pPr>
    </w:p>
    <w:p>
      <w:pPr>
        <w:ind w:left="2180"/>
        <w:spacing w:after="0"/>
        <w:rPr>
          <w:sz w:val="20"/>
          <w:szCs w:val="20"/>
          <w:color w:val="auto"/>
        </w:rPr>
      </w:pPr>
      <w:r>
        <w:rPr>
          <w:rFonts w:ascii="Arial" w:cs="Arial" w:eastAsia="Arial" w:hAnsi="Arial"/>
          <w:sz w:val="13"/>
          <w:szCs w:val="13"/>
          <w:color w:val="auto"/>
        </w:rPr>
        <w:t>(State 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37" w:lineRule="exact"/>
        <w:rPr>
          <w:sz w:val="24"/>
          <w:szCs w:val="24"/>
          <w:color w:val="auto"/>
        </w:rPr>
      </w:pPr>
    </w:p>
    <w:p>
      <w:pPr>
        <w:sectPr>
          <w:pgSz w:w="11900" w:h="16838" w:orient="portrait"/>
          <w:cols w:equalWidth="0" w:num="2">
            <w:col w:w="7540" w:space="720"/>
            <w:col w:w="3140"/>
          </w:cols>
          <w:pgMar w:left="240" w:top="859" w:right="25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55113</w:t>
      </w:r>
    </w:p>
    <w:p>
      <w:pPr>
        <w:spacing w:after="0" w:line="69" w:lineRule="exact"/>
        <w:rPr>
          <w:sz w:val="24"/>
          <w:szCs w:val="24"/>
          <w:color w:val="auto"/>
        </w:rPr>
      </w:pPr>
    </w:p>
    <w:p>
      <w:pPr>
        <w:sectPr>
          <w:pgSz w:w="11900" w:h="16838" w:orient="portrait"/>
          <w:cols w:equalWidth="0" w:num="2">
            <w:col w:w="7900" w:space="720"/>
            <w:col w:w="2780"/>
          </w:cols>
          <w:pgMar w:left="240" w:top="859" w:right="259" w:bottom="1440" w:gutter="0" w:footer="0" w:header="0"/>
          <w:type w:val="continuous"/>
        </w:sectPr>
      </w:pPr>
    </w:p>
    <w:p>
      <w:pPr>
        <w:ind w:left="16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49" w:lineRule="exact"/>
        <w:rPr>
          <w:sz w:val="24"/>
          <w:szCs w:val="24"/>
          <w:color w:val="auto"/>
        </w:rPr>
      </w:pPr>
    </w:p>
    <w:p>
      <w:pPr>
        <w:sectPr>
          <w:pgSz w:w="11900" w:h="16838" w:orient="portrait"/>
          <w:cols w:equalWidth="0" w:num="2">
            <w:col w:w="7760" w:space="720"/>
            <w:col w:w="2920"/>
          </w:cols>
          <w:pgMar w:left="240" w:top="8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(612) 331-6910</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79" w:lineRule="exact"/>
        <w:rPr>
          <w:sz w:val="24"/>
          <w:szCs w:val="24"/>
          <w:color w:val="auto"/>
        </w:rPr>
      </w:pPr>
    </w:p>
    <w:p>
      <w:pPr>
        <w:jc w:val="center"/>
        <w:ind w:right="340"/>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400"/>
          </w:cols>
          <w:pgMar w:left="240" w:top="859" w:right="259" w:bottom="1440" w:gutter="0" w:footer="0" w:header="0"/>
          <w:type w:val="continuous"/>
        </w:sectPr>
      </w:pPr>
    </w:p>
    <w:p>
      <w:pPr>
        <w:spacing w:after="0" w:line="61"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68" w:lineRule="exact"/>
        <w:rPr>
          <w:sz w:val="24"/>
          <w:szCs w:val="24"/>
          <w:color w:val="auto"/>
        </w:rPr>
      </w:pPr>
    </w:p>
    <w:p>
      <w:pPr>
        <w:sectPr>
          <w:pgSz w:w="11900" w:h="16838" w:orient="portrait"/>
          <w:cols w:equalWidth="0" w:num="3">
            <w:col w:w="4380" w:space="720"/>
            <w:col w:w="2100" w:space="720"/>
            <w:col w:w="3480"/>
          </w:cols>
          <w:pgMar w:left="240" w:top="859" w:right="259" w:bottom="1440" w:gutter="0" w:footer="0" w:header="0"/>
          <w:type w:val="continuous"/>
        </w:sectPr>
      </w:pPr>
    </w:p>
    <w:p>
      <w:pPr>
        <w:ind w:left="860"/>
        <w:spacing w:after="0"/>
        <w:rPr>
          <w:sz w:val="20"/>
          <w:szCs w:val="20"/>
          <w:color w:val="auto"/>
        </w:rPr>
      </w:pPr>
      <w:r>
        <w:rPr>
          <w:rFonts w:ascii="Arial" w:cs="Arial" w:eastAsia="Arial" w:hAnsi="Arial"/>
          <w:sz w:val="12"/>
          <w:szCs w:val="12"/>
          <w:color w:val="auto"/>
        </w:rPr>
        <w:t>Common Stock, par value $.05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Nasdaq Stock Market LLC</w:t>
      </w:r>
    </w:p>
    <w:p>
      <w:pPr>
        <w:spacing w:after="0" w:line="49" w:lineRule="exact"/>
        <w:rPr>
          <w:sz w:val="24"/>
          <w:szCs w:val="24"/>
          <w:color w:val="auto"/>
        </w:rPr>
      </w:pPr>
    </w:p>
    <w:p>
      <w:pPr>
        <w:sectPr>
          <w:pgSz w:w="11900" w:h="16838" w:orient="portrait"/>
          <w:cols w:equalWidth="0" w:num="3">
            <w:col w:w="4660" w:space="720"/>
            <w:col w:w="2320" w:space="720"/>
            <w:col w:w="2980"/>
          </w:cols>
          <w:pgMar w:left="240" w:top="859" w:right="259" w:bottom="1440" w:gutter="0" w:footer="0" w:header="0"/>
          <w:type w:val="continuous"/>
        </w:sectPr>
      </w:pPr>
    </w:p>
    <w:p>
      <w:pPr>
        <w:ind w:left="36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1291590</wp:posOffset>
            </wp:positionH>
            <wp:positionV relativeFrom="paragraph">
              <wp:posOffset>287020</wp:posOffset>
            </wp:positionV>
            <wp:extent cx="4545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None</w:t>
      </w:r>
    </w:p>
    <w:p>
      <w:pPr>
        <w:spacing w:after="0" w:line="200" w:lineRule="exact"/>
        <w:rPr>
          <w:sz w:val="24"/>
          <w:szCs w:val="24"/>
          <w:color w:val="auto"/>
        </w:rPr>
      </w:pPr>
    </w:p>
    <w:p>
      <w:pPr>
        <w:sectPr>
          <w:pgSz w:w="11900" w:h="16838" w:orient="portrait"/>
          <w:cols w:equalWidth="0" w:num="2">
            <w:col w:w="7140" w:space="140"/>
            <w:col w:w="4120"/>
          </w:cols>
          <w:pgMar w:left="240" w:top="859" w:right="259" w:bottom="1440" w:gutter="0" w:footer="0" w:header="0"/>
          <w:type w:val="continuous"/>
        </w:sectPr>
      </w:pPr>
    </w:p>
    <w:p>
      <w:pPr>
        <w:spacing w:after="0" w:line="200" w:lineRule="exact"/>
        <w:rPr>
          <w:sz w:val="24"/>
          <w:szCs w:val="24"/>
          <w:color w:val="auto"/>
        </w:rPr>
      </w:pPr>
    </w:p>
    <w:p>
      <w:pPr>
        <w:spacing w:after="0" w:line="35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5">
            <w:col w:w="7940" w:space="160"/>
            <w:col w:w="240" w:space="80"/>
            <w:col w:w="140" w:space="160"/>
            <w:col w:w="200" w:space="80"/>
            <w:col w:w="2400"/>
          </w:cols>
          <w:pgMar w:left="240" w:top="859" w:right="25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5">
            <w:col w:w="8080" w:space="160"/>
            <w:col w:w="240" w:space="80"/>
            <w:col w:w="140" w:space="160"/>
            <w:col w:w="200" w:space="80"/>
            <w:col w:w="2260"/>
          </w:cols>
          <w:pgMar w:left="240" w:top="859" w:right="259" w:bottom="1440" w:gutter="0" w:footer="0" w:header="0"/>
          <w:type w:val="continuous"/>
        </w:sect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40" w:firstLine="324"/>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260" w:firstLine="648"/>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859" w:right="259" w:bottom="1440" w:gutter="0" w:footer="0" w:header="0"/>
          <w:type w:val="continuous"/>
        </w:sectPr>
      </w:pPr>
    </w:p>
    <w:p>
      <w:pPr>
        <w:spacing w:after="0" w:line="175" w:lineRule="exact"/>
        <w:rPr>
          <w:sz w:val="24"/>
          <w:szCs w:val="24"/>
          <w:color w:val="auto"/>
        </w:rPr>
      </w:pPr>
    </w:p>
    <w:p>
      <w:pPr>
        <w:ind w:left="3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8" w:lineRule="exact"/>
        <w:rPr>
          <w:sz w:val="24"/>
          <w:szCs w:val="24"/>
          <w:color w:val="auto"/>
        </w:rPr>
      </w:pPr>
    </w:p>
    <w:p>
      <w:pPr>
        <w:sectPr>
          <w:pgSz w:w="11900" w:h="16838" w:orient="portrait"/>
          <w:cols w:equalWidth="0" w:num="3">
            <w:col w:w="1680" w:space="120"/>
            <w:col w:w="7280" w:space="720"/>
            <w:col w:w="1600"/>
          </w:cols>
          <w:pgMar w:left="240" w:top="859" w:right="259" w:bottom="1440" w:gutter="0" w:footer="0" w:header="0"/>
          <w:type w:val="continuous"/>
        </w:sectPr>
      </w:pPr>
    </w:p>
    <w:p>
      <w:pPr>
        <w:spacing w:after="0" w:line="83" w:lineRule="exact"/>
        <w:rPr>
          <w:sz w:val="24"/>
          <w:szCs w:val="24"/>
          <w:color w:val="auto"/>
        </w:rPr>
      </w:pPr>
    </w:p>
    <w:p>
      <w:pPr>
        <w:ind w:left="5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21" w:lineRule="exact"/>
        <w:rPr>
          <w:sz w:val="24"/>
          <w:szCs w:val="24"/>
          <w:color w:val="auto"/>
        </w:rPr>
      </w:pPr>
    </w:p>
    <w:p>
      <w:pPr>
        <w:sectPr>
          <w:pgSz w:w="11900" w:h="16838" w:orient="portrait"/>
          <w:cols w:equalWidth="0" w:num="3">
            <w:col w:w="1760" w:space="40"/>
            <w:col w:w="6660" w:space="720"/>
            <w:col w:w="2220"/>
          </w:cols>
          <w:pgMar w:left="240" w:top="859" w:right="259" w:bottom="1440" w:gutter="0" w:footer="0" w:header="0"/>
          <w:type w:val="continuous"/>
        </w:sectPr>
      </w:pPr>
    </w:p>
    <w:p>
      <w:pPr>
        <w:ind w:left="9180"/>
        <w:spacing w:after="0"/>
        <w:rPr>
          <w:sz w:val="20"/>
          <w:szCs w:val="20"/>
          <w:color w:val="auto"/>
        </w:rPr>
      </w:pPr>
      <w:r>
        <w:rPr>
          <w:rFonts w:ascii="Arial" w:cs="Arial" w:eastAsia="Arial" w:hAnsi="Arial"/>
          <w:sz w:val="14"/>
          <w:szCs w:val="14"/>
          <w:color w:val="auto"/>
        </w:rPr>
        <w:t>Emerging growth company o</w:t>
      </w:r>
    </w:p>
    <w:p>
      <w:pPr>
        <w:spacing w:after="0" w:line="253" w:lineRule="exact"/>
        <w:rPr>
          <w:sz w:val="24"/>
          <w:szCs w:val="24"/>
          <w:color w:val="auto"/>
        </w:rPr>
      </w:pPr>
    </w:p>
    <w:p>
      <w:pPr>
        <w:ind w:right="100" w:firstLine="648"/>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859" w:right="259" w:bottom="1440" w:gutter="0" w:footer="0" w:header="0"/>
          <w:type w:val="continuous"/>
        </w:sectPr>
      </w:pPr>
    </w:p>
    <w:p>
      <w:pPr>
        <w:spacing w:after="0" w:line="330" w:lineRule="exact"/>
        <w:rPr>
          <w:sz w:val="24"/>
          <w:szCs w:val="24"/>
          <w:color w:val="auto"/>
        </w:rPr>
      </w:pPr>
    </w:p>
    <w:p>
      <w:pPr>
        <w:ind w:firstLine="324"/>
        <w:spacing w:after="0" w:line="315" w:lineRule="auto"/>
        <w:rPr>
          <w:sz w:val="20"/>
          <w:szCs w:val="20"/>
          <w:color w:val="auto"/>
        </w:rPr>
      </w:pPr>
      <w:r>
        <w:rPr>
          <w:rFonts w:ascii="Arial" w:cs="Arial" w:eastAsia="Arial" w:hAnsi="Arial"/>
          <w:sz w:val="14"/>
          <w:szCs w:val="14"/>
          <w:color w:val="auto"/>
        </w:rPr>
        <w:t>The aggregate market value of voting stock held by non-affiliates of the Registrant on September 30, 2018 (the last business day of the Registrant’s most recently completed second fiscal quarter) was approximately $400.2 million based upon the closing sale price for the Registrant’s common stock on that date as reported by The Nasdaq Stock Market LLC, excluding all shares held by officers and directors of the Registrant and by the Trustees of the Registrant’s Employee Stock Ownership Plan and Trust.</w:t>
      </w:r>
    </w:p>
    <w:p>
      <w:pPr>
        <w:spacing w:after="0" w:line="2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17, 2019, the Registrant had 10,624,525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180975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1"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Portions of our definitive Proxy Statement for the annual meeting of shareholders to be held August 1, 2019, are incorporated by reference in Part III of this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177165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91440</wp:posOffset>
            </wp:positionV>
            <wp:extent cx="6877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2020” means our fiscal year ending March 29, 2020, “fiscal 2019” means our fiscal year ended March 31, 2019, “fiscal 2018” means our fiscal year ended April 1, 2018, “fiscal 2017” means our fiscal year ended April 2, 2017, and “fiscal 2016” means our fiscal year ended April 3,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10"/>
          </w:tcPr>
          <w:p>
            <w:pPr>
              <w:jc w:val="center"/>
              <w:ind w:right="2660"/>
              <w:spacing w:after="0"/>
              <w:rPr>
                <w:sz w:val="20"/>
                <w:szCs w:val="20"/>
                <w:color w:val="auto"/>
              </w:rPr>
            </w:pPr>
            <w:r>
              <w:rPr>
                <w:rFonts w:ascii="Arial" w:cs="Arial" w:eastAsia="Arial" w:hAnsi="Arial"/>
                <w:sz w:val="18"/>
                <w:szCs w:val="18"/>
                <w:b w:val="1"/>
                <w:bCs w:val="1"/>
                <w:color w:val="auto"/>
                <w:w w:val="91"/>
              </w:rPr>
              <w:t>For the Fiscal Year Ended March 31, 2019</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980" w:type="dxa"/>
            <w:vAlign w:val="bottom"/>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120" w:type="dxa"/>
            <w:vAlign w:val="bottom"/>
            <w:gridSpan w:val="2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7080" w:type="dxa"/>
            <w:vAlign w:val="bottom"/>
            <w:gridSpan w:val="11"/>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7780" w:type="dxa"/>
            <w:vAlign w:val="bottom"/>
            <w:gridSpan w:val="1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120" w:type="dxa"/>
            <w:vAlign w:val="bottom"/>
            <w:gridSpan w:val="21"/>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980" w:type="dxa"/>
            <w:vAlign w:val="bottom"/>
            <w:tcBorders>
              <w:bottom w:val="single" w:sz="8" w:color="CCEEFF"/>
            </w:tcBorders>
            <w:gridSpan w:val="7"/>
            <w:shd w:val="clear" w:color="auto" w:fill="CCEEFF"/>
          </w:tcPr>
          <w:p>
            <w:pPr>
              <w:jc w:val="center"/>
              <w:ind w:right="408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120" w:type="dxa"/>
            <w:vAlign w:val="bottom"/>
            <w:gridSpan w:val="21"/>
          </w:tcPr>
          <w:p>
            <w:pPr>
              <w:spacing w:after="0" w:line="20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72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7400" w:type="dxa"/>
            <w:vAlign w:val="bottom"/>
            <w:gridSpan w:val="14"/>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120" w:type="dxa"/>
            <w:vAlign w:val="bottom"/>
            <w:gridSpan w:val="21"/>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4320" w:type="dxa"/>
            <w:vAlign w:val="bottom"/>
            <w:gridSpan w:val="15"/>
            <w:shd w:val="clear" w:color="auto" w:fill="CCEEFF"/>
          </w:tcPr>
          <w:p>
            <w:pPr>
              <w:spacing w:after="0" w:line="202"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4800" w:type="dxa"/>
            <w:vAlign w:val="bottom"/>
            <w:gridSpan w:val="6"/>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4320" w:type="dxa"/>
            <w:vAlign w:val="bottom"/>
            <w:gridSpan w:val="15"/>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4800" w:type="dxa"/>
            <w:vAlign w:val="bottom"/>
            <w:gridSpan w:val="6"/>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648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2640" w:type="dxa"/>
            <w:vAlign w:val="bottom"/>
            <w:gridSpan w:val="3"/>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and Corporate Governance</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140" w:type="dxa"/>
            <w:vAlign w:val="bottom"/>
            <w:gridSpan w:val="14"/>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w:t>
              </w:r>
            </w:hyperlink>
          </w:p>
        </w:tc>
        <w:tc>
          <w:tcPr>
            <w:tcW w:w="4980" w:type="dxa"/>
            <w:vAlign w:val="bottom"/>
            <w:gridSpan w:val="7"/>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340" w:type="dxa"/>
            <w:vAlign w:val="bottom"/>
            <w:gridSpan w:val="19"/>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48"/>
        </w:trPr>
        <w:tc>
          <w:tcPr>
            <w:tcW w:w="106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43"/>
        </w:trPr>
        <w:tc>
          <w:tcPr>
            <w:tcW w:w="106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498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120" w:type="dxa"/>
            <w:vAlign w:val="bottom"/>
            <w:gridSpan w:val="21"/>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r>
      <w:tr>
        <w:trPr>
          <w:trHeight w:val="48"/>
        </w:trPr>
        <w:tc>
          <w:tcPr>
            <w:tcW w:w="10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6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line="202"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Form 10-K Summary</w:t>
              </w:r>
            </w:hyperlink>
          </w:p>
        </w:tc>
        <w:tc>
          <w:tcPr>
            <w:tcW w:w="1600" w:type="dxa"/>
            <w:vAlign w:val="bottom"/>
            <w:gridSpan w:val="6"/>
          </w:tcPr>
          <w:p>
            <w:pPr>
              <w:spacing w:after="0"/>
              <w:rPr>
                <w:sz w:val="17"/>
                <w:szCs w:val="17"/>
                <w:color w:val="auto"/>
              </w:rPr>
            </w:pPr>
          </w:p>
        </w:tc>
        <w:tc>
          <w:tcPr>
            <w:tcW w:w="5960" w:type="dxa"/>
            <w:vAlign w:val="bottom"/>
            <w:gridSpan w:val="9"/>
          </w:tcPr>
          <w:p>
            <w:pPr>
              <w:spacing w:after="0"/>
              <w:rPr>
                <w:sz w:val="17"/>
                <w:szCs w:val="17"/>
                <w:color w:val="auto"/>
              </w:rPr>
            </w:pPr>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10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00"/>
          </w:cols>
          <w:pgMar w:left="240" w:top="36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distributes, blends and manufactures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conduct our business in three segments: Industrial, Water Treatment, and Health and Nutrition. Our Health and Nutrition segment was established as a result of our acquisition of Stauber Performance Ingredients (“Stauber”) in fiscal 2016.</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Our Industrial Group specializes in providing industrial chemicals, products and services to industries such as agriculture, 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electronics, energy, food, pharmaceutical and plating. This group’s principal products are acids, alkalis and industrial and food-grade salts.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urea, phosphoric acid, aqua ammonia and potassium hydroxide;</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group’s sales are concentrated primarily in Illinois, Iowa, Kentucky, Minnesota, Missouri, North Carolina, North Dakota, South Dakota, Tennessee and Wisconsin, while the group’s products sold into the food and pharmaceutical markets are sold nationally. The Industrial Group relies on a specially trained sales staff that works directly with customers on their specific needs. The group conducts its business primarily through distribution centers and terminal operations. Agricultural sales within this group tend to be seasonal, with higher sales due to the application of fertilizer during the planting season of March through June given the regions of the country where we are located.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 municipal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wastewater, industrial process water and non-residential swimming pool water. This group has the resources and flexibility to treat systems ranging in size from a single small well to a multi-million-gallon-per-day facility.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resources, which leverage fixed costs across both groups.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operates out of 29 warehouses supplying products and services to customers primarily in Florida, Illinois, Iowa, Kansas, Minnesota, Missouri, Nebraska, North Dakota, South Dakota and Wisconsin. We expect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We established the Health and Nutrition segment of our business in fiscal 2016 through our acquisition of Stauber.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distributed specialty products and our manufactured products,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Concentration. </w:t>
      </w:r>
      <w:r>
        <w:rPr>
          <w:rFonts w:ascii="Arial" w:cs="Arial" w:eastAsia="Arial" w:hAnsi="Arial"/>
          <w:sz w:val="16"/>
          <w:szCs w:val="16"/>
          <w:color w:val="auto"/>
        </w:rPr>
        <w:t>In fiscal 2019, none of our customers accounted for 10% or more of our total sales. Sales to our largest customer, which is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segment, represented approximately 4-5% of our total sales in each of fiscal 2019, 2018 and 2017. Aggregate sales to our five largest customers, three of which are currently in our Industrial segment and two of which are in our Health and Nutrition segment for fiscal 2019, represented approximately 12% of our total sales in each of fiscal 2019, 2018 and 2017. No other customer represented more than 2% of our total sales in fiscal 2019. The loss of any of our largest customers, or a substantial portion of their business, could have a material adverse effect on our results of operations.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We operate in a competitive industry and compete with many producers, distributors and sales agents offering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products we offer. Many of our competitors are larger than we are and may have greater financial resources, although no one competitor is dominant in all of the markets we serve. We compete by offering quality products at competitive prices coupled with outstanding customer service and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Due to the nature of our operations, which includes purchases of large quantities of bulk chemicals, the timing of purchases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changes in working capital and the resulting operating cash flow. Historically, our cash requirements for working capital increase during the period from April through November as caustic soda inventory levels increase with most of our barges received during this period. Additionally, due to seasonality of the Water Treatment business, our accounts receivable balance is generally higher during the period of April through September.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657 employees as of March 31, 2019, including 72 covered by collective bargaining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Our Internet address is www.hawkinsinc.com. We have made available, free of charge, our Annual Reports on Form 10-K,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Act are also available on our website. We are not including the information contained on our website as part of, or incorporating it by reference into,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experience regular and recurring fluctuations in the pricing of our raw materials. Those fluctuations can be significant and occur rapidly. The cyclicality of commodity markets, such as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chemical raw materials are generally purchased under supply contracts. The prices we pay under these contracts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perceptions, impact the commercial viability of the products we sell and increase the costs to comply with increasingly complex regulations, which could have a negative impact on our business, financial condition and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operate a fleet of more than 150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facilities could result in significant unexpected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conduct of our operations, we have handled and do handle materials that are considered hazardous, toxic or volatile under federal, state and local laws.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Contaminates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aware that soil and groundwater contamination exists on one of our facilities. The primary contaminate of concern is trichloroethylene. In fiscal 2018, we reserved $0.6 million for estimated expenses related to remediating this contamination, and adjusted this liability down by $0.1 million in fiscal 2019 as a result of revised estimates. Given the many uncertainties involved in assessing environmental claims, our reserves may prove to be insufficient. Increases in these estimated environmental expenses could have a material adverse effect on our business, financial condition and results of operations.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food, pharmaceutical and nutritional products are subject to government regulation, both in the United States and abroad, which could increase our costs significantly and limit or prevent the sale of such products.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manufacture, packaging, labeling, advertising, promotion, distribution and sale of our food, pharmaceutical and nutritional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dietary supplements. A state may interpret claims or products presumptively valid under federal law as illegal under that state’s regulations. Approvals or licensing may be conditioned on reformulation of products or may be unavailable with respect to certain products or product ingredients. Any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these government agencies, as well as legislative bodies, can change existing regulations, or impose new ones, or could take aggressive measures, causing or contributing to a variety of negative consequences, including: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this area. There can be no assurance that the regulatory environment in which we operate will not change or that such regulatory environment, or any specific action taken against us, will not result in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expose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Demand for our food and nutritional products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limit our ability to increase revenue and grow that portion of our business.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dietary supplements may also result in increased regulatory scrutiny of our industry. Adverse publicity may have a material adverse effect on our business, financial condition, results of operations and cash flows. There can be no assurance of future favorable scientific results and media attention or of the absence of unfavorable or inconsistent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within our Industrial Group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property, business interruption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or food and nutritional products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effect.</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party to a credit agreement (the “Credit Agreement”) with U.S. Bank National Association and other lenders (collectively, the “Lenders”), which includes secured revolving credit facilities (the “Revolving Loan Facility”) totaling $150.0 million. The Revolving Loan Facility includes a $5.0 million letter of credit subfacility and $15.0 million swingline subfacility. As of March 31, 2019, we had $85.0 million outstanding under the Revolving Loan Facility.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2023.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December 31, 2018 for fiscal 2019. Goodwill impairment testing is at the reporting unit level. For our Water Treatment reporting unit, we performed an analysis of qualitative factors to determine if it is more likely than not that the fair value of a reporting unit is less than its carrying amount. If that qualitative analysis indicates that an impairment may exist, then we would calculate the amount of the impairment by comparing the fair value of the assets and liabilities to the fair value of the reporting unit. For our Industrial and Health and Nutrition reporting units, we performed a quantitative goodwill impairment analysis, which required us to estimate the fair value of these reporting units and compare the fair value to the reporting unit’s carrying value. The fair value of the reporting unit in excess of the value of the assets and liabilities is the implied fair value of the goodwill. If this amount is less than the carrying amount of goodwill, impairment is recognized for the difference. As of December 31, 2018, the fair value of our Industrial and Health and Nutrition reporting units exceeded their carrying values, and thus no impairment was recorded. In fiscal 2018, however, we recorded an impairment charge in our Health and Nutrition reporting unit of $39.1 million.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resulting impairment charge in the future could have a material adverse effect on our financial condition and consolidated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including most recently the spring of 2019.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the land where our three main terminals are located and where another significant manufacturing plant is located. Our current leases, including all renewal periods, extend out to 2023, 2033, 2029 and 2044.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offices are located in Roseville, Minnesota, where we leased approximately 40,000 square feet with an initial term through December 31, 2021, as of March 31, 2019. In the first quarter of fiscal 2020, we purchased the entire building which has a total of approximately 50,000 square feet. We also own our principal manufacturing, warehousing, and distribution location in Minneapolis, Minnesota, which consists of approximately 11 acres of land, with six buildings containing a total of 177,000 square feet of office and warehouse space primarily used by our Industrial Group. We believe that we carry customary levels of insurance covering the replacement of damaged property.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those facilities, our other facilities material to our operations include our manufacturing locations and large warehouse and distribution facilities described below. We believe that these facilities, together with those described above, are adequate and suitable for the purposes they serve. Unless noted, each facility is owned by us and is primarily used as office and warehouse space.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Group</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32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Approx.</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Health and Nutrition</w:t>
            </w: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Fullerton, CA (1)</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55,800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Florida, NY (2)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107,000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266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Camanche,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Centralia, IL (3)</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Dupo, IL (4)</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(5)</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Rosemount, MN (6)</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43"/>
        </w:trPr>
        <w:tc>
          <w:tcPr>
            <w:tcW w:w="6400" w:type="dxa"/>
            <w:vAlign w:val="bottom"/>
          </w:tcPr>
          <w:p>
            <w:pPr>
              <w:ind w:left="700"/>
              <w:spacing w:after="0"/>
              <w:rPr>
                <w:sz w:val="20"/>
                <w:szCs w:val="20"/>
                <w:color w:val="auto"/>
              </w:rPr>
            </w:pPr>
            <w:r>
              <w:rPr>
                <w:rFonts w:ascii="Arial" w:cs="Arial" w:eastAsia="Arial" w:hAnsi="Arial"/>
                <w:sz w:val="18"/>
                <w:szCs w:val="18"/>
                <w:color w:val="auto"/>
              </w:rPr>
              <w:t>Industrial and Water Treatment</w:t>
            </w: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St. Paul, MN (7)</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5"/>
              </w:rPr>
              <w:t>Memphis, TN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43"/>
        </w:trPr>
        <w:tc>
          <w:tcPr>
            <w:tcW w:w="6400" w:type="dxa"/>
            <w:vAlign w:val="bottom"/>
          </w:tcPr>
          <w:p>
            <w:pPr>
              <w:ind w:left="700"/>
              <w:spacing w:after="0"/>
              <w:rPr>
                <w:sz w:val="20"/>
                <w:szCs w:val="20"/>
                <w:color w:val="auto"/>
              </w:rPr>
            </w:pPr>
            <w:r>
              <w:rPr>
                <w:rFonts w:ascii="Arial" w:cs="Arial" w:eastAsia="Arial" w:hAnsi="Arial"/>
                <w:sz w:val="18"/>
                <w:szCs w:val="18"/>
                <w:color w:val="auto"/>
              </w:rPr>
              <w:t>Water Treatment</w:t>
            </w: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Apopka, FL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2026.</w:t>
      </w:r>
    </w:p>
    <w:p>
      <w:pPr>
        <w:spacing w:after="0" w:line="9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comprised of a 79,000 square foot manufacturing plant which sits on approximately 16 acres, as well as a leased 28,000 square foot warehouse located in close proximity that is leased until December 2020.</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manufacturing facility includes 10 acres of land owned by the Company.</w:t>
      </w:r>
    </w:p>
    <w:p>
      <w:pPr>
        <w:spacing w:after="0" w:line="9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2033, while the other one runs through 2044 including all available lease extensions.</w:t>
      </w:r>
    </w:p>
    <w:p>
      <w:pPr>
        <w:spacing w:after="0" w:line="51"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runs until 2029.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common stock is listed on the Nasdaq Global Select Market under the symbol “HWKN.” As of May 17, 2019, shares of our common stock were held by approximately 396 </w:t>
      </w:r>
      <w:r>
        <w:rPr>
          <w:rFonts w:ascii="Arial" w:cs="Arial" w:eastAsia="Arial" w:hAnsi="Arial"/>
          <w:sz w:val="18"/>
          <w:szCs w:val="18"/>
          <w:b w:val="1"/>
          <w:bCs w:val="1"/>
          <w:color w:val="auto"/>
        </w:rPr>
        <w:t>s</w:t>
      </w:r>
      <w:r>
        <w:rPr>
          <w:rFonts w:ascii="Arial" w:cs="Arial" w:eastAsia="Arial" w:hAnsi="Arial"/>
          <w:sz w:val="18"/>
          <w:szCs w:val="18"/>
          <w:color w:val="auto"/>
        </w:rPr>
        <w:t>hareholders of record.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29, 2014, our Board of Directors authorized the repurchase of up to 300,000 shares of our outstanding common stock. On February 7, 2019, our Board of Directors increased the authorization to up to 800,000 shares. The shares may be repurchased on the open market or in privately negotiated transactions subject to applicable securities laws and regulations. The following table sets forth information concerning purchases of our common stock for three months ended March 31, 2019:</w:t>
      </w:r>
    </w:p>
    <w:p>
      <w:pPr>
        <w:sectPr>
          <w:pgSz w:w="11900" w:h="16838" w:orient="portrait"/>
          <w:cols w:equalWidth="0" w:num="1">
            <w:col w:w="11420"/>
          </w:cols>
          <w:pgMar w:left="240" w:top="364" w:right="239" w:bottom="1440" w:gutter="0" w:footer="0" w:header="0"/>
        </w:sect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Total Number of Shares</w:t>
            </w:r>
          </w:p>
        </w:tc>
      </w:tr>
      <w:tr>
        <w:trPr>
          <w:trHeight w:val="216"/>
        </w:trPr>
        <w:tc>
          <w:tcPr>
            <w:tcW w:w="26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Total Number of Shares</w:t>
            </w: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w w:val="99"/>
              </w:rPr>
              <w:t>Average Price Paid Per</w:t>
            </w:r>
          </w:p>
        </w:tc>
        <w:tc>
          <w:tcPr>
            <w:tcW w:w="2540" w:type="dxa"/>
            <w:vAlign w:val="bottom"/>
          </w:tcPr>
          <w:p>
            <w:pPr>
              <w:ind w:left="60"/>
              <w:spacing w:after="0"/>
              <w:rPr>
                <w:sz w:val="20"/>
                <w:szCs w:val="20"/>
                <w:color w:val="auto"/>
              </w:rPr>
            </w:pPr>
            <w:r>
              <w:rPr>
                <w:rFonts w:ascii="Arial" w:cs="Arial" w:eastAsia="Arial" w:hAnsi="Arial"/>
                <w:sz w:val="18"/>
                <w:szCs w:val="18"/>
                <w:color w:val="auto"/>
              </w:rPr>
              <w:t>Purchased as Part of Publicly</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Period</w:t>
            </w:r>
          </w:p>
        </w:tc>
        <w:tc>
          <w:tcPr>
            <w:tcW w:w="1980" w:type="dxa"/>
            <w:vAlign w:val="bottom"/>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tcPr>
          <w:p>
            <w:pPr>
              <w:ind w:left="120"/>
              <w:spacing w:after="0"/>
              <w:rPr>
                <w:sz w:val="20"/>
                <w:szCs w:val="20"/>
                <w:color w:val="auto"/>
              </w:rPr>
            </w:pPr>
            <w:r>
              <w:rPr>
                <w:rFonts w:ascii="Arial" w:cs="Arial" w:eastAsia="Arial" w:hAnsi="Arial"/>
                <w:sz w:val="18"/>
                <w:szCs w:val="18"/>
                <w:color w:val="auto"/>
              </w:rPr>
              <w:t>Share</w:t>
            </w:r>
          </w:p>
        </w:tc>
        <w:tc>
          <w:tcPr>
            <w:tcW w:w="980" w:type="dxa"/>
            <w:vAlign w:val="bottom"/>
          </w:tcPr>
          <w:p>
            <w:pPr>
              <w:spacing w:after="0"/>
              <w:rPr>
                <w:sz w:val="20"/>
                <w:szCs w:val="20"/>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auto"/>
              </w:rPr>
              <w:t>Announced Plans or Programs</w:t>
            </w: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12/31/2018-1/27/2019</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10"/>
        </w:trPr>
        <w:tc>
          <w:tcPr>
            <w:tcW w:w="2600" w:type="dxa"/>
            <w:vAlign w:val="bottom"/>
          </w:tcPr>
          <w:p>
            <w:pPr>
              <w:spacing w:after="0"/>
              <w:rPr>
                <w:sz w:val="20"/>
                <w:szCs w:val="20"/>
                <w:color w:val="auto"/>
              </w:rPr>
            </w:pPr>
            <w:r>
              <w:rPr>
                <w:rFonts w:ascii="Arial" w:cs="Arial" w:eastAsia="Arial" w:hAnsi="Arial"/>
                <w:sz w:val="18"/>
                <w:szCs w:val="18"/>
                <w:color w:val="auto"/>
              </w:rPr>
              <w:t xml:space="preserve">1/28/2019-2/24/2019 </w:t>
            </w:r>
            <w:r>
              <w:rPr>
                <w:rFonts w:ascii="Arial" w:cs="Arial" w:eastAsia="Arial" w:hAnsi="Arial"/>
                <w:sz w:val="25"/>
                <w:szCs w:val="25"/>
                <w:color w:val="auto"/>
                <w:vertAlign w:val="superscript"/>
              </w:rPr>
              <w:t>(1)</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39,382</w:t>
            </w:r>
          </w:p>
        </w:tc>
        <w:tc>
          <w:tcPr>
            <w:tcW w:w="102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40.60</w:t>
            </w:r>
          </w:p>
        </w:tc>
        <w:tc>
          <w:tcPr>
            <w:tcW w:w="2540" w:type="dxa"/>
            <w:vAlign w:val="bottom"/>
          </w:tcPr>
          <w:p>
            <w:pPr>
              <w:jc w:val="right"/>
              <w:ind w:right="30"/>
              <w:spacing w:after="0"/>
              <w:rPr>
                <w:sz w:val="20"/>
                <w:szCs w:val="20"/>
                <w:color w:val="auto"/>
              </w:rPr>
            </w:pPr>
            <w:r>
              <w:rPr>
                <w:rFonts w:ascii="Arial" w:cs="Arial" w:eastAsia="Arial" w:hAnsi="Arial"/>
                <w:sz w:val="18"/>
                <w:szCs w:val="18"/>
                <w:color w:val="auto"/>
              </w:rPr>
              <w:t>39,382</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2/28/2019-3/31/2019</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8,996</w:t>
            </w:r>
          </w:p>
        </w:tc>
        <w:tc>
          <w:tcPr>
            <w:tcW w:w="102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40.94</w:t>
            </w:r>
          </w:p>
        </w:tc>
        <w:tc>
          <w:tcPr>
            <w:tcW w:w="2540" w:type="dxa"/>
            <w:vAlign w:val="bottom"/>
          </w:tcPr>
          <w:p>
            <w:pPr>
              <w:jc w:val="right"/>
              <w:ind w:right="30"/>
              <w:spacing w:after="0"/>
              <w:rPr>
                <w:sz w:val="20"/>
                <w:szCs w:val="20"/>
                <w:color w:val="auto"/>
              </w:rPr>
            </w:pPr>
            <w:r>
              <w:rPr>
                <w:rFonts w:ascii="Arial" w:cs="Arial" w:eastAsia="Arial" w:hAnsi="Arial"/>
                <w:sz w:val="18"/>
                <w:szCs w:val="18"/>
                <w:color w:val="auto"/>
              </w:rPr>
              <w:t>8,996</w:t>
            </w:r>
          </w:p>
        </w:tc>
      </w:tr>
      <w:tr>
        <w:trPr>
          <w:trHeight w:val="27"/>
        </w:trPr>
        <w:tc>
          <w:tcPr>
            <w:tcW w:w="26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0"/>
              <w:spacing w:after="0"/>
              <w:rPr>
                <w:sz w:val="20"/>
                <w:szCs w:val="20"/>
                <w:color w:val="auto"/>
              </w:rPr>
            </w:pPr>
            <w:r>
              <w:rPr>
                <w:rFonts w:ascii="Arial" w:cs="Arial" w:eastAsia="Arial" w:hAnsi="Arial"/>
                <w:sz w:val="18"/>
                <w:szCs w:val="18"/>
                <w:color w:val="auto"/>
              </w:rPr>
              <w:t>Total</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48,378</w:t>
            </w: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40" w:type="dxa"/>
            <w:vAlign w:val="bottom"/>
          </w:tcPr>
          <w:p>
            <w:pPr>
              <w:jc w:val="right"/>
              <w:ind w:right="30"/>
              <w:spacing w:after="0"/>
              <w:rPr>
                <w:sz w:val="20"/>
                <w:szCs w:val="20"/>
                <w:color w:val="auto"/>
              </w:rPr>
            </w:pPr>
            <w:r>
              <w:rPr>
                <w:rFonts w:ascii="Arial" w:cs="Arial" w:eastAsia="Arial" w:hAnsi="Arial"/>
                <w:sz w:val="18"/>
                <w:szCs w:val="18"/>
                <w:color w:val="auto"/>
              </w:rPr>
              <w:t>48,378</w:t>
            </w: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Maximum Number of Shares that May Yet be Purchased under the Plans or Programs</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52,758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513,376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504,380</w:t>
      </w:r>
    </w:p>
    <w:p>
      <w:pPr>
        <w:spacing w:after="0" w:line="507" w:lineRule="exact"/>
        <w:rPr>
          <w:sz w:val="20"/>
          <w:szCs w:val="20"/>
          <w:color w:val="auto"/>
        </w:rPr>
      </w:pPr>
    </w:p>
    <w:p>
      <w:pPr>
        <w:sectPr>
          <w:pgSz w:w="11900" w:h="16838" w:orient="portrait"/>
          <w:cols w:equalWidth="0" w:num="2">
            <w:col w:w="9160" w:space="20"/>
            <w:col w:w="2240"/>
          </w:cols>
          <w:pgMar w:left="240" w:top="364"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 - The ending balance in this row reflects the additional 500,000 shares that were authorized by our Board of Directors in the fourth quarter of fiscal 2019.</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March 30, 2014, and reinvestment of all dividends.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1440"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Financial Statements and Notes to Financial Statements included in Item 8 of this Annual Report on Form 10-K.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8"/>
                <w:szCs w:val="8"/>
                <w:b w:val="1"/>
                <w:bCs w:val="1"/>
                <w:color w:val="auto"/>
              </w:rPr>
              <w:t>(1)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6"/>
        </w:trPr>
        <w:tc>
          <w:tcPr>
            <w:tcW w:w="5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400" w:type="dxa"/>
            <w:vAlign w:val="bottom"/>
            <w:gridSpan w:val="5"/>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556,326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504,169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483,593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413,976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364,023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95,936</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86,760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98,073</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80,257</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65,791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24,433</w:t>
            </w:r>
          </w:p>
        </w:tc>
        <w:tc>
          <w:tcPr>
            <w:tcW w:w="3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(9,177)</w:t>
            </w: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22,555</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18,143</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19,214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1.82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(0.86)</w:t>
            </w: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1.81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0.88</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0.84</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0.86</w:t>
            </w:r>
          </w:p>
        </w:tc>
        <w:tc>
          <w:tcPr>
            <w:tcW w:w="26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0.82</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0.74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6"/>
        </w:trPr>
        <w:tc>
          <w:tcPr>
            <w:tcW w:w="5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385,599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390,991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418,584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436,491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248,462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long-term obligations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90,316</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96,646</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100,968</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130,407</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6,589</w:t>
            </w:r>
          </w:p>
        </w:tc>
      </w:tr>
    </w:tbl>
    <w:p>
      <w:pPr>
        <w:spacing w:after="0" w:line="206" w:lineRule="exact"/>
        <w:rPr>
          <w:sz w:val="20"/>
          <w:szCs w:val="20"/>
          <w:color w:val="auto"/>
        </w:rPr>
      </w:pPr>
    </w:p>
    <w:p>
      <w:pPr>
        <w:jc w:val="both"/>
        <w:ind w:firstLine="8"/>
        <w:spacing w:after="0" w:line="261"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Net loss and basic and diluted loss per share for fiscal 2018 include a goodwill impairment charge of $39.1 million, or $3.68 per diluted share, related to our Health &amp; Nutrition reporting unit and a one-time tax benefit of $13.9 million, or $1.31 per diluted share, related to the revaluation of our net deferred tax liabilities associated with the change in the U.S. corporate tax rate from 35% to 21% effective January 1, 2018 due to the Tax Cuts and Jobs Act of 2017.</w:t>
      </w:r>
    </w:p>
    <w:p>
      <w:pPr>
        <w:spacing w:after="0" w:line="156" w:lineRule="exact"/>
        <w:rPr>
          <w:rFonts w:ascii="Arial" w:cs="Arial" w:eastAsia="Arial" w:hAnsi="Arial"/>
          <w:sz w:val="16"/>
          <w:szCs w:val="16"/>
          <w:color w:val="auto"/>
        </w:rPr>
      </w:pPr>
    </w:p>
    <w:p>
      <w:pPr>
        <w:ind w:firstLine="8"/>
        <w:spacing w:after="0" w:line="275" w:lineRule="auto"/>
        <w:tabs>
          <w:tab w:leader="none" w:pos="233" w:val="left"/>
        </w:tabs>
        <w:numPr>
          <w:ilvl w:val="0"/>
          <w:numId w:val="4"/>
        </w:numPr>
        <w:rPr>
          <w:rFonts w:ascii="Arial" w:cs="Arial" w:eastAsia="Arial" w:hAnsi="Arial"/>
          <w:sz w:val="16"/>
          <w:szCs w:val="16"/>
          <w:color w:val="auto"/>
        </w:rPr>
      </w:pPr>
      <w:r>
        <w:rPr>
          <w:rFonts w:ascii="Arial" w:cs="Arial" w:eastAsia="Arial" w:hAnsi="Arial"/>
          <w:sz w:val="16"/>
          <w:szCs w:val="16"/>
          <w:color w:val="auto"/>
        </w:rPr>
        <w:t>- Total long-term obligations includes bank debt payable, as per the terms of the then-existing credit agreement, later than 12 months after the balance sheet date as well as obligations payable under the terms of our withdrawal from a multi-employer pension plan.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2019, 2018 and 2017. This discussion should be read in conjunction with the consolidated Financial Statements and Notes to Consolidated Financial Statements included in Item 8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including an increase of 500,000 shares in February 2019.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fiscal 2019, we repurchased 108,166 shares of common stock with an aggregate purchase price of $4.4 million. No shares were repurchased during fiscal 2018 or 2017. As of March 31, 2019, 504,380 shares remained available for purchase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2019 is provided below:</w:t>
      </w:r>
    </w:p>
    <w:p>
      <w:pPr>
        <w:spacing w:after="0" w:line="225" w:lineRule="exact"/>
        <w:rPr>
          <w:sz w:val="20"/>
          <w:szCs w:val="20"/>
          <w:color w:val="auto"/>
        </w:rPr>
      </w:pPr>
    </w:p>
    <w:p>
      <w:pPr>
        <w:ind w:left="560" w:hanging="33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$556.3 million, a 10.3% increase from fiscal 2018;</w:t>
      </w:r>
    </w:p>
    <w:p>
      <w:pPr>
        <w:spacing w:after="0" w:line="225"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profit of $95.9 million, an increase of $9.2 million, or 10.6% from fiscal 2018;</w:t>
      </w:r>
    </w:p>
    <w:p>
      <w:pPr>
        <w:spacing w:after="0" w:line="225" w:lineRule="exact"/>
        <w:rPr>
          <w:rFonts w:ascii="Arial" w:cs="Arial" w:eastAsia="Arial" w:hAnsi="Arial"/>
          <w:sz w:val="18"/>
          <w:szCs w:val="18"/>
          <w:color w:val="auto"/>
        </w:rPr>
      </w:pPr>
    </w:p>
    <w:p>
      <w:pPr>
        <w:ind w:left="660" w:hanging="409"/>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decreased by $0.3 million year over year, and down 1.2% as a percentage of sales from fiscal 2018;</w:t>
      </w:r>
    </w:p>
    <w:p>
      <w:pPr>
        <w:spacing w:after="0" w:line="170" w:lineRule="exact"/>
        <w:rPr>
          <w:rFonts w:ascii="Arial" w:cs="Arial" w:eastAsia="Arial" w:hAnsi="Arial"/>
          <w:sz w:val="18"/>
          <w:szCs w:val="18"/>
          <w:color w:val="auto"/>
        </w:rPr>
      </w:pPr>
    </w:p>
    <w:p>
      <w:pPr>
        <w:ind w:left="660" w:hanging="40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of $48.0 million as compared to $27.3 million for fiscal 2018.</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prices rise and fall. The costs for certain of our raw materials can rise or fall rapidly, causing fluctuations in gross profit as a percentage of sales.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use the last in, first out (“LIFO”) method of valuing the majority of our inventory in our Industrial and Water Treatment segments,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our Health and Nutrition segment are valued using the first-in, first-out (“FIFO”) method.</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Fiscal 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Fiscal 2018</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Fiscal 2017</w:t>
            </w: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(82.8)%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6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4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increased $52.2 million, or 10.3%, to $556.3 million for fiscal 2019, as compared to sales of $504.2 million for fiscal 2018. Sales increased year over year in all segments.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$34.5 million, or 13.9%, to $281.9 million for fiscal 2019.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22% of sales dollars in fiscal 2019 and 20% in fiscal 2018. Sales dollars increased in fiscal 2019 due to increased volumes, particularly of certain specialty products that carry higher per-unit selling prices, as well as increased selling prices on certain products resulting from increased raw material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$11.0 million, or 8.0%, to $149.5 million for fiscal 2019.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dollars in both fiscal 2019 and 2018. Sales dollars increased in fiscal 2019 as a result of increased sales volumes across many product lines as well as a favorable product mix shift.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increased $6.6 million, or 5.6%, to $125.0 million for fiscal 2019. Increased sales</w:t>
      </w:r>
      <w:r>
        <w:rPr>
          <w:rFonts w:ascii="Arial" w:cs="Arial" w:eastAsia="Arial" w:hAnsi="Arial"/>
          <w:sz w:val="18"/>
          <w:szCs w:val="18"/>
          <w:i w:val="1"/>
          <w:iCs w:val="1"/>
          <w:color w:val="auto"/>
        </w:rPr>
        <w:t xml:space="preserve"> </w:t>
      </w:r>
      <w:r>
        <w:rPr>
          <w:rFonts w:ascii="Arial" w:cs="Arial" w:eastAsia="Arial" w:hAnsi="Arial"/>
          <w:sz w:val="18"/>
          <w:szCs w:val="18"/>
          <w:color w:val="auto"/>
        </w:rPr>
        <w:t>of distributed specialty products drove the year-over-year increase in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was $95.9 million, or 17.2% of sales, for fiscal 2019, an increase of $9.2 million from $86.8 million, or 17.2% of sales, for fiscal 2018. During fiscal 2019, the LIFO reserve decreased, and gross profits increased, by $0.5 million. Conversely, during fiscal 2018, the LIFO reserve increased, and gross profits decreased, by $4.1 million. In addition to this $4.6 million year-over-year positive impact, the increase in gross profit during fiscal 2019 was a result of increased sales across all three segments, somewhat offset by increased operating costs.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$34.9 million, or 12.4% of sales, for fiscal 2019, an increase of $5.3 million from $29.6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12.0% of sales, for fiscal 2018. During fiscal 2019, the LIFO reserve decreased, and gross profits increased, by $0.8 million. Conversely, during fiscal 2018, the LIFO reserve increased, and gross profits decreased, by $3.3 million. In addition to this $4.1 million positive year-over-year impact, the increase in gross profit dollars was due to a favorable product mix shift to more products with higher per-unit margins as well as improved pricing on certain products, offset somewhat by an increase in operational overhead costs driven largely by repair and maintenance costs, as well as increased transportation costs due to a tight carrier market and increased fuel costs.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$1.7 million, or 4.7%, to $38.0 million, or 25.4% of sales, for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$36.3 million, or 26.2% of sales, for fiscal 2018. The increase in gross profit was largely a result of higher sales volumes compared to a year ago, offset in part by an increase in certain variable costs, including variable pay, as well as higher transportation costs, primarily due to rising fuel costs. During fiscal 2019, the LIFO reserve increased, and gross profits decreased, by $0.3 million. Conversely, during fiscal 2018, the LIFO reserve increased, and gross profits decreased, by $0.8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increased $2.2 million, or 10.4%, to $23.1 million, or 18.4%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as compared to $20.9 million, or 17.6% of sales, for fiscal 2018. Gross profit increased as a result of the combined impact of higher sales and lower operating costs compared to the same period a year ago.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expenses were $59.1 million, or 10.6% of sales, for fiscal 2019, and $59.4 million, or 11.8% of sales, for fiscal 2018. The decrease in SG&amp;A expenses resulted from actions taken by management in the prior year, offset somewhat by increased variable pay expense. SG&amp;A expense as a percentage of sales was favorable year over year in all three reporting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$36.8 million, or 6.6% of sales, for fiscal 2019, as compared to an operating loss of $11.8 million, or (2.3)% of sales, for fiscal 2018 due to the combined impact of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$3.4 million in both fiscal 2019 and 2018. The impact from higher interest rates in fiscal 2019 was offset by a nearly $20 million reduction in average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effective tax rate was 27.1% for fiscal 2019 and 39.1% for fiscal 2018. Our effective tax rate for fiscal 2018 was impacted by a $13.9 million one-time income tax benefit which was recognized as a result of the U.S. Tax Cuts and Jobs Act of 2017 (the “Tax Act”). Our effective tax rate for fiscal 2018 was also impacted by the $39.1 million goodwill impairment charge which was recorded for book purposes but was not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increased $20.6 million, or 4.3%, to $504.2 million for fiscal 2018, as compared to sales of $483.6 million for fiscal 2017. Sales increased year over year in all segments.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$8.8 million, or 3.7%, to $247.4 million for fiscal 2018.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20% of sales dollars in fiscal 2018 and 19% in fiscal 2017. Overall sales volumes decreased slightly, while sales dollars increased as a result of more sales of certain specialty products with higher per-unit selling prices, as well as higher selling prices on certain products resulting from increased costs on one of our major commodities.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$9.5 million, or 7.4%, to $138.5 million for fiscal 2018.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dollars in both fiscal 2018 and 2017. Sales dollars increased as a result of increased sales across many product lines.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Health and Nutrition Segment. </w:t>
      </w:r>
      <w:r>
        <w:rPr>
          <w:rFonts w:ascii="Arial" w:cs="Arial" w:eastAsia="Arial" w:hAnsi="Arial"/>
          <w:sz w:val="17"/>
          <w:szCs w:val="17"/>
          <w:color w:val="auto"/>
        </w:rPr>
        <w:t>Sales for our Health and Nutrition segment increased $2.2 million, or 1.9%, to $118.3 million for fiscal 2018. Increased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 distributed products more than offset decreased sales of our manufactured products. The decline in sales of our manufactured products was due to reduced demand from certain customers and refocused efforts as we made investments to upgrade the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was $86.8 million, or 17.2% of sales, for fiscal 2018, a decrease of $11.3 million from $98.1 million, or 20.3% of sales, for fiscal 2017. As a result of raw material price increases and increases in year-end inventory levels of certain products, the LIFO reserve increased, and gross profits decreased, by $4.1 million during fiscal 2018. During fiscal 2017, a reduction in inventory costs per unit and lower volumes of certain inventory on hand resulted in a decrease to the LIFO reserve, and an increase in gross profits, of $2.7 million. In addition to this $6.8 million year-over-year negative impact, the decrease in gross profit during fiscal 2018 was due to planned increases in personnel and other investments to drive future growth, including accelerated depreciation of $0.7 million, a $0.6 million environmental liability charge associated with trichloroethylene contamination at our Minneapolis facility, as well as a $0.5 million reclassification from SG&amp;A expenses, product mix changes and continued competitive pricing pressures.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$29.6 million, or 12.0% of sales, for fiscal 2018, a decrease of $9.3 million from $38.9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16.3% of sales, for fiscal 2017. As a result of raw material price increases and increases in year-end inventory levels of certain products, the LIFO reserve increased, and gross profits decreased, by $3.3 million during fiscal 2018. During fiscal 2017, a reduction in inventory costs per unit and lower volumes of certain inventory on hand resulted in a decrease to the LIFO reserve, and an increase in gross profits, of $2.0 million. In addition to this $5.3 million negative year-over-year impact, the decrease in gross profit and gross profit as a percentage of sales was driven by increased operating costs as we invested for future growth and to comply with increased regulatory requirements, a $0.6 million environmental liability charge associated with trichloroethylene contamination at our Minneapolis facility, as well as lower margins on certain commodity products with rising material costs, driven by competitive pricing pressures. The impact was offset somewhat by higher profits on sales of certain specialty products with higher per-unit margins.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$0.3 million to $36.3 million, or 26.2% of sales, for fiscal 2018,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$36.0 million, or 27.9% of sales, for fiscal 2017. As a result of raw material price increases and increases in year-end inventory levels of certain products, the LIFO reserve increased, and gross profits decreased, by $0.8 million during fiscal 2018. During fiscal 2017, a reduction in inventory costs per unit and lower volumes of certain inventory on hand resulted in a decrease to the LIFO reserve, and an increase in gross profits, of $0.7 million. In spite of the $1.5 million negative year-over-year LIFO impact, gross profit increased as a result of increased sales volumes compared to a year ago. Gross profit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 percentage of sales decreased compared to a year ago due to the negative year-over-year LIFO impact as well as a product mix shift.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Health and Nutrition Segment. </w:t>
      </w:r>
      <w:r>
        <w:rPr>
          <w:rFonts w:ascii="Arial" w:cs="Arial" w:eastAsia="Arial" w:hAnsi="Arial"/>
          <w:sz w:val="17"/>
          <w:szCs w:val="17"/>
          <w:color w:val="auto"/>
        </w:rPr>
        <w:t>Gross profit for our Health and Nutrition segment decreased $2.4 million to $20.9 million, or 17.6% of sales, for fiscal 2018,</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$23.2 million, or 20.0% of sales, for fiscal 2017. Decreased sales of our manufactured products, which carry higher per-unit margins, was the primary cause of the decline in gross profit and gross profit as a percentage of sales. The decrease in gross profit and gross profit as a percentage of sales was also driven by planned cost increases including accelerated depreciation expense of $0.7 million related to manufacturing equipment that we removed to make upgrades to current equipment and to make room for more efficient equipment, as well as the reclassification of $0.5 million of costs that were recorded as SG&amp;A expenses in the prior year to operating overhead in the current year to conform to our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expenses were $59.4 million, or 11.8% of sales, for fiscal 2018, and $59.4 million, or 12.3% of sales, for fiscal 2017. SG&amp;A costs were positively impacted in all segments as a result of management efforts to control costs, including delaying or suspending the filling of open positions as well as a decline in certain other variable expenses, resulting in a decline in SG&amp;A costs in our Industrial and Water Treatment segments. However, SG&amp;A costs in our Health and Nutrition segment increased $1.0 million year over year, in spite of the reclassification of $0.5 million of expenses from SG&amp;A to operating overhead to conform to our presentation, largely as a result of bad debt expense recorded due to a customer bankruptcy as well as severance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2018, we recorded a $39.1 million impairment of goodwill relating to our Health and Nutrition segment. The impairment charge was a result of changes in expectations for future growth as part of our fourth quarter long-term strategic planning process to align with historical experience in recent periods and expected changes in future product mix.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loss was $11.8 million, or (2.3)% of sales, for fiscal 2018, as compared to operating income of $38.7 million, or 8.0% of sales, for fiscal 2017 due to the combined impact of the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by $0.8 million to $3.4 million in fiscal 2018 compared to $2.6 million for fiscal 2017, due primarily to higher interest rates in fiscal 2018 as compared to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Tax Act lowered the U.S. corporate tax rate from 35% to 21% effective January 1, 2018. Because our fiscal 2018 ended April 1, 2018, our tax provision for the current year was calculated utilizing a blended statutory federal rate of 31.5%. In future years, we expect our statutory federal rate to be 21%. Under GAAP, deferred tax assets and liabilities are required to be revalued during the period in which the new tax legislation is enacted. As such, during the fiscal year-end ended April 1, 2018 we revalued our net deferred tax liabilities to reflect the impact of the Tax Act and recorded a one-time benefit of $13.9 million. Our effective tax rate for fiscal 2018 was also impacted by the $39.1 million goodwill impairment charge which was recorded for book purposes but was not deductible for tax purposes. Our effective income tax rate was 39.1% for fiscal 2018 compared to 37.4% for fiscal 2017.</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operating activities in fiscal 2019 was $48.0 million compared to $27.3 million in fiscal 2018 and $44.9 million in fiscal 2017. The increase in cash provided by operating activities in fiscal 2019 as compared to fiscal 2018 was driven by an improvement in operating income as well as more favorable year-over-year changes in certain components of working capital, in particular lower cash used for accounts receivable and inventory. The decrease in cash provided by operating activities in fiscal 2018 as compared to fiscal 2017 was conversely driven by lower operating income and unfavorable year-over-year changes in accounts receivables and inventory. The large increase in inventory during fiscal 2018 was primarily due to increases in on-hand and in-transit inventory, along with an increase in the per-unit cost of one of our major commodities. The decision to increase inventory was driven largely by expectations of future cost increases. Due to the nature of our operations, which includes purchases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most of our barges are received during this period.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used in investing activities was $12.3 million in fiscal 2019 compared to $19.3 million in fiscal 2018 and $23.5 million in fiscal 2017. Capital expenditures were $12.6 million in fiscal 2019, $19.7 million in fiscal 2018 and $21.6 million in fiscal 2017. Capital expenditures in fiscal 2019 included $8.2 million related to facility improvements, replacement equipment, new and replacement containers and Water Treatment trucks, and $2.1 million related to business expansion, inventory storage and process improvements. Total capital spending in fiscal 2020 is currently expected to be $25 to $28 million, higher than the fiscal 2019 spending levels which were lower than average, due in part to the purchase of our corporate headquarters in early fiscal 2020, a planned Water Treatment branch expansion and the purchase of a branch facility that is currently being leased, and increased production capabilities.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used in financing activities was $31.4 million in fiscal 2019, as compared to cash used in financing activities of $9.9 million in fiscal 2018 and cash used in financing activities of $34.5 million in fiscal 2017. Cash used in financing activities included net debt payments of $16.0 million in fiscal 2019. In fiscal 2018, we made net debt repayments of $2.1 million and in fiscal 2017 we made net debt repayments of $26.6 million. We also paid out cash dividends of $12.0 million in fiscal 2019, $9.2 million in fiscal 2018 and $8.7 million in fiscal 2017. In fiscal 2019 we used $4.4 million to repurchase shares under our board-authorized share repurchase program. We did not repurchase any shares under the program in fiscal 2018 or 2017.</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 was $9.2 million at March 31, 2019, an increase of $4.2 million as compared with April 1, 2018. Cash flows generated by operations during fiscal 2019 were largely offset by debt repayments, capital expenditures and dividend payments.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were party to a credit agreement (the “Prior Credit Agreement”) with U.S. Bank National Association (“U.S. Bank”) as Sole Lead Arranger and Sole Book Runner and other lenders from time to time party thereto (collectively, the “Prior Lenders”), whereby U.S. Bank was also serving as Administrative Agent. The Prior Credit Agreement provided us with senior secured credit facilities totaling $165.0 million, consisting of a $100.0 million senior secured term loan credit facility and a $65.0 million senior secured revolving loan credit facility. The term loan facility required mandatory quarterly repayments, with the balance due at maturity. The revolving loan facility included a letter of credit subfacility in the amount of $5.0 million and a swingline subfacility in the amount of $8.0 million. The Prior Credit Agreement was scheduled to terminate on December 23, 2020 and the underlying credit facility was secured by substantially all of our personal property assets and those of our subsidiaries. Borrowings under the Prior Credit Agreement bore interest at a variable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U.S. Bank’s prime rate, (2) the Federal Funds Effective Rate plus 0.5%, or (3) one-month LIBOR for U.S. dollars plus 1.0%. The LIBOR margin was 1.125%, 1.25% or 1.5%, depending on our leverage ratio. The base rate margin was either 0.125%, 0.25% or 0.5%, depending on our leverage ratio.</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2018, we entered into an amended and restated credit agreement (the “Credit Agreement”) with U.S. Bank as Sole Lead Arranger and Sole Book Runner, and other lenders from time to time party thereto (collectively, the “Lenders”), whereby U.S. Bank is also serving as Administrative Agent. The Credit Agreement refinanced the term and revolving loans under the Prior Credit Agreement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Prior Credit Agreement. We may use the remaining amount of the Revolving Loan Facility for working capital, capital expenditures, share repurchases, restricted payments and acquisitions permitted under the Credit Agreement, and other general corporate purposes.</w:t>
      </w:r>
    </w:p>
    <w:p>
      <w:pPr>
        <w:spacing w:after="0" w:line="18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jc w:val="both"/>
        <w:ind w:right="2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base rate determined by reference to the highest of (1) U. S. Bank’s prime rate, (2) the Federal Funds Effective Rate plus 0.5%, or (3) one-month LIBOR for U.S. dollars plus 1.0%. The LIBOR margin is between 0.85% and 1.35%, depending on our leverage ratio. The base rate margin is between 0.00% and 0.35%, depending on our leverage ratio. At March 31, 2019, the effective interest rate on our borrowings was 3.2%.</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jc w:val="both"/>
        <w:ind w:right="20"/>
        <w:spacing w:after="0" w:line="264" w:lineRule="auto"/>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Prior Credit Agreement, are reflected as a reduction of debt and will be amortized as interest expense over the term of the Revolving Loan Facility.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left="396"/>
              <w:spacing w:after="0"/>
              <w:rPr>
                <w:sz w:val="20"/>
                <w:szCs w:val="20"/>
                <w:color w:val="auto"/>
              </w:rPr>
            </w:pPr>
            <w:r>
              <w:rPr>
                <w:rFonts w:ascii="Arial" w:cs="Arial" w:eastAsia="Arial" w:hAnsi="Arial"/>
                <w:sz w:val="14"/>
                <w:szCs w:val="14"/>
                <w:b w:val="1"/>
                <w:bCs w:val="1"/>
                <w:color w:val="auto"/>
                <w:w w:val="92"/>
              </w:rPr>
              <w:t>Payments Due by Fiscal Period</w:t>
            </w: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3"/>
                <w:szCs w:val="13"/>
                <w:color w:val="auto"/>
              </w:rPr>
            </w:pPr>
          </w:p>
        </w:tc>
        <w:tc>
          <w:tcPr>
            <w:tcW w:w="8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89"/>
              </w:rPr>
              <w:t>2023</w:t>
            </w:r>
          </w:p>
        </w:tc>
        <w:tc>
          <w:tcPr>
            <w:tcW w:w="440" w:type="dxa"/>
            <w:vAlign w:val="bottom"/>
          </w:tcPr>
          <w:p>
            <w:pPr>
              <w:spacing w:after="0"/>
              <w:rPr>
                <w:sz w:val="13"/>
                <w:szCs w:val="13"/>
                <w:color w:val="auto"/>
              </w:rPr>
            </w:pPr>
          </w:p>
        </w:tc>
        <w:tc>
          <w:tcPr>
            <w:tcW w:w="8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5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85,000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Interest payments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3,291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3,291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3,291</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3,291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3,291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2,198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1,783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1,407</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1,352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5,473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13,396</w:t>
            </w: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Pension withdrawal liability (3)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4,439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760" w:hanging="412"/>
        <w:spacing w:after="0" w:line="25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balance outstanding as of March 31, 2019, and assumes such amount remains outstanding until its maturity date. See Note 8 of our consolidated Financial Statements for further information.</w:t>
      </w:r>
    </w:p>
    <w:p>
      <w:pPr>
        <w:spacing w:after="0" w:line="1" w:lineRule="exact"/>
        <w:rPr>
          <w:rFonts w:ascii="Arial" w:cs="Arial" w:eastAsia="Arial" w:hAnsi="Arial"/>
          <w:sz w:val="18"/>
          <w:szCs w:val="18"/>
          <w:color w:val="auto"/>
        </w:rPr>
      </w:pPr>
    </w:p>
    <w:p>
      <w:pPr>
        <w:ind w:left="420" w:right="380" w:hanging="412"/>
        <w:spacing w:after="0" w:line="250"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and assumes interest rates remain unchanged from the rate as of March 31, 2019.</w:t>
      </w: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will continue through 2034.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Goodwill and Infinite-life Intangible Assets </w:t>
      </w:r>
      <w:r>
        <w:rPr>
          <w:rFonts w:ascii="Arial" w:cs="Arial" w:eastAsia="Arial" w:hAnsi="Arial"/>
          <w:sz w:val="18"/>
          <w:szCs w:val="18"/>
          <w:color w:val="auto"/>
        </w:rPr>
        <w:t>- Goodwill represents the excess of the cost of acquired businesses over the fair value of identifiable tangible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identifiable intangible assets purchased. Goodwill is tested at least annually for impairment,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and is tested for impairment more frequently if events or changes in circumstances indicate that the asset might be impaired. Our annual test for impairment is as of the first day of our fourth fiscal quarter, or December 31, 2018 for fiscal 2019. For our Water Treatment reporting unit, we performed an analysis of qualitative factors to determine whether it is more likely than not that the fair value of the unit is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Water Treatment reporting unit.</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performed a quantitative goodwill impairment analysis for both our Industrial and Health and Nutrition reporting units which required us to estimate the fair value of the reporting units and compare the fair value to the reporting units’ carrying value. For our Industrial reporting unit, we utilized a discounted cash flow approach to calculate the present value of projected future cash flows using appropriate discount rates. For our Health and Nutrition reporting unit, we used a combination of a discounted cash flow approach and two market approaches to calculate the fair value of the Health and Nutrition reporting unit. The guideline company market approach provides indications of value based on market multiples (enterprise value divided by earnings before interest, taxes, depreciation and amortization “EBITDA”) for selected public companies involved in similar lines of business, and the reference transaction market approach provides indications of value based on multiples paid for recent selected acquisitions by companies in similar lines of business. The fair values derived from these valuation methods are then weighted to determine an estimated fair value for the reporting unit, which is compared to the carrying value of the reporting unit to determine whether impairment exists. The resulting fair values were weighted using 50% for the discounted cash flow method and 25% for both of the market approaches, to determine a concluded enterprise value for the Health and Nutrition reporting unit. The approaches were weighted according to reliability of each approach and the number of factors they incorporate.</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determining the fair value of our Industrial and Health and Nutrition reporting units using the discounted cash flow approach, we considered our projected operating results and then made a number of assumptions. These assumptions included future business plans, economic projections and market data as well as management estimates regarding future cash flows and operating results. The key assumptions we used in preparing our discounted cash flow analysis are</w:t>
      </w:r>
    </w:p>
    <w:p>
      <w:pPr>
        <w:jc w:val="both"/>
        <w:ind w:firstLine="8"/>
        <w:spacing w:after="0" w:line="254"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cash flows, (2) risk adjusted discount rate, and (3) expected long term growth rate. We then compared the total fair values for all reporting units to our overall market capitalization as a test of the reasonableness of this approach. For this comparison, the fair value of the Water Treatment reporting unit was estimated based on a multiple of EBITDA. As of December 31, 2018, the estimated fair values of our Industrial and Health and Nutrition Reporting units were more than their carrying values and accordingly no impairment charge was recorded.</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performed a similar analysis on our Health and Nutrition Reporting unit during the fourth quarter of fiscal 2018 and recorded an impairment charge of $39.1 million in the fourth quarter of fiscal 2018. The impairment charge was a result of changes in expectations for future growth as part of our fourth quarter long-term strategic planning process to align with historical rates and expected changes in future product mix.</w:t>
      </w: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Business Acquisitions - </w:t>
      </w:r>
      <w:r>
        <w:rPr>
          <w:rFonts w:ascii="Arial" w:cs="Arial" w:eastAsia="Arial" w:hAnsi="Arial"/>
          <w:sz w:val="18"/>
          <w:szCs w:val="18"/>
          <w:color w:val="auto"/>
        </w:rPr>
        <w:t>We account for acquired businesses using the acquisition method of accounting which requires that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be recorded at the date of acquisition at their respective fair values. The judgments made in determining the estimated fair value assigned to each class of assets acquired and liabilities assumed, as well as asset lives, can materially impact net income. Accordingly, for significant items, we typically obtain assistance from a third-party valuation expert.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The amendments in this update replace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is effective for annual periods and interim periods for those annual periods beginning after December 15, 2019, which for us is our fiscal year beginning March 30, 2020. Entities may early adopt beginning after December 15, 2018. We are currently evaluating the impact of the adoption of ASU 2016-13 on our consolidated financial statements.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$0.1 million. Other types of market risk, such as foreign currency risk, do not arise in the normal course of our business activities.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60" w:lineRule="exact"/>
        <w:rPr>
          <w:sz w:val="20"/>
          <w:szCs w:val="20"/>
          <w:color w:val="auto"/>
        </w:rPr>
      </w:pPr>
    </w:p>
    <w:p>
      <w:pPr>
        <w:ind w:right="3460" w:firstLine="3453"/>
        <w:spacing w:after="0" w:line="40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Hawkins,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Hawkins, Inc. and subsidiaries (the Company) as of March 31, 2019 and April 1, 2018, and the related consolidated statements of income (loss), comprehensive income (loss), shareholders’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 xml:space="preserve">year period then ended and the related notes and financial statement schedule II (collectively, the consolidated financial statements). We also have audited the Company’s internal control over financial reporting as of March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6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March 31, 2019 and April 1,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ended March 31, 2019, in conformity with U.S. generally accepted accounting principles. Also in our opinion, the Company maintained, in all material respects, effective internal control over financial reporting as of March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2019</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b w:val="1"/>
                <w:bCs w:val="1"/>
                <w:color w:val="auto"/>
              </w:rPr>
              <w:t>April 1, 2018</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9,199</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Trade receivables less allowance for doubtful accounts of $620 for 2019 and $942 for 2018</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63,966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63,507</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60,482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59,736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4,106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139,409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134,982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Land</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9,140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Buildings and improvements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96,389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96,105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Machinery and equipment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93,153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89,324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Transportation equipment</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29,744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26,790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Office furniture and equipment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16,435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16,406</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0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244,861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238,165</w:t>
            </w:r>
          </w:p>
        </w:tc>
        <w:tc>
          <w:tcPr>
            <w:tcW w:w="0" w:type="dxa"/>
            <w:vAlign w:val="bottom"/>
          </w:tcPr>
          <w:p>
            <w:pPr>
              <w:spacing w:after="0"/>
              <w:rPr>
                <w:sz w:val="1"/>
                <w:szCs w:val="1"/>
                <w:color w:val="auto"/>
              </w:rPr>
            </w:pPr>
          </w:p>
        </w:tc>
      </w:tr>
      <w:tr>
        <w:trPr>
          <w:trHeight w:val="191"/>
        </w:trPr>
        <w:tc>
          <w:tcPr>
            <w:tcW w:w="7020" w:type="dxa"/>
            <w:vAlign w:val="bottom"/>
          </w:tcPr>
          <w:p>
            <w:pPr>
              <w:ind w:left="700"/>
              <w:spacing w:after="0"/>
              <w:rPr>
                <w:sz w:val="20"/>
                <w:szCs w:val="20"/>
                <w:color w:val="auto"/>
              </w:rPr>
            </w:pPr>
            <w:r>
              <w:rPr>
                <w:rFonts w:ascii="Arial" w:cs="Arial" w:eastAsia="Arial" w:hAnsi="Arial"/>
                <w:sz w:val="14"/>
                <w:szCs w:val="14"/>
                <w:color w:val="auto"/>
              </w:rPr>
              <w:t>Less accumulated depreciation</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126,233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114,339</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property, plant, and equipment</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118,628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123,826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58,440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58,440</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65,726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71,179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3,396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127,562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132,183</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385,599</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390,991</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29,314</w:t>
            </w:r>
          </w:p>
        </w:tc>
        <w:tc>
          <w:tcPr>
            <w:tcW w:w="12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33,424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12,483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8,399</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9,864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Container deposits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55,396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60,567</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74,658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90,762</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PENSION WITHDRAWAL LIABILITY</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5,316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5,646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5,695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4,386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26,673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27,383</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167,738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188,744</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10,592,450 and 10,631,992 shares issued and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380"/>
              <w:spacing w:after="0"/>
              <w:rPr>
                <w:sz w:val="20"/>
                <w:szCs w:val="20"/>
                <w:color w:val="auto"/>
              </w:rPr>
            </w:pPr>
            <w:r>
              <w:rPr>
                <w:rFonts w:ascii="Arial" w:cs="Arial" w:eastAsia="Arial" w:hAnsi="Arial"/>
                <w:sz w:val="14"/>
                <w:szCs w:val="14"/>
                <w:color w:val="auto"/>
              </w:rPr>
              <w:t>outstanding for 2019 and 2018, respectively</w:t>
            </w:r>
          </w:p>
        </w:tc>
        <w:tc>
          <w:tcPr>
            <w:tcW w:w="20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52,609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53,877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164,405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147,242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217,861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202,247</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385,599</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390,991</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300"/>
          </w:cols>
          <w:pgMar w:left="800" w:top="580" w:right="7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1, 2018</w:t>
            </w:r>
          </w:p>
        </w:tc>
        <w:tc>
          <w:tcPr>
            <w:tcW w:w="280" w:type="dxa"/>
            <w:vAlign w:val="bottom"/>
          </w:tcPr>
          <w:p>
            <w:pPr>
              <w:spacing w:after="0"/>
              <w:rPr>
                <w:sz w:val="22"/>
                <w:szCs w:val="22"/>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April 2, 2017</w:t>
            </w:r>
          </w:p>
        </w:tc>
      </w:tr>
      <w:tr>
        <w:trPr>
          <w:trHeight w:val="250"/>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504,169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483,593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(417,409)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(385,520)</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98,073</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(59,381)</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38,692</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36,048</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(13,493)</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10,654,887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10,607,422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10,536,347</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10,726,176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10,643,719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10,596,110</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324"/>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22"/>
                <w:szCs w:val="22"/>
                <w:color w:val="auto"/>
              </w:rPr>
            </w:pP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April 1, 2018</w:t>
            </w:r>
          </w:p>
        </w:tc>
        <w:tc>
          <w:tcPr>
            <w:tcW w:w="46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4"/>
                <w:szCs w:val="14"/>
                <w:b w:val="1"/>
                <w:bCs w:val="1"/>
                <w:color w:val="auto"/>
              </w:rPr>
              <w:t>April 2, 2017</w:t>
            </w:r>
          </w:p>
        </w:tc>
      </w:tr>
      <w:tr>
        <w:trPr>
          <w:trHeight w:val="324"/>
        </w:trPr>
        <w:tc>
          <w:tcPr>
            <w:tcW w:w="61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24,433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22,555</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60"/>
              <w:spacing w:after="0"/>
              <w:rPr>
                <w:sz w:val="20"/>
                <w:szCs w:val="20"/>
                <w:color w:val="auto"/>
              </w:rPr>
            </w:pPr>
            <w:r>
              <w:rPr>
                <w:rFonts w:ascii="Arial" w:cs="Arial" w:eastAsia="Arial" w:hAnsi="Arial"/>
                <w:sz w:val="18"/>
                <w:szCs w:val="18"/>
                <w:color w:val="auto"/>
              </w:rPr>
              <w:t>Unrealized (loss) gain on interest rate swap</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301</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gain on post-retirement liability</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Total other comprehensive (loss) income</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w:t>
            </w:r>
          </w:p>
        </w:tc>
      </w:tr>
      <w:tr>
        <w:trPr>
          <w:trHeight w:val="27"/>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22,858</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6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189" w:lineRule="exact"/>
        <w:rPr>
          <w:sz w:val="20"/>
          <w:szCs w:val="20"/>
          <w:color w:val="auto"/>
        </w:rPr>
      </w:pPr>
    </w:p>
    <w:p>
      <w:pPr>
        <w:jc w:val="center"/>
        <w:ind w:left="344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23495</wp:posOffset>
            </wp:positionV>
            <wp:extent cx="1680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520"/>
        <w:spacing w:after="0"/>
        <w:tabs>
          <w:tab w:leader="none" w:pos="484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0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Paid-in</w:t>
            </w:r>
          </w:p>
        </w:tc>
        <w:tc>
          <w:tcPr>
            <w:tcW w:w="122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tcPr>
          <w:p>
            <w:pPr>
              <w:ind w:left="38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40" w:space="720"/>
            <w:col w:w="526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42"/>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April 3, 2016</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10,512,471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152,265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200,975</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(8,923)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(8,923)</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2,127</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rPr>
              <w:t>Tax benefit on share-based</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compensation plans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44,113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7"/>
                <w:szCs w:val="17"/>
                <w:color w:val="auto"/>
              </w:rPr>
              <w:t>(12,974)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38,986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303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22,555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22,555</w:t>
            </w:r>
          </w:p>
        </w:tc>
        <w:tc>
          <w:tcPr>
            <w:tcW w:w="0" w:type="dxa"/>
            <w:vAlign w:val="bottom"/>
          </w:tcPr>
          <w:p>
            <w:pPr>
              <w:spacing w:after="0"/>
              <w:rPr>
                <w:sz w:val="1"/>
                <w:szCs w:val="1"/>
                <w:color w:val="auto"/>
              </w:rPr>
            </w:pPr>
          </w:p>
        </w:tc>
      </w:tr>
      <w:tr>
        <w:trPr>
          <w:trHeight w:val="219"/>
        </w:trPr>
        <w:tc>
          <w:tcPr>
            <w:tcW w:w="3100" w:type="dxa"/>
            <w:vAlign w:val="bottom"/>
          </w:tcPr>
          <w:p>
            <w:pPr>
              <w:ind w:left="40"/>
              <w:spacing w:after="0"/>
              <w:rPr>
                <w:sz w:val="20"/>
                <w:szCs w:val="20"/>
                <w:color w:val="auto"/>
              </w:rPr>
            </w:pPr>
            <w:r>
              <w:rPr>
                <w:rFonts w:ascii="Arial" w:cs="Arial" w:eastAsia="Arial" w:hAnsi="Arial"/>
                <w:sz w:val="17"/>
                <w:szCs w:val="17"/>
                <w:color w:val="auto"/>
              </w:rPr>
              <w:t>BALANCE — April 2, 2017</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10,582,596</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51,104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165,897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217,828</w:t>
            </w:r>
          </w:p>
        </w:tc>
        <w:tc>
          <w:tcPr>
            <w:tcW w:w="0" w:type="dxa"/>
            <w:vAlign w:val="bottom"/>
          </w:tcPr>
          <w:p>
            <w:pPr>
              <w:spacing w:after="0"/>
              <w:rPr>
                <w:sz w:val="1"/>
                <w:szCs w:val="1"/>
                <w:color w:val="auto"/>
              </w:rPr>
            </w:pPr>
          </w:p>
        </w:tc>
      </w:tr>
      <w:tr>
        <w:trPr>
          <w:trHeight w:val="71"/>
        </w:trPr>
        <w:tc>
          <w:tcPr>
            <w:tcW w:w="310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shd w:val="clear" w:color="auto" w:fill="CCEEFF"/>
          </w:tcPr>
          <w:p>
            <w:pPr>
              <w:ind w:left="380"/>
              <w:spacing w:after="0" w:line="179" w:lineRule="exact"/>
              <w:rPr>
                <w:sz w:val="20"/>
                <w:szCs w:val="20"/>
                <w:color w:val="auto"/>
              </w:rPr>
            </w:pPr>
            <w:r>
              <w:rPr>
                <w:rFonts w:ascii="Arial" w:cs="Arial" w:eastAsia="Arial" w:hAnsi="Arial"/>
                <w:sz w:val="17"/>
                <w:szCs w:val="17"/>
                <w:color w:val="auto"/>
              </w:rPr>
              <w:t>Cash dividends declared</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41,304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1,405</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0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39"/>
        </w:trPr>
        <w:tc>
          <w:tcPr>
            <w:tcW w:w="3100" w:type="dxa"/>
            <w:vAlign w:val="bottom"/>
          </w:tcPr>
          <w:p>
            <w:pPr>
              <w:ind w:left="720"/>
              <w:spacing w:after="0"/>
              <w:rPr>
                <w:sz w:val="20"/>
                <w:szCs w:val="20"/>
                <w:color w:val="auto"/>
              </w:rPr>
            </w:pPr>
            <w:r>
              <w:rPr>
                <w:rFonts w:ascii="Arial" w:cs="Arial" w:eastAsia="Arial" w:hAnsi="Arial"/>
                <w:sz w:val="17"/>
                <w:szCs w:val="17"/>
                <w:color w:val="auto"/>
              </w:rPr>
              <w:t>Net loss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(9,177)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(9,177)</w:t>
            </w:r>
          </w:p>
        </w:tc>
        <w:tc>
          <w:tcPr>
            <w:tcW w:w="0" w:type="dxa"/>
            <w:vAlign w:val="bottom"/>
          </w:tcPr>
          <w:p>
            <w:pPr>
              <w:spacing w:after="0"/>
              <w:rPr>
                <w:sz w:val="1"/>
                <w:szCs w:val="1"/>
                <w:color w:val="auto"/>
              </w:rPr>
            </w:pPr>
          </w:p>
        </w:tc>
      </w:tr>
      <w:tr>
        <w:trPr>
          <w:trHeight w:val="31"/>
        </w:trPr>
        <w:tc>
          <w:tcPr>
            <w:tcW w:w="3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 April 1, 2018</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10,631,992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147,242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202,247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7"/>
                <w:szCs w:val="17"/>
                <w:color w:val="auto"/>
              </w:rPr>
              <w:t>Cash dividends declared</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0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(7,270)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(7,270)</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7"/>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Vesting of restricted stock</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33,051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w w:val="98"/>
              </w:rPr>
              <w:t>Shares surrendered for payroll taxes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39"/>
        </w:trPr>
        <w:tc>
          <w:tcPr>
            <w:tcW w:w="3100" w:type="dxa"/>
            <w:vAlign w:val="bottom"/>
          </w:tcPr>
          <w:p>
            <w:pPr>
              <w:ind w:left="380"/>
              <w:spacing w:after="0"/>
              <w:rPr>
                <w:sz w:val="20"/>
                <w:szCs w:val="20"/>
                <w:color w:val="auto"/>
              </w:rPr>
            </w:pPr>
            <w:r>
              <w:rPr>
                <w:rFonts w:ascii="Arial" w:cs="Arial" w:eastAsia="Arial" w:hAnsi="Arial"/>
                <w:sz w:val="17"/>
                <w:szCs w:val="17"/>
                <w:color w:val="auto"/>
              </w:rPr>
              <w:t>ESPP shares issued</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43,678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1,336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Shares repurchased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(108,166)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(4,352)</w:t>
            </w:r>
          </w:p>
        </w:tc>
        <w:tc>
          <w:tcPr>
            <w:tcW w:w="0" w:type="dxa"/>
            <w:vAlign w:val="bottom"/>
          </w:tcPr>
          <w:p>
            <w:pPr>
              <w:spacing w:after="0"/>
              <w:rPr>
                <w:sz w:val="1"/>
                <w:szCs w:val="1"/>
                <w:color w:val="auto"/>
              </w:rPr>
            </w:pPr>
          </w:p>
        </w:tc>
      </w:tr>
      <w:tr>
        <w:trPr>
          <w:trHeight w:val="212"/>
        </w:trPr>
        <w:tc>
          <w:tcPr>
            <w:tcW w:w="3100" w:type="dxa"/>
            <w:vAlign w:val="bottom"/>
          </w:tcPr>
          <w:p>
            <w:pPr>
              <w:ind w:left="380"/>
              <w:spacing w:after="0"/>
              <w:rPr>
                <w:sz w:val="20"/>
                <w:szCs w:val="20"/>
                <w:color w:val="auto"/>
              </w:rPr>
            </w:pPr>
            <w:r>
              <w:rPr>
                <w:rFonts w:ascii="Arial" w:cs="Arial" w:eastAsia="Arial" w:hAnsi="Arial"/>
                <w:sz w:val="17"/>
                <w:szCs w:val="17"/>
                <w:color w:val="auto"/>
                <w:w w:val="98"/>
              </w:rPr>
              <w:t>Other comprehensive income, net of</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80"/>
              <w:spacing w:after="0"/>
              <w:rPr>
                <w:sz w:val="20"/>
                <w:szCs w:val="20"/>
                <w:color w:val="auto"/>
              </w:rPr>
            </w:pPr>
            <w:r>
              <w:rPr>
                <w:rFonts w:ascii="Arial" w:cs="Arial" w:eastAsia="Arial" w:hAnsi="Arial"/>
                <w:sz w:val="17"/>
                <w:szCs w:val="17"/>
                <w:color w:val="auto"/>
              </w:rPr>
              <w:t>tax</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24,433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24,433</w:t>
            </w:r>
          </w:p>
        </w:tc>
        <w:tc>
          <w:tcPr>
            <w:tcW w:w="0" w:type="dxa"/>
            <w:vAlign w:val="bottom"/>
          </w:tcPr>
          <w:p>
            <w:pPr>
              <w:spacing w:after="0"/>
              <w:rPr>
                <w:sz w:val="1"/>
                <w:szCs w:val="1"/>
                <w:color w:val="auto"/>
              </w:rPr>
            </w:pPr>
          </w:p>
        </w:tc>
      </w:tr>
      <w:tr>
        <w:trPr>
          <w:trHeight w:val="219"/>
        </w:trPr>
        <w:tc>
          <w:tcPr>
            <w:tcW w:w="3100" w:type="dxa"/>
            <w:vAlign w:val="bottom"/>
          </w:tcPr>
          <w:p>
            <w:pPr>
              <w:ind w:left="40"/>
              <w:spacing w:after="0"/>
              <w:rPr>
                <w:sz w:val="20"/>
                <w:szCs w:val="20"/>
                <w:color w:val="auto"/>
              </w:rPr>
            </w:pPr>
            <w:r>
              <w:rPr>
                <w:rFonts w:ascii="Arial" w:cs="Arial" w:eastAsia="Arial" w:hAnsi="Arial"/>
                <w:sz w:val="17"/>
                <w:szCs w:val="17"/>
                <w:color w:val="auto"/>
              </w:rPr>
              <w:t>BALANCE — March 31, 2019</w:t>
            </w:r>
          </w:p>
        </w:tc>
        <w:tc>
          <w:tcPr>
            <w:tcW w:w="128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10,592,450</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52,609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164,405</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317</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217,861</w:t>
            </w:r>
          </w:p>
        </w:tc>
        <w:tc>
          <w:tcPr>
            <w:tcW w:w="0" w:type="dxa"/>
            <w:vAlign w:val="bottom"/>
          </w:tcPr>
          <w:p>
            <w:pPr>
              <w:spacing w:after="0"/>
              <w:rPr>
                <w:sz w:val="1"/>
                <w:szCs w:val="1"/>
                <w:color w:val="auto"/>
              </w:rPr>
            </w:pPr>
          </w:p>
        </w:tc>
      </w:tr>
      <w:tr>
        <w:trPr>
          <w:trHeight w:val="31"/>
        </w:trPr>
        <w:tc>
          <w:tcPr>
            <w:tcW w:w="3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color w:val="auto"/>
        </w:rPr>
        <w:t>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Reconciliation to cash flows: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Amortization of debt issuance costs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Gain on deferred compensation assets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Share-based compensation expense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Loss (gain) from property disposals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operating accounts (using) providing cash:</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Trade receivables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Accrued liabilities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Additions to property, plant, and equipment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Proceeds from property disposals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Acquisition</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dividends paid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New shares issued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Excess tax benefit from share-based compensation</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Shares surrendered for payroll taxes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Shares repurchased</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Payments for debt issuance costs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Payments on senior secured term loan</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Payments on senior secured revolving credit facility</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Proceeds from revolver borrowings</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used in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INCREASE (DECREASE) IN CASH AND CASH EQUIVALENTS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 beginning of year</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AND CASH EQUIVALENTS - end of year</w:t>
      </w:r>
    </w:p>
    <w:p>
      <w:pPr>
        <w:spacing w:after="0" w:line="109" w:lineRule="exact"/>
        <w:rPr>
          <w:sz w:val="20"/>
          <w:szCs w:val="20"/>
          <w:color w:val="auto"/>
        </w:rPr>
      </w:pPr>
    </w:p>
    <w:p>
      <w:pPr>
        <w:ind w:left="360" w:right="380" w:hanging="350"/>
        <w:spacing w:after="0" w:line="422" w:lineRule="auto"/>
        <w:rPr>
          <w:sz w:val="20"/>
          <w:szCs w:val="20"/>
          <w:color w:val="auto"/>
        </w:rPr>
      </w:pPr>
      <w:r>
        <w:rPr>
          <w:rFonts w:ascii="Arial" w:cs="Arial" w:eastAsia="Arial" w:hAnsi="Arial"/>
          <w:sz w:val="14"/>
          <w:szCs w:val="14"/>
          <w:color w:val="auto"/>
        </w:rPr>
        <w:t>SUPPLEMENTAL DISCLOSURES OF CASH FLOW INFORMATION-Cash paid during the year for income taxes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Cash paid for interest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3"/>
          <w:szCs w:val="13"/>
          <w:color w:val="auto"/>
        </w:rPr>
        <w:t>Noncash investing activities - Capital expenditures in accounts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01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 2018</w:t>
            </w:r>
          </w:p>
        </w:tc>
        <w:tc>
          <w:tcPr>
            <w:tcW w:w="220" w:type="dxa"/>
            <w:vAlign w:val="bottom"/>
          </w:tcPr>
          <w:p>
            <w:pPr>
              <w:spacing w:after="0"/>
              <w:rPr>
                <w:sz w:val="16"/>
                <w:szCs w:val="16"/>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April 2, 2017</w:t>
            </w:r>
          </w:p>
        </w:tc>
      </w:tr>
      <w:tr>
        <w:trPr>
          <w:trHeight w:val="528"/>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24,433</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(9,177)</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22,555</w:t>
            </w:r>
          </w:p>
        </w:tc>
      </w:tr>
      <w:tr>
        <w:trPr>
          <w:trHeight w:val="540"/>
        </w:trPr>
        <w:tc>
          <w:tcPr>
            <w:tcW w:w="180" w:type="dxa"/>
            <w:vAlign w:val="bottom"/>
          </w:tcPr>
          <w:p>
            <w:pPr>
              <w:spacing w:after="0"/>
              <w:rPr>
                <w:sz w:val="24"/>
                <w:szCs w:val="2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21,756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22,390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20,875</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136</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39,116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2,127</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322</w:t>
            </w:r>
          </w:p>
        </w:tc>
      </w:tr>
      <w:tr>
        <w:trPr>
          <w:trHeight w:val="54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2,259</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(3,529)</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(4,137)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562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4,752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569</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44"/>
        </w:trPr>
        <w:tc>
          <w:tcPr>
            <w:tcW w:w="18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47,990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27,349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44,855</w:t>
            </w:r>
          </w:p>
        </w:tc>
      </w:tr>
      <w:tr>
        <w:trPr>
          <w:trHeight w:val="54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(12,618)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(19,703)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(21,616)</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324</w:t>
            </w:r>
          </w:p>
        </w:tc>
      </w:tr>
      <w:tr>
        <w:trPr>
          <w:trHeight w:val="276"/>
        </w:trPr>
        <w:tc>
          <w:tcPr>
            <w:tcW w:w="18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(2,199)</w:t>
            </w:r>
          </w:p>
        </w:tc>
      </w:tr>
      <w:tr>
        <w:trPr>
          <w:trHeight w:val="244"/>
        </w:trPr>
        <w:tc>
          <w:tcPr>
            <w:tcW w:w="1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(12,343)</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(19,339)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(23,491)</w:t>
            </w:r>
          </w:p>
        </w:tc>
      </w:tr>
      <w:tr>
        <w:trPr>
          <w:trHeight w:val="54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(11,975)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(8,683)</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1,291</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131</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(631)</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(5,625)</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(21,000)</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93,000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27,000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(31,438)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(34,517)</w:t>
            </w:r>
          </w:p>
        </w:tc>
      </w:tr>
      <w:tr>
        <w:trPr>
          <w:trHeight w:val="244"/>
        </w:trPr>
        <w:tc>
          <w:tcPr>
            <w:tcW w:w="180" w:type="dxa"/>
            <w:vAlign w:val="bottom"/>
          </w:tcPr>
          <w:p>
            <w:pPr>
              <w:spacing w:after="0"/>
              <w:rPr>
                <w:sz w:val="21"/>
                <w:szCs w:val="21"/>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(13,153)</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6,861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20,014</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9,199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6,861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1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7,589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10,232</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13,421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2,341</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-7049770</wp:posOffset>
            </wp:positionV>
            <wp:extent cx="644017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18034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-6697980</wp:posOffset>
            </wp:positionV>
            <wp:extent cx="644017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-6355080</wp:posOffset>
            </wp:positionV>
            <wp:extent cx="644017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-6012180</wp:posOffset>
            </wp:positionV>
            <wp:extent cx="644017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-5668645</wp:posOffset>
            </wp:positionV>
            <wp:extent cx="64401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-5325745</wp:posOffset>
            </wp:positionV>
            <wp:extent cx="64401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-4982845</wp:posOffset>
            </wp:positionV>
            <wp:extent cx="644017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-4639945</wp:posOffset>
            </wp:positionV>
            <wp:extent cx="64401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-4297045</wp:posOffset>
            </wp:positionV>
            <wp:extent cx="64401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-3953510</wp:posOffset>
            </wp:positionV>
            <wp:extent cx="644017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-3610610</wp:posOffset>
            </wp:positionV>
            <wp:extent cx="64401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-3267710</wp:posOffset>
            </wp:positionV>
            <wp:extent cx="644017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-2924810</wp:posOffset>
            </wp:positionV>
            <wp:extent cx="644017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-2581910</wp:posOffset>
            </wp:positionV>
            <wp:extent cx="64401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-2238375</wp:posOffset>
            </wp:positionV>
            <wp:extent cx="64401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-1895475</wp:posOffset>
            </wp:positionV>
            <wp:extent cx="64401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-1552575</wp:posOffset>
            </wp:positionV>
            <wp:extent cx="64401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-1209675</wp:posOffset>
            </wp:positionV>
            <wp:extent cx="64401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-866775</wp:posOffset>
            </wp:positionV>
            <wp:extent cx="64401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-506095</wp:posOffset>
            </wp:positionV>
            <wp:extent cx="64401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40170" cy="1714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-163195</wp:posOffset>
            </wp:positionV>
            <wp:extent cx="64401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4017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4740"/>
          </w:cols>
          <w:pgMar w:left="900" w:top="364" w:right="87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0120"/>
          </w:cols>
          <w:pgMar w:left="900" w:top="364" w:right="879" w:bottom="1440" w:gutter="0" w:footer="0" w:header="0"/>
          <w:type w:val="continuous"/>
        </w:sect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120"/>
          </w:cols>
          <w:pgMar w:left="900" w:top="364" w:right="87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Nature of Business - </w:t>
      </w:r>
      <w:r>
        <w:rPr>
          <w:rFonts w:ascii="Arial" w:cs="Arial" w:eastAsia="Arial" w:hAnsi="Arial"/>
          <w:sz w:val="18"/>
          <w:szCs w:val="18"/>
          <w:color w:val="auto"/>
        </w:rPr>
        <w:t>We have three reportable segments: Industrial, Water Treatment and Health and Nutrition. The Industrial Group specializes in providing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chemicals, products and services to industries such as agriculture, chemical processing, electronics, energy, food, pharmaceutical and plating.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Fiscal Year - </w:t>
      </w:r>
      <w:r>
        <w:rPr>
          <w:rFonts w:ascii="Arial" w:cs="Arial" w:eastAsia="Arial" w:hAnsi="Arial"/>
          <w:sz w:val="17"/>
          <w:szCs w:val="17"/>
          <w:color w:val="auto"/>
        </w:rPr>
        <w:t>Our fiscal year is a 52 or 53-week year ending on the Sunday closest to March 31. Our fiscal years ended March 31, 2019 (“fiscal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1, 2018 (“fiscal 2018”) and April 2, 2017 (“fiscal 2017”) were 52 weeks. The fiscal year ending March 29, 2020 (“fiscal 2020”) will also be 52 weeks.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Revenue is measured as the amount of consideration we expect to receive in exchange for transferring products. Revenue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 an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and marketable securities.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on quoted prices in active markets for identical assets or liabilities.</w:t>
      </w:r>
    </w:p>
    <w:p>
      <w:pPr>
        <w:spacing w:after="0" w:line="225" w:lineRule="exact"/>
        <w:rPr>
          <w:sz w:val="20"/>
          <w:szCs w:val="20"/>
          <w:color w:val="auto"/>
        </w:rPr>
      </w:pPr>
    </w:p>
    <w:p>
      <w:pPr>
        <w:jc w:val="both"/>
        <w:ind w:left="220" w:firstLine="23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quoted prices in active markets for similar assets or liabilities, or quoted prices for identical 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inputs other than quoted prices that are observable or can be corroborated by observable market data for the asset or liability.</w:t>
      </w:r>
    </w:p>
    <w:p>
      <w:pPr>
        <w:spacing w:after="0" w:line="181" w:lineRule="exact"/>
        <w:rPr>
          <w:sz w:val="20"/>
          <w:szCs w:val="20"/>
          <w:color w:val="auto"/>
        </w:rPr>
      </w:pPr>
    </w:p>
    <w:p>
      <w:pPr>
        <w:jc w:val="both"/>
        <w:ind w:left="220" w:firstLine="23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unobservable inputs for the asset or liability that are supported by little or no market activity. These fair values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pricing models for which the assumptions utilize management’s estimates or market participant assumptions.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cash balances, maintained at large commercial banking institutions with strong credit ratings, may, at times, exceed federally insured limits.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Trade Receivables and Concentrations of Credit Risk - </w:t>
      </w:r>
      <w:r>
        <w:rPr>
          <w:rFonts w:ascii="Arial" w:cs="Arial" w:eastAsia="Arial" w:hAnsi="Arial"/>
          <w:sz w:val="17"/>
          <w:szCs w:val="17"/>
          <w:color w:val="auto"/>
        </w:rPr>
        <w:t>Financial instruments, which potentially subject us to a concentration of credit risk, principally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69% of our inventory determined using the last-in, first-out (“LIFO”) method. Cost for the other 31% of our total inventory is determined using the first-in, first-out (“FIFO”) method.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and 3 to 10 years for transportation equipment and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long-lived assets were determined to be impaired during fiscal years 2019, 2018 or 2017.</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Goodwill and Identifiable Intangible Assets - </w:t>
      </w:r>
      <w:r>
        <w:rPr>
          <w:rFonts w:ascii="Arial" w:cs="Arial" w:eastAsia="Arial" w:hAnsi="Arial"/>
          <w:sz w:val="18"/>
          <w:szCs w:val="18"/>
          <w:color w:val="auto"/>
        </w:rPr>
        <w:t>Goodwill represents the excess of the cost of acquired businesses over the fair value of identifiable tangible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31, 2018, we performed an analysis of qualitative factors for our Water Treatment reporting unit to determine whether it is more likely than not that the fair value of this reporting unit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the Water Treatment reporting unit.</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performed a quantitative goodwill impairment test for our Industrial and Health and Nutrition reporting units. This test, used to identify potential impairment, compares the fair value of each reporting unit with its carrying amount, including indefinite-lived intangible assets. If the fair value exceeds the carrying amount, the goodwill is not considered impaired. If the carrying amount exceeds the fair value, the reporting unit’s goodwill is considered impaired, and we must recognize an impairment charge for the amount by which the carrying amount exceeds the reporting unit’s fair value. The fair value of both of these reporting units exceeded their respective carrying values as of December 31, 2018, and accordingly we did not record a goodwill impairment charge.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impairment assessments were also completed in the fourth quarters of fiscal 2018 and 2017. We recorded a $39.1 million impairment charge during the fourth quarter of fiscal 2018 in our Health and Nutrition reporting unit. The impairment charge was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recorded as a result of changes in expectations for future growth as part of our fourth quarter long-term strategic planning process to align with historical experience in recent periods and expected changes in future product mix.</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2019.</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assessments were also completed in the fourth quarters of fiscal 2018 and 2017 which resulted in no impairment charges for either of these fiscal years.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The Company accounts for income taxes under the asset and liability method, which requires the recognition of deferred tax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tax expense in the period that includes the enactment date.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effects of income tax positions are recognized only if those positions are more likely than not of being sustained. Changes in recognition or measurement are made as facts and circumstances change. See note 13 for further information regarding the recording of a liability and offsetting receivable regarding an uncertain tax position taken by Stauber prior to its acquisition by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expense over the requisite service periods based on the market value on the date of grant.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Earnings Per Share - </w:t>
      </w:r>
      <w:r>
        <w:rPr>
          <w:rFonts w:ascii="Arial" w:cs="Arial" w:eastAsia="Arial" w:hAnsi="Arial"/>
          <w:sz w:val="17"/>
          <w:szCs w:val="17"/>
          <w:color w:val="auto"/>
        </w:rPr>
        <w:t>Basic earnings per share (“EPS”) are computed by dividing net income by the weighted-average number of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2019</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1, 2018</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2, 2017</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10,654,887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10,607,422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10,536,347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impact of stock performance units and restricted stock</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71,289</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36,297</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59,763</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10,726,176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10,643,719</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10,596,110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or stock options excluded from the calculation of weighted average common shares for diluted EPS for fiscal 2019, 2018 or 2017.</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 Instruments and Hedging Activities - </w:t>
      </w:r>
      <w:r>
        <w:rPr>
          <w:rFonts w:ascii="Arial" w:cs="Arial" w:eastAsia="Arial" w:hAnsi="Arial"/>
          <w:sz w:val="17"/>
          <w:szCs w:val="17"/>
          <w:color w:val="auto"/>
        </w:rPr>
        <w:t>We are subject to interest rate risk associated with our variable rate debt. We have in place an interest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swap which was has been designated as a cash flow hedge, the purpose of which is to eliminate the cash flow impact of interest rate changes on a portion of our variable-rate debt. The hedge was measured at fair value on the contract date and is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2016-02 which provides new accounting guidance requiring lessees to recognize most leases as assets and liabilities on the balance sheet. The original guidance required application on a modified retrospective basis with the earliest period presented. In August 2018, the FASB issued ASU 2018-11, </w:t>
      </w:r>
      <w:r>
        <w:rPr>
          <w:rFonts w:ascii="Arial" w:cs="Arial" w:eastAsia="Arial" w:hAnsi="Arial"/>
          <w:sz w:val="16"/>
          <w:szCs w:val="16"/>
          <w:i w:val="1"/>
          <w:iCs w:val="1"/>
          <w:color w:val="auto"/>
        </w:rPr>
        <w:t>Targeted Improvements to ASC 842</w:t>
      </w:r>
      <w:r>
        <w:rPr>
          <w:rFonts w:ascii="Arial" w:cs="Arial" w:eastAsia="Arial" w:hAnsi="Arial"/>
          <w:sz w:val="16"/>
          <w:szCs w:val="16"/>
          <w:color w:val="auto"/>
        </w:rPr>
        <w:t>, which includes an option to not restate comparative periods in transition and elect to use the effective date of ASU 2016-02 as the date of initial application of transition. We adopted this ASU on April 1, 2019, the first day of our fiscal 2020, and elected the transition option provided under ASU 2018-11. Upon adoption, we estimate both assets and liabilities on our Consolidated Balance Sheets will increase by approximately $10 million to reflect the right of use asset and lease liabilities resulting from our operating leases. Changes in our lease population or changes in incremental borrowing rates may alter this estimate. We expect to expand our consolidated financial statement disclosures in connection with adoption of this standard.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2014, the Financial Accounting Standards Board (“FASB”) issued ASU 2014-09, which provides accounting requirements for recognition of revenue from contracts with customers.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 See Note 2 for disclosures required upon adoption of this new standard.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January 2016, the FASB issued ASU 2016-01 which provides guidance that addresses certain aspects of recognition, measurement, presentation, and disclosure of financial instruments.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FASB issued ASU 2018-02 which allows a reclassification from accumulated other comprehensive income to retained earnings for stranded tax effects resulting from the Tax Cuts and Jobs Act of 2017 (the “Tax Act”). Hawkins early adopted this standard during the fourth quarter of fiscal 2018 and reclassified approximately $0.1 million from other comprehensive income to retained earnings.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Securities and Exchange Commission (“SEC”) staff issued Staff Accounting Bulletin No. 118 (“SAB 118”) to address the application of U.S. GAAP related to the enactment of the Tax Act. This guidance was adopted in the third quarter of fiscal 2018. Additional information regarding our adoption of this guidance is contained in Note 12.</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is the recognition of excess tax benefits in the provision for income taxes rather than additional paid-in capital, which may result in increased volatility in the reported amounts of income tax expense and net income.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last-out (“LIFO”) method is unchanged by this guidance. We adopted this guidance in the first quarter of fiscal 2018 and there was no impact to our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 2018, we adopted ASU 2014-09 using the modified retrospective method applied to those contracts which were not completed as of April 2, 2018. Results for reporting periods beginning after April 2, 2018 are presented under ASU 2014-09, while prior period amounts are not adjusted and continue to be reported in accordance with historic accounting under Accounting Standards Codification (“ASC”) Topic 605.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As a result, the application of ASU 2014-09 had no impact on our financial statement line items as compared with the guidance that was in effect before the change. Accordingly, the impact of adopting the standard resulted in no adjustment to accumulated retained earnings.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disaggregate revenues from contracts with customers by both operating segments and types of product sold. Reporting by operating segment is pertinent to understanding our revenues, as it aligns to how we review the financial performance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operations. Types of products sold within each operating segment help us to further evaluate the financial performance of our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5"/>
          <w:szCs w:val="25"/>
          <w:color w:val="auto"/>
          <w:vertAlign w:val="superscript"/>
        </w:rPr>
        <w:t>(1)</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Manufactured, blended or repackaged products </w:t>
      </w:r>
      <w:r>
        <w:rPr>
          <w:rFonts w:ascii="Arial" w:cs="Arial" w:eastAsia="Arial" w:hAnsi="Arial"/>
          <w:sz w:val="21"/>
          <w:szCs w:val="21"/>
          <w:color w:val="auto"/>
          <w:vertAlign w:val="superscript"/>
        </w:rPr>
        <w:t>(2)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Fiscal Year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3910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Water</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Treatment</w:t>
            </w:r>
          </w:p>
        </w:tc>
        <w:tc>
          <w:tcPr>
            <w:tcW w:w="1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61,231</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21,774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109,067</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192,072</w:t>
            </w:r>
          </w:p>
        </w:tc>
      </w:tr>
      <w:tr>
        <w:trPr>
          <w:trHeight w:val="270"/>
        </w:trPr>
        <w:tc>
          <w:tcPr>
            <w:tcW w:w="2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216,582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126,257</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15,685</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358,524</w:t>
            </w:r>
          </w:p>
        </w:tc>
      </w:tr>
      <w:tr>
        <w:trPr>
          <w:trHeight w:val="270"/>
        </w:trPr>
        <w:tc>
          <w:tcPr>
            <w:tcW w:w="22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4,047</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5,730</w:t>
            </w:r>
          </w:p>
        </w:tc>
      </w:tr>
      <w:tr>
        <w:trPr>
          <w:trHeight w:val="27"/>
        </w:trPr>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281,860</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149,490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124,976</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556,326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-505460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-162560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line="33" w:lineRule="exact"/>
        <w:rPr>
          <w:sz w:val="20"/>
          <w:szCs w:val="20"/>
          <w:color w:val="auto"/>
        </w:rPr>
      </w:pPr>
    </w:p>
    <w:p>
      <w:pPr>
        <w:jc w:val="both"/>
        <w:ind w:left="660" w:hanging="328"/>
        <w:spacing w:after="0" w:line="25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adjusts revenues accordingly.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on December 23, 2020. The notional amount of the swap agreement is currently $30 million through August 31, 2019 and reduces to $20 million from September 1, 2019 through December 23, 2020. We have designated this swap as a cash flow hedge and have determined that it qualifies for hedge accounting treatment. For so long as the hedge is effective, changes in fair value of the cash flow hedge are recorded in other comprehensive income or loss (net of tax) until income or loss from the cash flows of the hedged item is realized.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March 31, 2019, we recorded $0.3 million in other comprehensive income related to unrealized losses (net of tax) on the cash flow hedge described above. For each of the years ended April 1, 2018 and April 2, 2017, we recorded $0.3 million in other comprehensive income related to unrealized gains (net of tax) on the cash flow hedge. Included in other long-term assets on our condensed consolidated balance sheet was $0.4 million as of March 31, 2019 and $0.8 million as of April 1, 2018.</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 We classify the inputs used to measure fair value into the following hierarchy:</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60" w:right="340" w:hanging="864"/>
        <w:spacing w:after="0" w:line="264" w:lineRule="auto"/>
        <w:tabs>
          <w:tab w:leader="none" w:pos="214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60" w:right="1000" w:hanging="864"/>
        <w:spacing w:after="0" w:line="264" w:lineRule="auto"/>
        <w:tabs>
          <w:tab w:leader="none" w:pos="214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Both of these assets are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established in fiscal 2017,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balances of assets or liabilities measured at fair value on a recurring basis as of March 31, 2019 and April 1, 2018.</w:t>
      </w:r>
    </w:p>
    <w:p>
      <w:pPr>
        <w:spacing w:after="0" w:line="395"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178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621"/>
        </w:trPr>
        <w:tc>
          <w:tcPr>
            <w:tcW w:w="4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April 1, 2018</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8"/>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Level 2</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3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702"/>
        </w:trPr>
        <w:tc>
          <w:tcPr>
            <w:tcW w:w="4080" w:type="dxa"/>
            <w:vAlign w:val="bottom"/>
          </w:tcPr>
          <w:p>
            <w:pPr>
              <w:spacing w:after="0"/>
              <w:rPr>
                <w:sz w:val="24"/>
                <w:szCs w:val="24"/>
                <w:color w:val="auto"/>
              </w:rPr>
            </w:pPr>
          </w:p>
        </w:tc>
        <w:tc>
          <w:tcPr>
            <w:tcW w:w="3120" w:type="dxa"/>
            <w:vAlign w:val="bottom"/>
          </w:tcPr>
          <w:p>
            <w:pPr>
              <w:jc w:val="right"/>
              <w:ind w:right="131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Assets Held for Sale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March 31, 2019 and April 1, 2018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r>
      <w:tr>
        <w:trPr>
          <w:trHeight w:val="251"/>
        </w:trPr>
        <w:tc>
          <w:tcPr>
            <w:tcW w:w="74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65,526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65,322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(5,586)</w:t>
            </w:r>
          </w:p>
        </w:tc>
      </w:tr>
      <w:tr>
        <w:trPr>
          <w:trHeight w:val="27"/>
        </w:trPr>
        <w:tc>
          <w:tcPr>
            <w:tcW w:w="7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59,736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FIFO value of inventories accounted for under the LIFO method was $45.2 million at March 31, 2019 and $44.0 million at April 1, 2018. The remainder of the inventory was valued and accounted for under the FIFO method.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decreased the LIFO reserve by $0.5 million in fiscal 2019 due to lower volumes of certain inventory on hand. In fiscal 2018, the LIFO reserve increased by $4.1 million due to an increase in per-unit inventory costs of certain bulk commodity products and higher volumes of certain inventory on hand.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each of our three reportable segments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Industrial</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Water Treatment</w:t>
            </w: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Health and Nutrition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2,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84,061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97,556</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(39,116)</w:t>
            </w: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1, 2018 and March 31,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44,945</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58,440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March 31, 2019 and April 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carrying value</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1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3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61,473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3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3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64,499</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89,303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65,726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1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carrying value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65,964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69,952</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71,179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$5.5 million during fiscal 2019, $5.7 million during fiscal 2018, and $6.1 million during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5,073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4,891</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30, 2018, we entered into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term and revolving loans under our previous credit agreement with U.S. Bank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previous credit facility. We may use the remaining amount of the Revolving Loan Facility for working capital, capital expenditures, share repurchases, restricted payments and acquisitions permitted under the Credit Agreement, and other general corporate purposes.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the effective interest rate on our borrowings was 3.2%. 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previous credit facility, are reflected as a reduction of debt and are being amortized as interest expense over the term of the Revolving Loan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Debt at March 31, 2019 and April 1, 2018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240" w:type="dxa"/>
            <w:vAlign w:val="bottom"/>
          </w:tcPr>
          <w:p>
            <w:pPr>
              <w:spacing w:after="0"/>
              <w:rPr>
                <w:sz w:val="14"/>
                <w:szCs w:val="14"/>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b w:val="1"/>
                <w:bCs w:val="1"/>
                <w:color w:val="auto"/>
              </w:rPr>
              <w:t>April 1, 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3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color w:val="auto"/>
              </w:rPr>
              <w:t>Total debt, net of debt issuance costs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84,565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57"/>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74,658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90,762</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ind w:left="562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4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69,252 shares in the aggregate for fiscal 2019. The restricted shares issued will fully vest two years after the end of the fiscal year on which the performance is based. We record the compensation expense for the outstanding performance share units and then-converted restricted stock over the life of the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2018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fiscal 2018</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2018</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0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2019</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 average grant date fair value of performance-based restricted shares issued in fiscal 2019 was $31.35, fiscal 2018 was $47.50 and fiscal 2017 was $43.10. We recorded compensation expense on performance-based restricted stock of approximately $1.3 million for fiscal 2019, $0.7 million for fiscal 2018 and $1.4 million for fiscal 2017, substantially all of which was recorded in selling, general and administrative (“SG&amp;A”) expense in the Consolidated Statements of Income. The total fair value of performance-based restricted stock units vested was $1.1 million in fiscal 2019 and $1.5 million in fiscal 2017. There were no performance-based restricted stock units that vested in fiscal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March 31, 2019 was $1.8 million and is expected to be recognized over a weighted average period of 1.4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ASU 2016-09 in fiscal 2018, the benefits of tax deductions that varied from the recognized compensation costs from share-based compensation were recorded as a change in additional paid-in capital rather than a reduction in earnings. The amount of excess tax benefit recognized and recorded in additional paid-in capital resulting from share-based compensation cost was $0.1 million in fiscal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part of their retainer, our non-employee directors receive restricted stock for their Board services. The restricted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expensed over a one-year vesting period, based on the market value on the date of grant. The following table represents the Board’s restricted stock activity for fiscal 2018 and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620" w:type="dxa"/>
            <w:vAlign w:val="bottom"/>
          </w:tcPr>
          <w:p>
            <w:pPr>
              <w:spacing w:after="0"/>
              <w:rPr>
                <w:sz w:val="12"/>
                <w:szCs w:val="12"/>
                <w:color w:val="auto"/>
              </w:rPr>
            </w:pP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6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fiscal 2018</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fiscal 2019</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Annual expense related to the value of restricted stock was $0.3 million in fiscal 2019, 2018 and 2017, and was recorded in SG&amp;A expense in the Consolidated Statements of Income. Unrecognized compensation expense related to non-vested restricted stock awards as of March 31, 2019 was $0.1 million and is expected to be recognized over a weighted average period of 0.3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board of directors has authorized the repurchase of up to 800,000 shares of our outstanding common stock, increasing the amount authorized in fiscal 2019 by 500,000 shares. The shares may be repurchased on the open market or in privately negotiated transactions subject to applicable securities laws and regulations. Upon repurchase of the shares, we reduce our common stock for the par value of the shares with the excess applied against additional paid-in capital. We repurchased 108,166 of common stock at an aggregate purchase price of $4.4 million during fiscal 2019. No shares were repurchased during fiscal 2018 or 2017. As of March 31, 2019, the number of shares available to be purchased under the share repurchase program was 504,380.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Profit Sharing, Employee Stock Ownership, Employee Stock Purchase and Pension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Company Sponsored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our non-bargaining unit employees are eligible to participate in a company-sponsored profit sharing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(“IRC”). The profit sharing plan contribution level for each employee depends upon date of hire, and was 2.5% or 5.0% of each employee’s eligible compensation for fiscal 2019, 2018 and 2017.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 sharing plan and the retirement plant include a 401(k) plan that allows employees to contribute pre-tax earnings up to the maximum amount allowed under the IRC, with an employer match of up to 5% of the employee’s eligible compensation.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2019, 2018 and 2017.</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2017, we established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 sharing plan contribution or the ESOP contributions described above for that plan year. Our contribution to the nonqualified deferred compensation plan for fiscal 2019, 2018 and 2017 was 10% of each employee’s eligible compensation, subject to the maximum amount allowed under the IRC.</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ESPP was 43,678 in fiscal 2019, 41,304 in fiscal 2018 and 38,986 in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contribution expense for these company-sponsored plans for fiscal 2019, 2018 and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ESOP</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Nonqualified deferred compensation plan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Total contribution expense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2013 we withdrew from a collectively bargained multiemployer pension plan and recorded a liability for our share of the unfunded vested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of $467,000 per year are being made through 2034.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have various operating leases for buildings and land on which some of our operations are located, trucks utilized for deliveries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branches, and certain office equipment. Future minimum lease payments due under operating leases with an initial term of one year or more at March 31, 2019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5,473</w:t>
            </w:r>
          </w:p>
        </w:tc>
      </w:tr>
      <w:tr>
        <w:trPr>
          <w:trHeight w:val="378"/>
        </w:trPr>
        <w:tc>
          <w:tcPr>
            <w:tcW w:w="5300" w:type="dxa"/>
            <w:vAlign w:val="bottom"/>
            <w:gridSpan w:val="5"/>
          </w:tcPr>
          <w:p>
            <w:pPr>
              <w:spacing w:after="0"/>
              <w:rPr>
                <w:sz w:val="20"/>
                <w:szCs w:val="20"/>
                <w:color w:val="auto"/>
              </w:rPr>
            </w:pPr>
            <w:r>
              <w:rPr>
                <w:rFonts w:ascii="Arial" w:cs="Arial" w:eastAsia="Arial" w:hAnsi="Arial"/>
                <w:sz w:val="18"/>
                <w:szCs w:val="18"/>
                <w:color w:val="auto"/>
                <w:w w:val="90"/>
              </w:rPr>
              <w:t>Total rental expense for fiscal years 2019, 2018 and 2017 was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2017</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2,959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3,283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28</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2,985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3,311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As of March 31, 2019,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Environmental Remediation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fiscal 2018, we recorded a liability of $0.6 million related to estimated remediation expenses associated with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trichloroethylene contamination at our Minneapolis facility. The liability was decreased by $0.2 million during fiscal 2019 to reflect payments made and management’s revised expectations related to the cost of this environmental remediation. The liability is not discounted as management expects to incur these expenses within the next twelve months.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We have three leases of land which contain terms that state that at the end of the lease term, we have a specified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to remove the property and buildings. Including available lease extensions, these leases expire in 2023,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31, 2019. We will continue to monitor the factors surrounding the requirement to record an asset retirement obligation and will recognize the fair value of a liability in the period in which it is incurred and a reasonable estimate can be made.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included a number of provisions, including lowering of the U.S. corporate tax rate from 35% to 21% effective January 1, 2018. Under GAAP, deferred tax assets and liabilities are required to be revalued during the period in which the new tax legislation is enacted. As such, during fiscal 2018 we revalued our net deferred tax liabilities to reflect the impact of the Tax Act and recorded a one-time benefit of $13.9 million. The accounting for the impact of the Tax Act was finalized during fiscal 2019 and there were no material adjustments to the estimates used under provisional accounting. Our effective tax rate for fiscal 2018 was also impacted by the $39.1 million goodwill impairment charge which was recorded for book purposes but was not deductible for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2019,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11,472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0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2,546</w:t>
            </w:r>
          </w:p>
        </w:tc>
      </w:tr>
      <w:tr>
        <w:trPr>
          <w:trHeight w:val="27"/>
        </w:trPr>
        <w:tc>
          <w:tcPr>
            <w:tcW w:w="5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14,018</w:t>
            </w:r>
          </w:p>
        </w:tc>
      </w:tr>
      <w:tr>
        <w:trPr>
          <w:trHeight w:val="466"/>
        </w:trPr>
        <w:tc>
          <w:tcPr>
            <w:tcW w:w="59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5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5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13,493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 provisions for income taxes to the applicable federal statutory income tax rate for fiscal 2019, 2018 and 2017 are listed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gridSpan w:val="2"/>
          </w:tcPr>
          <w:p>
            <w:pPr>
              <w:ind w:left="668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2017</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Revaluation of net deferred tax liabilities</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92.5 %</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00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27.1 %</w:t>
            </w:r>
          </w:p>
        </w:tc>
        <w:tc>
          <w:tcPr>
            <w:tcW w:w="1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39.1 %</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37.4 %</w:t>
            </w:r>
          </w:p>
        </w:tc>
      </w:tr>
      <w:tr>
        <w:trPr>
          <w:trHeight w:val="27"/>
        </w:trPr>
        <w:tc>
          <w:tcPr>
            <w:tcW w:w="6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March 31, 2019 and April 1, 2018 are as follows: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67"/>
        </w:trPr>
        <w:tc>
          <w:tcPr>
            <w:tcW w:w="716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Excess of tax over book depreciation</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Unrealized gain on interest rate swap</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(31,460)</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vMerge w:val="continue"/>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(26,673)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(27,383)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Company has determined that it is more likely than not that the deferred tax assets at March 31, 2019 will be realized either through future taxable income or reversals of taxable temporary differences.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2016, we recorded a gross unrecognized tax benefit in other long-term liabilities on our consolidated balance sheet as a result of uncertain income tax positions taken by Stauber Performance Ingredients (“Stauber”) on its tax returns for periods prior to our acquisition. We had no unrecognized tax benefits prior to the Stauber acquisition. The Stauber acquisition agreement provides the Company with indemnification from the prior owners for any tax liabilities relating to pre-acquisition tax returns. Accordingly, we also recorded an offsetting, long-term receivable, and as such any change in the unrecognized tax benefit will not impact our effective tax rate in future periods. During fiscal 2019, 2018 and 2017, the unrecognized tax benefit and the offsetting receivable were reduced to $0.1 million, $0.2 million and $0.8 million, respectively, due to the expiration of the statute of limitations for certain of the taxable periods. We expect these uncertain income tax amounts to decrease through September 2019 as the applicable examination periods for the relevant taxing authorities expire.</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 income tax jurisdictions.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There are no intersegment sales and no operating segments have been aggregated.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7"/>
              </w:rPr>
              <w:t>Water</w:t>
            </w:r>
          </w:p>
        </w:tc>
        <w:tc>
          <w:tcPr>
            <w:tcW w:w="14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Health and Nutrition</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5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Treatment</w:t>
            </w:r>
          </w:p>
        </w:tc>
        <w:tc>
          <w:tcPr>
            <w:tcW w:w="1460" w:type="dxa"/>
            <w:vAlign w:val="bottom"/>
            <w:gridSpan w:val="3"/>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March 31, 2019:</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281,860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149,490</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124,976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556,326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95,936</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22,759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19,498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59,118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162,926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58,274</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146,042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367,242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Fiscal Year Ended April 1, 2018:</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504,169</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86,760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165,052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58,513</w:t>
            </w:r>
          </w:p>
        </w:tc>
        <w:tc>
          <w:tcPr>
            <w:tcW w:w="10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153,123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376,688</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Fiscal Year Ended April 2, 2017:</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483,593</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38,886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35,962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98,073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43"/>
        </w:trPr>
        <w:tc>
          <w:tcPr>
            <w:tcW w:w="55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38,692</w:t>
            </w:r>
          </w:p>
        </w:tc>
        <w:tc>
          <w:tcPr>
            <w:tcW w:w="0" w:type="dxa"/>
            <w:vAlign w:val="bottom"/>
          </w:tcPr>
          <w:p>
            <w:pPr>
              <w:spacing w:after="0"/>
              <w:rPr>
                <w:sz w:val="1"/>
                <w:szCs w:val="1"/>
                <w:color w:val="auto"/>
              </w:rPr>
            </w:pPr>
          </w:p>
        </w:tc>
      </w:tr>
      <w:tr>
        <w:trPr>
          <w:trHeight w:val="67"/>
        </w:trPr>
        <w:tc>
          <w:tcPr>
            <w:tcW w:w="5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53,445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404,524</w:t>
            </w:r>
          </w:p>
        </w:tc>
        <w:tc>
          <w:tcPr>
            <w:tcW w:w="0" w:type="dxa"/>
            <w:vAlign w:val="bottom"/>
          </w:tcPr>
          <w:p>
            <w:pPr>
              <w:spacing w:after="0"/>
              <w:rPr>
                <w:sz w:val="1"/>
                <w:szCs w:val="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8"/>
        <w:spacing w:after="0" w:line="293" w:lineRule="auto"/>
        <w:tabs>
          <w:tab w:leader="none" w:pos="121" w:val="left"/>
        </w:tabs>
        <w:numPr>
          <w:ilvl w:val="0"/>
          <w:numId w:val="10"/>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$18.4 million at March 31, 2019, $14.3 million at April 1, 2018 and $13.1 million at April 2, 2017.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Selected Quarterly Financial Data (Unaudited)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133,051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25,772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548"/>
        </w:trPr>
        <w:tc>
          <w:tcPr>
            <w:tcW w:w="4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Sales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133,731</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125,395</w:t>
            </w:r>
          </w:p>
        </w:tc>
        <w:tc>
          <w:tcPr>
            <w:tcW w:w="12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118,053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126,990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14,828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(loss)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1"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31, 2019, based on the criteria described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that our internal control over financial reporting was effective as of March 31,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31, 2019 which is included in the Report of Independent Registered Public Accounting Firm in Item 8 of this Annual Report on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2019 that has materially affected, or is reasonably likely to materially affect, our internal control over financial reporting.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364"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2, 2018 (the “2019 Proxy Statement”). Except for those portions specifically incorporated in this Form 10-K by reference to the 2019 Proxy Statement, no other portions of the 2019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their ages and offices held,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Age</w:t>
            </w:r>
          </w:p>
        </w:tc>
        <w:tc>
          <w:tcPr>
            <w:tcW w:w="6460" w:type="dxa"/>
            <w:vAlign w:val="bottom"/>
            <w:gridSpan w:val="3"/>
            <w:shd w:val="clear" w:color="auto" w:fill="CCEEFF"/>
          </w:tcPr>
          <w:p>
            <w:pPr>
              <w:ind w:left="560"/>
              <w:spacing w:after="0"/>
              <w:rPr>
                <w:sz w:val="20"/>
                <w:szCs w:val="20"/>
                <w:color w:val="auto"/>
              </w:rPr>
            </w:pPr>
            <w:r>
              <w:rPr>
                <w:rFonts w:ascii="Arial" w:cs="Arial" w:eastAsia="Arial" w:hAnsi="Arial"/>
                <w:sz w:val="16"/>
                <w:szCs w:val="16"/>
                <w:b w:val="1"/>
                <w:bCs w:val="1"/>
                <w:color w:val="auto"/>
              </w:rPr>
              <w:t>Office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Chief Executive Officer and President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P. Oldenkamp</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Chief Financial Officer, and Treasurer</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Richard G. Erstad</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Drew M. Grahek</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Operations</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Thomas J. Keller</w:t>
            </w:r>
          </w:p>
        </w:tc>
        <w:tc>
          <w:tcPr>
            <w:tcW w:w="260" w:type="dxa"/>
            <w:vAlign w:val="bottom"/>
          </w:tcPr>
          <w:p>
            <w:pPr>
              <w:spacing w:after="0"/>
              <w:rPr>
                <w:sz w:val="20"/>
                <w:szCs w:val="20"/>
                <w:color w:val="auto"/>
              </w:rPr>
            </w:pPr>
            <w:r>
              <w:rPr>
                <w:rFonts w:ascii="Arial" w:cs="Arial" w:eastAsia="Arial" w:hAnsi="Arial"/>
                <w:sz w:val="18"/>
                <w:szCs w:val="18"/>
                <w:color w:val="auto"/>
              </w:rPr>
              <w:t>59</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Water Treatment Group</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Theresa R. Moran</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56</w:t>
            </w:r>
          </w:p>
        </w:tc>
        <w:tc>
          <w:tcPr>
            <w:tcW w:w="560" w:type="dxa"/>
            <w:vAlign w:val="bottom"/>
            <w:tcBorders>
              <w:bottom w:val="single" w:sz="8" w:color="CCEEFF"/>
            </w:tcBorders>
            <w:shd w:val="clear" w:color="auto" w:fill="CCEEFF"/>
          </w:tcPr>
          <w:p>
            <w:pPr>
              <w:spacing w:after="0"/>
              <w:rPr>
                <w:sz w:val="21"/>
                <w:szCs w:val="21"/>
                <w:color w:val="auto"/>
              </w:rPr>
            </w:pPr>
          </w:p>
        </w:tc>
        <w:tc>
          <w:tcPr>
            <w:tcW w:w="64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Purchasing, Logistics and Sales Support</w:t>
            </w: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Shirley A. Rozeboom</w:t>
            </w:r>
          </w:p>
        </w:tc>
        <w:tc>
          <w:tcPr>
            <w:tcW w:w="260" w:type="dxa"/>
            <w:vAlign w:val="bottom"/>
          </w:tcPr>
          <w:p>
            <w:pPr>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21"/>
                <w:szCs w:val="21"/>
                <w:color w:val="auto"/>
              </w:rPr>
            </w:pPr>
          </w:p>
        </w:tc>
        <w:tc>
          <w:tcPr>
            <w:tcW w:w="6460" w:type="dxa"/>
            <w:vAlign w:val="bottom"/>
            <w:gridSpan w:val="3"/>
          </w:tcPr>
          <w:p>
            <w:pPr>
              <w:ind w:left="560"/>
              <w:spacing w:after="0"/>
              <w:rPr>
                <w:sz w:val="20"/>
                <w:szCs w:val="20"/>
                <w:color w:val="auto"/>
              </w:rPr>
            </w:pPr>
            <w:r>
              <w:rPr>
                <w:rFonts w:ascii="Arial" w:cs="Arial" w:eastAsia="Arial" w:hAnsi="Arial"/>
                <w:sz w:val="18"/>
                <w:szCs w:val="18"/>
                <w:color w:val="auto"/>
              </w:rPr>
              <w:t>Vice President — Health and Nutrition</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43"/>
        </w:trPr>
        <w:tc>
          <w:tcPr>
            <w:tcW w:w="3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21"/>
                <w:szCs w:val="21"/>
                <w:color w:val="auto"/>
              </w:rPr>
            </w:pPr>
          </w:p>
        </w:tc>
        <w:tc>
          <w:tcPr>
            <w:tcW w:w="64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Vice President — Industrial Group</w:t>
            </w:r>
          </w:p>
        </w:tc>
      </w:tr>
      <w:tr>
        <w:trPr>
          <w:trHeight w:val="27"/>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March 2011. Mr. Hawkins has held the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since March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joined Hawkins in May 2017 and assumed the role of Chief Financial Officer, Vice President and Treasurer in June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Hawkins, Mr. Oldenkamp was with MTS Systems Corporation, a supplier of high-performance test systems and sensors, where he served as Chief Financial Officer since January 2015 and Vice President of Finance for the MTS Test business from January 2014 to January 2015, and with Nilfisk-Advance, Inc., a global manufacturer of professional cleaning equipment, where he served as Americas Operations Chief Financial Officer and Vice President from January 2012 to January 2014.</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Mr. Erstad was General Counsel and Secretary of</w:t>
      </w:r>
      <w:r>
        <w:rPr>
          <w:rFonts w:ascii="Arial" w:cs="Arial" w:eastAsia="Arial" w:hAnsi="Arial"/>
          <w:sz w:val="17"/>
          <w:szCs w:val="17"/>
          <w:i w:val="1"/>
          <w:iCs w:val="1"/>
          <w:color w:val="auto"/>
        </w:rPr>
        <w:t xml:space="preserve"> </w:t>
      </w:r>
      <w:r>
        <w:rPr>
          <w:rFonts w:ascii="Arial" w:cs="Arial" w:eastAsia="Arial" w:hAnsi="Arial"/>
          <w:sz w:val="17"/>
          <w:szCs w:val="17"/>
          <w:color w:val="auto"/>
        </w:rPr>
        <w:t>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Operations since September 2018. Prior to joining Hawkins, Mr. Grahek was Adjunct Faculty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Minnesota College of Continuing Education and a Business Administrator in the Archdiocese of St. Paul and Minneapolis from 2017 to 2018; Director of Service Operations and Supply Chain with Ulta Beauty, Inc. from 2016 to 2017; and Director of Stores with Field and Stream Outdoor Stores, a division of Dick’s Sporting Goods, Inc. from 2015 to 2016. Previously, he spent a total of 23 years at Target Corporation in a variety of operations, merchandising and property management positions.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Theresa R. Moran </w:t>
      </w:r>
      <w:r>
        <w:rPr>
          <w:rFonts w:ascii="Arial" w:cs="Arial" w:eastAsia="Arial" w:hAnsi="Arial"/>
          <w:sz w:val="17"/>
          <w:szCs w:val="17"/>
          <w:color w:val="auto"/>
        </w:rPr>
        <w:t>has been our Vice President - Purchasing, Logistics and Sales Support since June 2017. Since joining the Company in 1981, Ms. Moran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the Company in a variety of positions, including Administration Operations Manager from 1999 to 2007, Director - Process Improvement from 2007 until 2010 and most recently as Vice President - Quality and Support, a position she held from 2010 until her current role.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50" w:name="page51"/>
    <w:bookmarkEnd w:id="50"/>
    <w:p>
      <w:pPr>
        <w:jc w:val="both"/>
        <w:spacing w:after="0" w:line="342" w:lineRule="auto"/>
        <w:rPr>
          <w:sz w:val="20"/>
          <w:szCs w:val="20"/>
          <w:color w:val="auto"/>
        </w:rPr>
      </w:pPr>
      <w:r>
        <w:rPr>
          <w:rFonts w:ascii="Arial" w:cs="Arial" w:eastAsia="Arial" w:hAnsi="Arial"/>
          <w:sz w:val="16"/>
          <w:szCs w:val="16"/>
          <w:i w:val="1"/>
          <w:iCs w:val="1"/>
          <w:color w:val="auto"/>
        </w:rPr>
        <w:t xml:space="preserve">Shirley A. Rozeboom </w:t>
      </w:r>
      <w:r>
        <w:rPr>
          <w:rFonts w:ascii="Arial" w:cs="Arial" w:eastAsia="Arial" w:hAnsi="Arial"/>
          <w:sz w:val="16"/>
          <w:szCs w:val="16"/>
          <w:color w:val="auto"/>
        </w:rPr>
        <w:t>was named Vice President - Health and Nutrition in April 2019. Ms. Rozeboom had held the position of Senior Vice President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 Stauber since 2012. Previously, she held the positions of Director of Sales at Stauber from 2008 to 2012 and Account Executive from 2000 to 2008.</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Mr. Sevenich was the Business Unit Manager of Manufacturing from 1998</w:t>
      </w:r>
      <w:r>
        <w:rPr>
          <w:rFonts w:ascii="Arial" w:cs="Arial" w:eastAsia="Arial" w:hAnsi="Arial"/>
          <w:sz w:val="18"/>
          <w:szCs w:val="18"/>
          <w:i w:val="1"/>
          <w:iCs w:val="1"/>
          <w:color w:val="auto"/>
        </w:rPr>
        <w:t xml:space="preserve"> </w:t>
      </w:r>
      <w:r>
        <w:rPr>
          <w:rFonts w:ascii="Arial" w:cs="Arial" w:eastAsia="Arial" w:hAnsi="Arial"/>
          <w:sz w:val="18"/>
          <w:szCs w:val="18"/>
          <w:color w:val="auto"/>
        </w:rPr>
        <w:t>to 2000 and was a Sales Representative with the Company from 1989 to 1998.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“Corporate Governance,” and, if applicable, “Delinquent Section 16(a) Reports” of the 2019 Proxy Statement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2019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of the 2019 Proxy Statement is incorporated herein by this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and “Related Party Transactions” of the 2019 Proxy Statement is incorporated herein by this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disclosure under the heading “Independent Registered Public Accounting Firm’s Fees” of the 2019 Proxy Statement is incorporated herein by this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51" w:name="page52"/>
    <w:bookmarkEnd w:id="51"/>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at March 31, 2019 and April 1, 2018.</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Income for the fiscal years ended March 31, 2019, April 1, 2018 and April 2, 2107.</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Consolidated Statements of Comprehensive Income for the fiscal years ended March 31, 2019, April 1, 2018 and April 2, 2017.</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Shareholders’ Equity for the fiscal years ended March 31, 2019, April 1, 2018 and April 2, 2017.</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Statements of Cash Flows for the fiscal years ended March 31, 2019, April 1, 2018 and April 2, 2017.</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42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financial statement schedule for the fiscal years 2019, 2018 and 2017.</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364" w:right="339" w:bottom="1440" w:gutter="0" w:footer="0" w:header="0"/>
        </w:sectPr>
      </w:pPr>
    </w:p>
    <w:bookmarkStart w:id="52" w:name="page53"/>
    <w:bookmarkEnd w:id="52"/>
    <w:p>
      <w:pPr>
        <w:jc w:val="center"/>
        <w:ind w:right="-53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0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6"/>
          </w:tcPr>
          <w:p>
            <w:pPr>
              <w:spacing w:after="0"/>
              <w:rPr>
                <w:sz w:val="20"/>
                <w:szCs w:val="20"/>
                <w:color w:val="auto"/>
              </w:rPr>
            </w:pPr>
            <w:r>
              <w:rPr>
                <w:rFonts w:ascii="Arial" w:cs="Arial" w:eastAsia="Arial" w:hAnsi="Arial"/>
                <w:sz w:val="14"/>
                <w:szCs w:val="14"/>
                <w:b w:val="1"/>
                <w:bCs w:val="1"/>
                <w:color w:val="auto"/>
                <w:w w:val="90"/>
              </w:rPr>
              <w:t>Description</w:t>
            </w:r>
          </w:p>
        </w:tc>
        <w:tc>
          <w:tcPr>
            <w:tcW w:w="3140" w:type="dxa"/>
            <w:vAlign w:val="bottom"/>
            <w:gridSpan w:val="14"/>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ind w:left="380"/>
              <w:spacing w:after="0"/>
              <w:rPr>
                <w:sz w:val="20"/>
                <w:szCs w:val="20"/>
                <w:color w:val="auto"/>
              </w:rPr>
            </w:pPr>
            <w:r>
              <w:rPr>
                <w:rFonts w:ascii="Arial" w:cs="Arial" w:eastAsia="Arial" w:hAnsi="Arial"/>
                <w:sz w:val="14"/>
                <w:szCs w:val="14"/>
                <w:b w:val="1"/>
                <w:bCs w:val="1"/>
                <w:color w:val="auto"/>
              </w:rPr>
              <w:t>Method of Filing</w:t>
            </w:r>
          </w:p>
        </w:tc>
      </w:tr>
      <w:tr>
        <w:trPr>
          <w:trHeight w:val="20"/>
        </w:trPr>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61"/>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r:id="rId43">
              <w:r>
                <w:rPr>
                  <w:rFonts w:ascii="Arial" w:cs="Arial" w:eastAsia="Arial" w:hAnsi="Arial"/>
                  <w:sz w:val="18"/>
                  <w:szCs w:val="18"/>
                  <w:color w:val="0000FF"/>
                </w:rPr>
                <w:t>Amended and Second Restated Articles of Incorporation.(1)</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r:id="rId44">
              <w:r>
                <w:rPr>
                  <w:rFonts w:ascii="Arial" w:cs="Arial" w:eastAsia="Arial" w:hAnsi="Arial"/>
                  <w:sz w:val="18"/>
                  <w:szCs w:val="18"/>
                  <w:color w:val="0000FF"/>
                </w:rPr>
                <w:t>Amended and Restated By-Laws.(2)</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Description of Securities</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20"/>
        </w:trPr>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r:id="rId45">
              <w:r>
                <w:rPr>
                  <w:rFonts w:ascii="Arial" w:cs="Arial" w:eastAsia="Arial" w:hAnsi="Arial"/>
                  <w:sz w:val="18"/>
                  <w:szCs w:val="18"/>
                  <w:color w:val="0000FF"/>
                </w:rPr>
                <w:t>Hawkins, Inc. 2010 Omnibus Incentive Plan.(3)</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Form of Performance-Based Unit Award Notice and Restricted Stock Agreement under the</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Company’s 2010 Omnibus Incentive Plan.(4)</w:t>
              </w:r>
            </w:hyperlink>
          </w:p>
        </w:tc>
        <w:tc>
          <w:tcPr>
            <w:tcW w:w="3280" w:type="dxa"/>
            <w:vAlign w:val="bottom"/>
            <w:tcBorders>
              <w:top w:val="single" w:sz="8" w:color="0000FF"/>
            </w:tcBorders>
            <w:gridSpan w:val="15"/>
          </w:tcPr>
          <w:p>
            <w:pPr>
              <w:spacing w:after="0"/>
              <w:rPr>
                <w:sz w:val="17"/>
                <w:szCs w:val="17"/>
                <w:color w:val="auto"/>
              </w:rPr>
            </w:pPr>
          </w:p>
        </w:tc>
        <w:tc>
          <w:tcPr>
            <w:tcW w:w="4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Form of Restricted Stock Agreement under the Company’s 2010 Omnibus Incentive Plan.(5)</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r:id="rId48">
              <w:r>
                <w:rPr>
                  <w:rFonts w:ascii="Arial" w:cs="Arial" w:eastAsia="Arial" w:hAnsi="Arial"/>
                  <w:sz w:val="18"/>
                  <w:szCs w:val="18"/>
                  <w:color w:val="0000FF"/>
                </w:rPr>
                <w:t>Hawkins, Inc. Executive Severance Plan.(6)</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51"/>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Commitment Letter, dated November 23, 2015, by and among the Company, U.S.Bank</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National Association, and JP Morgan Chase Bank, N.A. (7)</w:t>
              </w:r>
            </w:hyperlink>
          </w:p>
        </w:tc>
        <w:tc>
          <w:tcPr>
            <w:tcW w:w="68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Credit Agreement dated as of December 23, 2015 among the Company, U.S. Bank National</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Association, and certain financial institutions.(8)</w:t>
              </w:r>
            </w:hyperlink>
          </w:p>
        </w:tc>
        <w:tc>
          <w:tcPr>
            <w:tcW w:w="3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398"/>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0"/>
        </w:trPr>
        <w:tc>
          <w:tcPr>
            <w:tcW w:w="600" w:type="dxa"/>
            <w:vAlign w:val="bottom"/>
            <w:gridSpan w:val="2"/>
          </w:tcPr>
          <w:p>
            <w:pPr>
              <w:jc w:val="right"/>
              <w:ind w:right="140"/>
              <w:spacing w:after="0" w:line="190" w:lineRule="exact"/>
              <w:rPr>
                <w:sz w:val="20"/>
                <w:szCs w:val="20"/>
                <w:color w:val="auto"/>
              </w:rPr>
            </w:pPr>
            <w:r>
              <w:rPr>
                <w:rFonts w:ascii="Arial" w:cs="Arial" w:eastAsia="Arial" w:hAnsi="Arial"/>
                <w:sz w:val="18"/>
                <w:szCs w:val="18"/>
                <w:color w:val="auto"/>
              </w:rPr>
              <w:t>10.7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tcBorders>
              <w:bottom w:val="single" w:sz="8" w:color="0000FF"/>
            </w:tcBorders>
            <w:gridSpan w:val="8"/>
          </w:tcPr>
          <w:p>
            <w:pPr>
              <w:spacing w:after="0" w:line="190" w:lineRule="exact"/>
              <w:rPr>
                <w:rFonts w:ascii="Arial" w:cs="Arial" w:eastAsia="Arial" w:hAnsi="Arial"/>
                <w:sz w:val="18"/>
                <w:szCs w:val="18"/>
                <w:color w:val="0000FF"/>
                <w:w w:val="87"/>
              </w:rPr>
            </w:pPr>
            <w:hyperlink r:id="rId51">
              <w:r>
                <w:rPr>
                  <w:rFonts w:ascii="Arial" w:cs="Arial" w:eastAsia="Arial" w:hAnsi="Arial"/>
                  <w:sz w:val="18"/>
                  <w:szCs w:val="18"/>
                  <w:color w:val="0000FF"/>
                  <w:w w:val="87"/>
                </w:rPr>
                <w:t>Employee Stock Purchase Plan, as amended. (9)</w:t>
              </w:r>
            </w:hyperlink>
          </w:p>
        </w:tc>
        <w:tc>
          <w:tcPr>
            <w:tcW w:w="3460" w:type="dxa"/>
            <w:vAlign w:val="bottom"/>
            <w:gridSpan w:val="16"/>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Reference</w:t>
            </w:r>
          </w:p>
        </w:tc>
      </w:tr>
      <w:tr>
        <w:trPr>
          <w:trHeight w:val="372"/>
        </w:trPr>
        <w:tc>
          <w:tcPr>
            <w:tcW w:w="460" w:type="dxa"/>
            <w:vAlign w:val="bottom"/>
          </w:tcPr>
          <w:p>
            <w:pPr>
              <w:jc w:val="right"/>
              <w:spacing w:after="0"/>
              <w:rPr>
                <w:sz w:val="20"/>
                <w:szCs w:val="20"/>
                <w:color w:val="auto"/>
              </w:rPr>
            </w:pPr>
            <w:r>
              <w:rPr>
                <w:rFonts w:ascii="Arial" w:cs="Arial" w:eastAsia="Arial" w:hAnsi="Arial"/>
                <w:sz w:val="18"/>
                <w:szCs w:val="18"/>
                <w:color w:val="auto"/>
                <w:w w:val="97"/>
              </w:rPr>
              <w:t>10.80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0" w:type="dxa"/>
            <w:vAlign w:val="bottom"/>
            <w:tcBorders>
              <w:bottom w:val="single" w:sz="8" w:color="0000FF"/>
            </w:tcBorders>
            <w:gridSpan w:val="17"/>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Amended and Restated Credit Agreement, dated as of November 30, 2018, among the</w:t>
              </w:r>
            </w:hyperlink>
          </w:p>
        </w:tc>
        <w:tc>
          <w:tcPr>
            <w:tcW w:w="74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196"/>
        </w:trPr>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gridSpan w:val="2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Company, U.S. Bank National Association, and certain financial institutions. (10)</w:t>
              </w:r>
            </w:hyperlink>
          </w:p>
        </w:tc>
        <w:tc>
          <w:tcPr>
            <w:tcW w:w="80" w:type="dxa"/>
            <w:vAlign w:val="bottom"/>
          </w:tcPr>
          <w:p>
            <w:pPr>
              <w:spacing w:after="0"/>
              <w:rPr>
                <w:sz w:val="17"/>
                <w:szCs w:val="17"/>
                <w:color w:val="auto"/>
              </w:rPr>
            </w:pPr>
          </w:p>
        </w:tc>
        <w:tc>
          <w:tcPr>
            <w:tcW w:w="1800" w:type="dxa"/>
            <w:vAlign w:val="bottom"/>
            <w:gridSpan w:val="3"/>
          </w:tcPr>
          <w:p>
            <w:pPr>
              <w:ind w:left="380"/>
              <w:spacing w:after="0" w:line="196" w:lineRule="exact"/>
              <w:rPr>
                <w:sz w:val="20"/>
                <w:szCs w:val="20"/>
                <w:color w:val="auto"/>
              </w:rPr>
            </w:pPr>
            <w:r>
              <w:rPr>
                <w:rFonts w:ascii="Arial" w:cs="Arial" w:eastAsia="Arial" w:hAnsi="Arial"/>
                <w:sz w:val="18"/>
                <w:szCs w:val="18"/>
                <w:color w:val="auto"/>
              </w:rPr>
              <w:t>Reference</w:t>
            </w:r>
          </w:p>
        </w:tc>
      </w:tr>
      <w:tr>
        <w:trPr>
          <w:trHeight w:val="250"/>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60" w:type="dxa"/>
            <w:vAlign w:val="bottom"/>
            <w:tcBorders>
              <w:top w:val="single" w:sz="8" w:color="0000FF"/>
            </w:tcBorders>
            <w:gridSpan w:val="16"/>
          </w:tcPr>
          <w:p>
            <w:pPr>
              <w:spacing w:after="0"/>
              <w:rPr>
                <w:rFonts w:ascii="Arial" w:cs="Arial" w:eastAsia="Arial" w:hAnsi="Arial"/>
                <w:sz w:val="18"/>
                <w:szCs w:val="18"/>
                <w:color w:val="0000FF"/>
              </w:rPr>
            </w:pPr>
            <w:hyperlink r:id="rId53">
              <w:r>
                <w:rPr>
                  <w:rFonts w:ascii="Arial" w:cs="Arial" w:eastAsia="Arial" w:hAnsi="Arial"/>
                  <w:sz w:val="18"/>
                  <w:szCs w:val="18"/>
                  <w:color w:val="0000FF"/>
                </w:rPr>
                <w:t>Subsidiaries of the registrant (11)</w:t>
              </w:r>
            </w:hyperlink>
          </w:p>
        </w:tc>
        <w:tc>
          <w:tcPr>
            <w:tcW w:w="1080" w:type="dxa"/>
            <w:vAlign w:val="bottom"/>
            <w:gridSpan w:val="8"/>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Incorporated by</w:t>
            </w:r>
          </w:p>
        </w:tc>
      </w:tr>
      <w:tr>
        <w:trPr>
          <w:trHeight w:val="237"/>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rPr>
              <w:t>Reference</w:t>
            </w:r>
          </w:p>
        </w:tc>
      </w:tr>
      <w:tr>
        <w:trPr>
          <w:trHeight w:val="365"/>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Consent of Independent Registered Public Accounting Firm.</w:t>
              </w:r>
            </w:hyperlink>
          </w:p>
        </w:tc>
        <w:tc>
          <w:tcPr>
            <w:tcW w:w="258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Certification by Chief Executive Officer pursuant to Rule 13a-14(a) of the Exchange Act.</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by Chief Financial Officer pursuant to Rule 13a-14(a) of the Exchange Act.</w:t>
              </w:r>
            </w:hyperlink>
          </w:p>
        </w:tc>
        <w:tc>
          <w:tcPr>
            <w:tcW w:w="40" w:type="dxa"/>
            <w:vAlign w:val="bottom"/>
            <w:tcBorders>
              <w:top w:val="single" w:sz="8" w:color="0000FF"/>
            </w:tcBorders>
          </w:tcPr>
          <w:p>
            <w:pPr>
              <w:spacing w:after="0"/>
              <w:rPr>
                <w:sz w:val="24"/>
                <w:szCs w:val="24"/>
                <w:color w:val="auto"/>
              </w:rPr>
            </w:pPr>
          </w:p>
        </w:tc>
        <w:tc>
          <w:tcPr>
            <w:tcW w:w="50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Section 1350 Certification by Chief Executive Officer.</w:t>
              </w:r>
            </w:hyperlink>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72"/>
        </w:trPr>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Section 1350 Certification by Chief Financial Officer.</w:t>
              </w:r>
            </w:hyperlink>
          </w:p>
        </w:tc>
        <w:tc>
          <w:tcPr>
            <w:tcW w:w="40" w:type="dxa"/>
            <w:vAlign w:val="bottom"/>
            <w:tcBorders>
              <w:top w:val="single" w:sz="8" w:color="0000FF"/>
            </w:tcBorders>
          </w:tcPr>
          <w:p>
            <w:pPr>
              <w:spacing w:after="0"/>
              <w:rPr>
                <w:sz w:val="24"/>
                <w:szCs w:val="24"/>
                <w:color w:val="auto"/>
              </w:rPr>
            </w:pPr>
          </w:p>
        </w:tc>
        <w:tc>
          <w:tcPr>
            <w:tcW w:w="30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39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gridSpan w:val="24"/>
          </w:tcPr>
          <w:p>
            <w:pPr>
              <w:spacing w:after="0"/>
              <w:rPr>
                <w:sz w:val="20"/>
                <w:szCs w:val="20"/>
                <w:color w:val="auto"/>
              </w:rPr>
            </w:pPr>
            <w:r>
              <w:rPr>
                <w:rFonts w:ascii="Arial" w:cs="Arial" w:eastAsia="Arial" w:hAnsi="Arial"/>
                <w:sz w:val="18"/>
                <w:szCs w:val="18"/>
                <w:color w:val="auto"/>
                <w:w w:val="96"/>
              </w:rPr>
              <w:t>Financial statements from the Annual Report on Form 10-K of Hawkins, Inc. for the period</w:t>
            </w:r>
          </w:p>
        </w:tc>
        <w:tc>
          <w:tcPr>
            <w:tcW w:w="80" w:type="dxa"/>
            <w:vAlign w:val="bottom"/>
          </w:tcPr>
          <w:p>
            <w:pPr>
              <w:spacing w:after="0"/>
              <w:rPr>
                <w:sz w:val="24"/>
                <w:szCs w:val="24"/>
                <w:color w:val="auto"/>
              </w:rPr>
            </w:pPr>
          </w:p>
        </w:tc>
        <w:tc>
          <w:tcPr>
            <w:tcW w:w="1800" w:type="dxa"/>
            <w:vAlign w:val="bottom"/>
            <w:gridSpan w:val="3"/>
          </w:tcPr>
          <w:p>
            <w:pPr>
              <w:ind w:left="380"/>
              <w:spacing w:after="0"/>
              <w:rPr>
                <w:sz w:val="20"/>
                <w:szCs w:val="20"/>
                <w:color w:val="auto"/>
              </w:rPr>
            </w:pPr>
            <w:r>
              <w:rPr>
                <w:rFonts w:ascii="Arial" w:cs="Arial" w:eastAsia="Arial" w:hAnsi="Arial"/>
                <w:sz w:val="18"/>
                <w:szCs w:val="18"/>
                <w:color w:val="auto"/>
                <w:w w:val="93"/>
              </w:rPr>
              <w:t>Filed Electronically</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24"/>
          </w:tcPr>
          <w:p>
            <w:pPr>
              <w:spacing w:after="0"/>
              <w:rPr>
                <w:sz w:val="20"/>
                <w:szCs w:val="20"/>
                <w:color w:val="auto"/>
              </w:rPr>
            </w:pPr>
            <w:r>
              <w:rPr>
                <w:rFonts w:ascii="Arial" w:cs="Arial" w:eastAsia="Arial" w:hAnsi="Arial"/>
                <w:sz w:val="18"/>
                <w:szCs w:val="18"/>
                <w:color w:val="auto"/>
                <w:w w:val="93"/>
              </w:rPr>
              <w:t>ended March 31, 2019, filed with the SEC on May 23, 2019, formatted in Extensible Business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24"/>
          </w:tcPr>
          <w:p>
            <w:pPr>
              <w:spacing w:after="0"/>
              <w:rPr>
                <w:sz w:val="20"/>
                <w:szCs w:val="20"/>
                <w:color w:val="auto"/>
              </w:rPr>
            </w:pPr>
            <w:r>
              <w:rPr>
                <w:rFonts w:ascii="Arial" w:cs="Arial" w:eastAsia="Arial" w:hAnsi="Arial"/>
                <w:sz w:val="18"/>
                <w:szCs w:val="18"/>
                <w:color w:val="auto"/>
                <w:w w:val="92"/>
              </w:rPr>
              <w:t>Reporting Language (XBRL): (i) the Consolidated Balance Sheets at March 31, 2019 and April</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24"/>
          </w:tcPr>
          <w:p>
            <w:pPr>
              <w:spacing w:after="0"/>
              <w:rPr>
                <w:sz w:val="20"/>
                <w:szCs w:val="20"/>
                <w:color w:val="auto"/>
              </w:rPr>
            </w:pPr>
            <w:r>
              <w:rPr>
                <w:rFonts w:ascii="Arial" w:cs="Arial" w:eastAsia="Arial" w:hAnsi="Arial"/>
                <w:sz w:val="18"/>
                <w:szCs w:val="18"/>
                <w:color w:val="auto"/>
                <w:w w:val="92"/>
              </w:rPr>
              <w:t>1, 2018, (ii) the Consolidated Statements of Income for the fiscal years ended March 31, 2019,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940" w:type="dxa"/>
            <w:vAlign w:val="bottom"/>
            <w:gridSpan w:val="24"/>
          </w:tcPr>
          <w:p>
            <w:pPr>
              <w:spacing w:after="0"/>
              <w:rPr>
                <w:sz w:val="20"/>
                <w:szCs w:val="20"/>
                <w:color w:val="auto"/>
              </w:rPr>
            </w:pPr>
            <w:r>
              <w:rPr>
                <w:rFonts w:ascii="Arial" w:cs="Arial" w:eastAsia="Arial" w:hAnsi="Arial"/>
                <w:sz w:val="18"/>
                <w:szCs w:val="18"/>
                <w:color w:val="auto"/>
                <w:w w:val="94"/>
              </w:rPr>
              <w:t>April 1, 2018, and April 2, 2017, (iii) the Consolidated Statements of Comprehensive Income</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ind w:left="1960" w:right="2180"/>
        <w:spacing w:after="0" w:line="253" w:lineRule="auto"/>
        <w:rPr>
          <w:sz w:val="20"/>
          <w:szCs w:val="20"/>
          <w:color w:val="auto"/>
        </w:rPr>
      </w:pPr>
      <w:r>
        <w:rPr>
          <w:rFonts w:ascii="Arial" w:cs="Arial" w:eastAsia="Arial" w:hAnsi="Arial"/>
          <w:sz w:val="18"/>
          <w:szCs w:val="18"/>
          <w:color w:val="auto"/>
        </w:rPr>
        <w:t>for the fiscal years ended March 31, 2019, April 1, 2018, and April 2, 2017, (iv) the Consolidated Statements of Shareholders’ Equity for the fiscal years ended March 31, 2019, April 1, 2018, and April 2, 2017, (v) Consolidated Statements of Cash Flows for the fiscal years ended March 31, 2019, April 1, 2018, and April 2, 2017, and (iv) Notes to Consolidated Financial Statements.</w:t>
      </w:r>
    </w:p>
    <w:p>
      <w:pPr>
        <w:sectPr>
          <w:pgSz w:w="11900" w:h="16838" w:orient="portrait"/>
          <w:cols w:equalWidth="0" w:num="1">
            <w:col w:w="10900"/>
          </w:cols>
          <w:pgMar w:left="240" w:top="364" w:right="759" w:bottom="1440" w:gutter="0" w:footer="0" w:header="0"/>
        </w:sectPr>
      </w:pPr>
    </w:p>
    <w:bookmarkStart w:id="53" w:name="page54"/>
    <w:bookmarkEnd w:id="53"/>
    <w:p>
      <w:pPr>
        <w:ind w:left="720" w:hanging="685"/>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29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29475" cy="8890"/>
                    </a:xfrm>
                    <a:prstGeom prst="rect">
                      <a:avLst/>
                    </a:prstGeom>
                    <a:noFill/>
                  </pic:spPr>
                </pic:pic>
              </a:graphicData>
            </a:graphic>
          </wp:anchor>
        </w:drawing>
        <w:t>Management contract or compensation plan or arrangement required to be filed as an exhibit to this Annual Report on Form 10-K.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48" w:lineRule="exact"/>
        <w:rPr>
          <w:rFonts w:ascii="Arial" w:cs="Arial" w:eastAsia="Arial" w:hAnsi="Arial"/>
          <w:sz w:val="16"/>
          <w:szCs w:val="16"/>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36" w:lineRule="exact"/>
        <w:rPr>
          <w:rFonts w:ascii="Arial" w:cs="Arial" w:eastAsia="Arial" w:hAnsi="Arial"/>
          <w:sz w:val="17"/>
          <w:szCs w:val="17"/>
          <w:color w:val="auto"/>
        </w:rPr>
      </w:pPr>
    </w:p>
    <w:p>
      <w:pPr>
        <w:ind w:left="540" w:hanging="316"/>
        <w:spacing w:after="0"/>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November 23, 2015</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December 23, 2015.</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99.1 to the Company’s Registration Statement on Form S-8 filed November 2, 2018 (File no. 333-228128).</w:t>
      </w:r>
    </w:p>
    <w:p>
      <w:pPr>
        <w:spacing w:after="0" w:line="248" w:lineRule="exact"/>
        <w:rPr>
          <w:rFonts w:ascii="Arial" w:cs="Arial" w:eastAsia="Arial" w:hAnsi="Arial"/>
          <w:sz w:val="16"/>
          <w:szCs w:val="16"/>
          <w:color w:val="auto"/>
        </w:rPr>
      </w:pPr>
    </w:p>
    <w:p>
      <w:pPr>
        <w:ind w:left="540" w:hanging="316"/>
        <w:spacing w:after="0"/>
        <w:tabs>
          <w:tab w:leader="none" w:pos="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Registration Statement on Form 8-K filed December 3, 2018 (File no. 000-07647).</w:t>
      </w:r>
    </w:p>
    <w:p>
      <w:pPr>
        <w:spacing w:after="0" w:line="248" w:lineRule="exact"/>
        <w:rPr>
          <w:rFonts w:ascii="Arial" w:cs="Arial" w:eastAsia="Arial" w:hAnsi="Arial"/>
          <w:sz w:val="16"/>
          <w:szCs w:val="16"/>
          <w:color w:val="auto"/>
        </w:rPr>
      </w:pPr>
    </w:p>
    <w:p>
      <w:pPr>
        <w:ind w:left="540" w:hanging="316"/>
        <w:spacing w:after="0"/>
        <w:tabs>
          <w:tab w:leader="none" w:pos="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21 to the Company’s Annual Report on Form 10-K filed May 31, 2018 (File no. 000-07647),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920"/>
          </w:cols>
          <w:pgMar w:left="240" w:top="544" w:right="7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780" w:val="left"/>
          <w:tab w:leader="none" w:pos="60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23,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5126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 Patrick H. Hawkins</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rPr>
              <w:t>Patrick H. Hawkins, Chief Executive Officer and</w:t>
            </w:r>
          </w:p>
        </w:tc>
        <w:tc>
          <w:tcPr>
            <w:tcW w:w="590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President (Principal Executive Officer) and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P. Oldenkamp</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22"/>
        </w:trPr>
        <w:tc>
          <w:tcPr>
            <w:tcW w:w="4660" w:type="dxa"/>
            <w:vAlign w:val="bottom"/>
          </w:tcPr>
          <w:p>
            <w:pPr>
              <w:ind w:left="20"/>
              <w:spacing w:after="0"/>
              <w:rPr>
                <w:sz w:val="20"/>
                <w:szCs w:val="20"/>
                <w:color w:val="auto"/>
              </w:rPr>
            </w:pPr>
            <w:r>
              <w:rPr>
                <w:rFonts w:ascii="Arial" w:cs="Arial" w:eastAsia="Arial" w:hAnsi="Arial"/>
                <w:sz w:val="18"/>
                <w:szCs w:val="18"/>
                <w:color w:val="auto"/>
                <w:w w:val="94"/>
              </w:rPr>
              <w:t>Jeffrey P. Oldenkamp, Vice President, Chief Financial Officer,</w:t>
            </w:r>
          </w:p>
        </w:tc>
        <w:tc>
          <w:tcPr>
            <w:tcW w:w="5900" w:type="dxa"/>
            <w:vAlign w:val="bottom"/>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and Treasurer (Principal Financial Officer and Principal</w:t>
            </w:r>
          </w:p>
        </w:tc>
        <w:tc>
          <w:tcPr>
            <w:tcW w:w="5900" w:type="dxa"/>
            <w:vAlign w:val="bottom"/>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John S. McKeon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John S. McKeon, Director, Chairman of the Board</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Daniel J. Stauber</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Daniel J. Stauber, Director</w:t>
            </w:r>
          </w:p>
        </w:tc>
        <w:tc>
          <w:tcPr>
            <w:tcW w:w="590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Duane M. Jergenson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Duane M. Jergenson,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A. Faulconbridge</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A. Faulconbridge,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James T. Thompson</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James T. Thompson, Director</w:t>
            </w:r>
          </w:p>
        </w:tc>
        <w:tc>
          <w:tcPr>
            <w:tcW w:w="5900" w:type="dxa"/>
            <w:vAlign w:val="bottom"/>
          </w:tcPr>
          <w:p>
            <w:pPr>
              <w:spacing w:after="0"/>
              <w:rPr>
                <w:sz w:val="20"/>
                <w:szCs w:val="20"/>
                <w:color w:val="auto"/>
              </w:rPr>
            </w:pPr>
          </w:p>
        </w:tc>
      </w:tr>
      <w:tr>
        <w:trPr>
          <w:trHeight w:val="594"/>
        </w:trPr>
        <w:tc>
          <w:tcPr>
            <w:tcW w:w="4660" w:type="dxa"/>
            <w:vAlign w:val="bottom"/>
          </w:tcPr>
          <w:p>
            <w:pPr>
              <w:ind w:left="20"/>
              <w:spacing w:after="0"/>
              <w:rPr>
                <w:sz w:val="20"/>
                <w:szCs w:val="20"/>
                <w:color w:val="auto"/>
              </w:rPr>
            </w:pPr>
            <w:r>
              <w:rPr>
                <w:rFonts w:ascii="Arial" w:cs="Arial" w:eastAsia="Arial" w:hAnsi="Arial"/>
                <w:sz w:val="18"/>
                <w:szCs w:val="18"/>
                <w:color w:val="auto"/>
              </w:rPr>
              <w:t>/s/ Jeffrey L. Wright</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Jeffrey L. Wright, Director</w:t>
            </w:r>
          </w:p>
        </w:tc>
        <w:tc>
          <w:tcPr>
            <w:tcW w:w="5900" w:type="dxa"/>
            <w:vAlign w:val="bottom"/>
          </w:tcPr>
          <w:p>
            <w:pPr>
              <w:spacing w:after="0"/>
              <w:rPr>
                <w:sz w:val="20"/>
                <w:szCs w:val="20"/>
                <w:color w:val="auto"/>
              </w:rPr>
            </w:pPr>
          </w:p>
        </w:tc>
      </w:tr>
      <w:tr>
        <w:trPr>
          <w:trHeight w:val="567"/>
        </w:trPr>
        <w:tc>
          <w:tcPr>
            <w:tcW w:w="4660" w:type="dxa"/>
            <w:vAlign w:val="bottom"/>
          </w:tcPr>
          <w:p>
            <w:pPr>
              <w:ind w:left="20"/>
              <w:spacing w:after="0"/>
              <w:rPr>
                <w:sz w:val="20"/>
                <w:szCs w:val="20"/>
                <w:color w:val="auto"/>
              </w:rPr>
            </w:pPr>
            <w:r>
              <w:rPr>
                <w:rFonts w:ascii="Arial" w:cs="Arial" w:eastAsia="Arial" w:hAnsi="Arial"/>
                <w:sz w:val="18"/>
                <w:szCs w:val="18"/>
                <w:color w:val="auto"/>
              </w:rPr>
              <w:t>/s/ Mary J. Schumacher</w:t>
            </w:r>
          </w:p>
        </w:tc>
        <w:tc>
          <w:tcPr>
            <w:tcW w:w="5900" w:type="dxa"/>
            <w:vAlign w:val="bottom"/>
          </w:tcPr>
          <w:p>
            <w:pPr>
              <w:ind w:left="4460"/>
              <w:spacing w:after="0"/>
              <w:rPr>
                <w:sz w:val="20"/>
                <w:szCs w:val="20"/>
                <w:color w:val="auto"/>
              </w:rPr>
            </w:pPr>
            <w:r>
              <w:rPr>
                <w:rFonts w:ascii="Arial" w:cs="Arial" w:eastAsia="Arial" w:hAnsi="Arial"/>
                <w:sz w:val="18"/>
                <w:szCs w:val="18"/>
                <w:color w:val="auto"/>
                <w:w w:val="90"/>
              </w:rPr>
              <w:t>Date: May 23, 2019</w:t>
            </w:r>
          </w:p>
        </w:tc>
      </w:tr>
      <w:tr>
        <w:trPr>
          <w:trHeight w:val="27"/>
        </w:trPr>
        <w:tc>
          <w:tcPr>
            <w:tcW w:w="46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Mary J. Schumacher, Director</w:t>
            </w:r>
          </w:p>
        </w:tc>
        <w:tc>
          <w:tcPr>
            <w:tcW w:w="5900" w:type="dxa"/>
            <w:vAlign w:val="bottom"/>
          </w:tcPr>
          <w:p>
            <w:pPr>
              <w:spacing w:after="0"/>
              <w:rPr>
                <w:sz w:val="20"/>
                <w:szCs w:val="20"/>
                <w:color w:val="auto"/>
              </w:rPr>
            </w:pPr>
          </w:p>
        </w:tc>
      </w:tr>
    </w:tbl>
    <w:p>
      <w:pPr>
        <w:sectPr>
          <w:pgSz w:w="11900" w:h="16838" w:orient="portrait"/>
          <w:cols w:equalWidth="0" w:num="1">
            <w:col w:w="11380"/>
          </w:cols>
          <w:pgMar w:left="240" w:top="364" w:right="27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YEARS ENDED MARCH 31, 2019, APRIL 1, 2018 AND APRIL 2, 2017</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00" w:type="dxa"/>
            <w:vAlign w:val="bottom"/>
          </w:tcPr>
          <w:p>
            <w:pPr>
              <w:jc w:val="center"/>
              <w:ind w:left="341"/>
              <w:spacing w:after="0" w:line="153" w:lineRule="exact"/>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Charged to</w:t>
            </w:r>
          </w:p>
        </w:tc>
        <w:tc>
          <w:tcPr>
            <w:tcW w:w="42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2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0"/>
              </w:rPr>
              <w:t>Beginning</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Costs and</w:t>
            </w:r>
          </w:p>
        </w:tc>
        <w:tc>
          <w:tcPr>
            <w:tcW w:w="42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20" w:type="dxa"/>
            <w:vAlign w:val="bottom"/>
            <w:gridSpan w:val="2"/>
            <w:vMerge w:val="continue"/>
          </w:tcPr>
          <w:p>
            <w:pPr>
              <w:spacing w:after="0"/>
              <w:rPr>
                <w:sz w:val="13"/>
                <w:szCs w:val="13"/>
                <w:color w:val="auto"/>
              </w:rPr>
            </w:pPr>
          </w:p>
        </w:tc>
        <w:tc>
          <w:tcPr>
            <w:tcW w:w="1100" w:type="dxa"/>
            <w:vAlign w:val="bottom"/>
          </w:tcPr>
          <w:p>
            <w:pPr>
              <w:jc w:val="center"/>
              <w:ind w:left="341"/>
              <w:spacing w:after="0" w:line="158" w:lineRule="exact"/>
              <w:rPr>
                <w:sz w:val="20"/>
                <w:szCs w:val="20"/>
                <w:color w:val="auto"/>
              </w:rPr>
            </w:pPr>
            <w:r>
              <w:rPr>
                <w:rFonts w:ascii="Arial" w:cs="Arial" w:eastAsia="Arial" w:hAnsi="Arial"/>
                <w:sz w:val="14"/>
                <w:szCs w:val="14"/>
                <w:b w:val="1"/>
                <w:bCs w:val="1"/>
                <w:color w:val="auto"/>
                <w:w w:val="92"/>
              </w:rPr>
              <w:t>of Year</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Expenses</w:t>
            </w:r>
          </w:p>
        </w:tc>
        <w:tc>
          <w:tcPr>
            <w:tcW w:w="42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2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Reserve deducted from asset to which it applies:</w:t>
            </w: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Fiscal Year Ended March 31, 2019:</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23"/>
                <w:szCs w:val="23"/>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942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3"/>
                <w:szCs w:val="23"/>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Fiscal Year Ended April 1, 2018:</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66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468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509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35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70"/>
        </w:trPr>
        <w:tc>
          <w:tcPr>
            <w:tcW w:w="3620" w:type="dxa"/>
            <w:vAlign w:val="bottom"/>
            <w:gridSpan w:val="2"/>
          </w:tcPr>
          <w:p>
            <w:pPr>
              <w:spacing w:after="0"/>
              <w:rPr>
                <w:sz w:val="20"/>
                <w:szCs w:val="20"/>
                <w:color w:val="auto"/>
              </w:rPr>
            </w:pPr>
            <w:r>
              <w:rPr>
                <w:rFonts w:ascii="Arial" w:cs="Arial" w:eastAsia="Arial" w:hAnsi="Arial"/>
                <w:sz w:val="18"/>
                <w:szCs w:val="18"/>
                <w:color w:val="auto"/>
              </w:rPr>
              <w:t>Fiscal Year Ended April 2, 2017:</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901"/>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w w:val="93"/>
              </w:rPr>
              <w:t>602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ectPr>
          <w:pgSz w:w="11900" w:h="16838" w:orient="portrait"/>
          <w:cols w:equalWidth="0" w:num="1">
            <w:col w:w="11360"/>
          </w:cols>
          <w:pgMar w:left="280" w:top="364"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The following description of the common shares of Hawkins, Inc. (the “Company”) does not purport to be complete and is subject to and qualified by reference to the Company’s Amended and Restated Articles of Incorporation (the “Articles”) and Amended and Restated By</w:t>
      </w:r>
      <w:r>
        <w:rPr>
          <w:rFonts w:ascii="MS PGothic" w:cs="MS PGothic" w:eastAsia="MS PGothic" w:hAnsi="MS PGothic"/>
          <w:sz w:val="18"/>
          <w:szCs w:val="18"/>
          <w:color w:val="auto"/>
        </w:rPr>
        <w:t>‑</w:t>
      </w:r>
      <w:r>
        <w:rPr>
          <w:rFonts w:ascii="Arial" w:cs="Arial" w:eastAsia="Arial" w:hAnsi="Arial"/>
          <w:sz w:val="18"/>
          <w:szCs w:val="18"/>
          <w:color w:val="auto"/>
        </w:rPr>
        <w:t>Laws (the “Bylaws”) and applicable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authorized to issue up to 30,000,000 shares, with a par value of $.05 per share (the “common shares”). The common shares may be allotted as and when the Company’s Board of Directors (the “Board”) shall determine, and, under and pursuant to the laws of the State of Minnesota, the Board has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common share entitles the holder to one vote for all purposes and cumulative voting is not permitted in the election of directors. Significant corporate transactions, such as amendments to the Articles, mergers, sales of assets and dissolution or liquidation, require approval by the affirmative vote of the majority of the outstanding common shares. Other matters to be voted upon by the holders of common shares normally require the affirmative vote of a majority of the shares present at the particular shareholders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Holders of the common shares are entitled to receive dividends in the form of cash, property or shares of capital stock of the Company, when and as declared by the Board, provided there are sufficient earnings or surplus legally available for that purpose. All of the issued and outstanding common shares are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preemptive, subscription, conversion, redemption or sinking fund rights pertaining to the common shares. The absence of preemptive rights could result in a dilution of the interest of investors should additional common shares be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shares are entitled to share ratably in all of the Company’s assets available for distribution upon liquidation, dissolution or winding up of the affairs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Other Rights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March 31, 2019, performance-based restricted stock units representing the potential issuance of up to 69,252 common shares in the aggregate were outstanding. All such equity-based awards are governed by the Hawkins, Inc. 2010 Omnibus Incentive Plan. As of the same date, an additional 692,700 shares remained available for future awards under the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the same date, no options, warrants or other rights to purchase common shares were outstanding.</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provisions of Minnesota law described below could have anti-takeover effects. These provisions are intended to provide management flexibility and to enhance the likelihood of continuity and stability in the composition of the Board and in the policies formulated by the Board and to discourage an unsolicited takeover of the Company, if the Board determines that such a takeover is not in the best interests of the Company and its shareholders. However, these provisions could have the effect of discouraging certain attempts to acquire the Company that could deprive shareholders of opportunities to sell their common shares at prices higher than prevailing market prices.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302A.671 of the Minnesota Business Corporation Act applies, with certain exceptions, to any acquisition of the Company’s voting stock (from a person other than the Company and other than in connection with certain mergers and exchanges to which the Company is a party) resulting in the acquiring person owning 20% or more of its voting stock then outstanding. Section 302A.671 requires approval of any such acquisitions by a majority vote of the Company’s shareholders prior to consummation. In general, shares acquired in the absence of such approval are denied voting rights and are redeemable at their then fair market value by the Company within thirty days after the acquiring person has failed to give a timely information statement to the Company or the date the shareholders voted not to grant voting rights to the acquiring person’s shares.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302A.673 of the Minnesota Business Corporation Act generally prohibits the Company or any of its subsidiaries from entering into any transaction with a shareholder under which the shareholder purchases 10% or more of the Company’s voting shares (an “interested shareholder”) within four years following the date the person became an interested shareholder, unless the transaction is approved by a committee of all of the disinterested members of the Board serving before the interested shareholder acquires the shares.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various Minnesota statutory provisions described above, certain provisions in the Articles and Bylaws could have an anti-takeover effect. The Articles provide that the holders of the common shares do not have cumulative voting rights. For the shareholders to call a special meeting, the Bylaws require that at least 10% of the voting power of the shareholders must join in the request and at least 25% of the voting power of the shareholders must join in the request for a special meeting in the case of a special meeting called for the purpose of considering any action to directly or indirectly effect a business combination, including any action to change or otherwise affect the composition of the Board for that purpose. Furthermore, the Board has the power to issue any or all of the shares of undesignated common shares, including the authority to establish one or more series and to fix the powers, preferences, rights and limitations of such class or series, without seeking shareholder approval, and the right to fill vacancies of the Board (including a vacancy created by an increase in the Board).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Bylaws include an advance notice procedure for shareholder proposals to be brought before an annual meeting of shareholders, including proposed nominations of candidates for election to the Board. Shareholders at an annual meeting will only be able to consider proposals or nominations specified in the notice of meeting or brought before the meeting by or at the direction of the Board, or by a shareholder that has delivered timely written notice in proper form to the Company’s secretary of the business to be brought before the meeting. These provisions could have the effect of delaying shareholder actions that may be favored by the holders of a majority of the Company’s outstanding voting securities until the next shareholder meeting, or may discourage or deter a potential acquirer from conducting a solicitation of proxies to elect its own slate of directors or otherwise attempt to obtain control of the Company.</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Hawkins, Inc.:</w:t>
      </w:r>
    </w:p>
    <w:p>
      <w:pPr>
        <w:spacing w:after="0" w:line="39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We consent to the incorporation by reference in the registration </w:t>
      </w:r>
      <w:r>
        <w:rPr>
          <w:rFonts w:ascii="Arial" w:cs="Arial" w:eastAsia="Arial" w:hAnsi="Arial"/>
          <w:sz w:val="19"/>
          <w:szCs w:val="19"/>
          <w:color w:val="44546A"/>
        </w:rPr>
        <w:t>statements on Form S-8 (Nos. 333-87582, 333-123080, 333-172761, 333-174735,</w:t>
      </w:r>
      <w:r>
        <w:rPr>
          <w:rFonts w:ascii="Arial" w:cs="Arial" w:eastAsia="Arial" w:hAnsi="Arial"/>
          <w:sz w:val="18"/>
          <w:szCs w:val="18"/>
          <w:color w:val="auto"/>
        </w:rPr>
        <w:t xml:space="preserve"> </w:t>
      </w:r>
      <w:r>
        <w:rPr>
          <w:rFonts w:ascii="Arial" w:cs="Arial" w:eastAsia="Arial" w:hAnsi="Arial"/>
          <w:sz w:val="19"/>
          <w:szCs w:val="19"/>
          <w:color w:val="44546A"/>
        </w:rPr>
        <w:t xml:space="preserve">and 333-228128) </w:t>
      </w:r>
      <w:r>
        <w:rPr>
          <w:rFonts w:ascii="Arial" w:cs="Arial" w:eastAsia="Arial" w:hAnsi="Arial"/>
          <w:sz w:val="18"/>
          <w:szCs w:val="18"/>
          <w:color w:val="000000"/>
        </w:rPr>
        <w:t>of our report dated May 23, 2019, with respect to the consolidated balance sheets of Hawkins, Inc. as of March 31, 2019 and April 1,</w:t>
      </w:r>
      <w:r>
        <w:rPr>
          <w:rFonts w:ascii="Arial" w:cs="Arial" w:eastAsia="Arial" w:hAnsi="Arial"/>
          <w:sz w:val="19"/>
          <w:szCs w:val="19"/>
          <w:color w:val="44546A"/>
        </w:rPr>
        <w:t xml:space="preserve"> </w:t>
      </w:r>
      <w:r>
        <w:rPr>
          <w:rFonts w:ascii="Arial" w:cs="Arial" w:eastAsia="Arial" w:hAnsi="Arial"/>
          <w:sz w:val="18"/>
          <w:szCs w:val="18"/>
          <w:color w:val="000000"/>
        </w:rPr>
        <w:t>2018, and the related consolidated statements of income (loss), comprehensive income (loss), shareholders’ equity, and cash flows for each of the years in the three-year period ended March 31, 2019, and the related notes and financial statement schedule II (collectively, the consolidated financial statements), and the effectiveness of internal control over financial reporting as of March 31, 2019, which report appears in the annual report on Form 10-K of Hawkins, Inc. for the fiscal year ended March 31, 2019.</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23, 2019</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2019</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0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2019</w:t>
      </w:r>
    </w:p>
    <w:p>
      <w:pPr>
        <w:spacing w:after="0" w:line="360"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Jeffrey P. Oldenkamp</w:t>
      </w:r>
    </w:p>
    <w:p>
      <w:pPr>
        <w:spacing w:after="0" w:line="27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31, 2019, as filed with the Securities and Exchange Commission on the date hereof (the Report), I, Patrick H. Hawkins, Principal executive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23, 2019</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31, 2019, as filed with the Securities and Exchange Commission on the date hereof (the Report), I, Jeffrey P. Oldenkamp, Principal financial and accounting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23,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lvl w:ilvl="1">
      <w:lvlJc w:val="left"/>
      <w:lvlText w:val="(%2)"/>
      <w:numFmt w:val="decimal"/>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43" Type="http://schemas.openxmlformats.org/officeDocument/2006/relationships/hyperlink" Target="http://www.sec.gov/Archives/edgar/data/46250/000089710110001532/hawkins103608_ex3-1.htm" TargetMode="External"/><Relationship Id="rId44" Type="http://schemas.openxmlformats.org/officeDocument/2006/relationships/hyperlink" Target="http://www.sec.gov/Archives/edgar/data/46250/000089710109002205/hawkins095018_ex3-1.htm" TargetMode="External"/><Relationship Id="rId45" Type="http://schemas.openxmlformats.org/officeDocument/2006/relationships/hyperlink" Target="http://www.sec.gov/Archives/edgar/data/46250/000095012311056962/c65009exv10w1.htm" TargetMode="External"/><Relationship Id="rId46" Type="http://schemas.openxmlformats.org/officeDocument/2006/relationships/hyperlink" Target="http://www.sec.gov/Archives/edgar/data/46250/000089710110001532/hawkins103608_ex10-1.htm" TargetMode="External"/><Relationship Id="rId47" Type="http://schemas.openxmlformats.org/officeDocument/2006/relationships/hyperlink" Target="http://www.sec.gov/Archives/edgar/data/46250/000089710110001532/hawkins103608_ex10-2.htm" TargetMode="External"/><Relationship Id="rId48" Type="http://schemas.openxmlformats.org/officeDocument/2006/relationships/hyperlink" Target="http://www.sec.gov/Archives/edgar/data/46250/000095012311073038/c64584exv10w1.htm" TargetMode="External"/><Relationship Id="rId49" Type="http://schemas.openxmlformats.org/officeDocument/2006/relationships/hyperlink" Target="http://www.sec.gov/Archives/edgar/data/46250/000119312515385447/d59504dex101.htm" TargetMode="External"/><Relationship Id="rId50" Type="http://schemas.openxmlformats.org/officeDocument/2006/relationships/hyperlink" Target="http://www.sec.gov/Archives/edgar/data/46250/000119312515412804/d106089dex101.htm" TargetMode="External"/><Relationship Id="rId51" Type="http://schemas.openxmlformats.org/officeDocument/2006/relationships/hyperlink" Target="http://www.sec.gov/Archives/edgar/data/46250/000119312518316437/d643918dex991.htm" TargetMode="External"/><Relationship Id="rId52" Type="http://schemas.openxmlformats.org/officeDocument/2006/relationships/hyperlink" Target="http://www.sec.gov/Archives/edgar/data/46250/000119312518341125/d656770dex101.htm" TargetMode="External"/><Relationship Id="rId53" Type="http://schemas.openxmlformats.org/officeDocument/2006/relationships/hyperlink" Target="http://www.sec.gov/Archives/edgar/data/46250/000004625018000014/hwkn10k2018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2019-12-28T11:54:11Z</dcterms:created>
  <dcterms:modified xsi:type="dcterms:W3CDTF">2019-12-28T11:54:11Z</dcterms:modified>
</cp:coreProperties>
</file>