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6" w:lineRule="exact"/>
        <w:rPr>
          <w:sz w:val="24"/>
          <w:szCs w:val="24"/>
          <w:color w:val="auto"/>
        </w:rPr>
      </w:pPr>
    </w:p>
    <w:p>
      <w:pPr>
        <w:jc w:val="center"/>
        <w:ind w:right="-19"/>
        <w:spacing w:after="0" w:line="334" w:lineRule="exact"/>
        <w:rPr>
          <w:sz w:val="20"/>
          <w:szCs w:val="20"/>
          <w:color w:val="auto"/>
        </w:rPr>
      </w:pPr>
      <w:r>
        <w:rPr>
          <w:rFonts w:ascii="Times New Roman" w:cs="Times New Roman" w:eastAsia="Times New Roman" w:hAnsi="Times New Roman"/>
          <w:sz w:val="29"/>
          <w:szCs w:val="29"/>
          <w:b w:val="1"/>
          <w:bCs w:val="1"/>
          <w:color w:val="auto"/>
        </w:rPr>
        <w:t>FORM 8</w:t>
      </w:r>
      <w:r>
        <w:rPr>
          <w:rFonts w:ascii="MS PGothic" w:cs="MS PGothic" w:eastAsia="MS PGothic" w:hAnsi="MS PGothic"/>
          <w:sz w:val="29"/>
          <w:szCs w:val="29"/>
          <w:color w:val="auto"/>
          <w:strike w:val="1"/>
        </w:rPr>
        <w:t>‑</w:t>
      </w:r>
      <w:r>
        <w:rPr>
          <w:rFonts w:ascii="Times New Roman" w:cs="Times New Roman" w:eastAsia="Times New Roman" w:hAnsi="Times New Roman"/>
          <w:sz w:val="29"/>
          <w:szCs w:val="29"/>
          <w:b w:val="1"/>
          <w:bCs w:val="1"/>
          <w:color w:val="auto"/>
        </w:rPr>
        <w:t>K</w:t>
      </w: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30, 2015</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HAWKINS,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4" w:lineRule="exact"/>
        <w:rPr>
          <w:sz w:val="24"/>
          <w:szCs w:val="24"/>
          <w:color w:val="auto"/>
        </w:rPr>
      </w:pPr>
    </w:p>
    <w:tbl>
      <w:tblPr>
        <w:tblLayout w:type="fixed"/>
        <w:tblInd w:w="1100" w:type="dxa"/>
        <w:tblCellMar>
          <w:top w:w="0" w:type="dxa"/>
          <w:left w:w="0" w:type="dxa"/>
          <w:bottom w:w="0" w:type="dxa"/>
          <w:right w:w="0" w:type="dxa"/>
        </w:tblCellMar>
      </w:tblPr>
      <w:tr>
        <w:trPr>
          <w:trHeight w:val="287"/>
        </w:trPr>
        <w:tc>
          <w:tcPr>
            <w:tcW w:w="3480" w:type="dxa"/>
            <w:vAlign w:val="bottom"/>
          </w:tcPr>
          <w:p>
            <w:pPr>
              <w:jc w:val="center"/>
              <w:ind w:right="1681"/>
              <w:spacing w:after="0"/>
              <w:rPr>
                <w:sz w:val="20"/>
                <w:szCs w:val="20"/>
                <w:color w:val="auto"/>
              </w:rPr>
            </w:pPr>
            <w:r>
              <w:rPr>
                <w:rFonts w:ascii="Times New Roman" w:cs="Times New Roman" w:eastAsia="Times New Roman" w:hAnsi="Times New Roman"/>
                <w:sz w:val="22"/>
                <w:szCs w:val="22"/>
                <w:b w:val="1"/>
                <w:bCs w:val="1"/>
                <w:color w:val="auto"/>
                <w:w w:val="98"/>
              </w:rPr>
              <w:t>Minnesota</w:t>
            </w:r>
          </w:p>
        </w:tc>
        <w:tc>
          <w:tcPr>
            <w:tcW w:w="2520" w:type="dxa"/>
            <w:vAlign w:val="bottom"/>
          </w:tcPr>
          <w:p>
            <w:pPr>
              <w:jc w:val="right"/>
              <w:ind w:right="861"/>
              <w:spacing w:after="0"/>
              <w:rPr>
                <w:sz w:val="20"/>
                <w:szCs w:val="20"/>
                <w:color w:val="auto"/>
              </w:rPr>
            </w:pPr>
            <w:r>
              <w:rPr>
                <w:rFonts w:ascii="Times New Roman" w:cs="Times New Roman" w:eastAsia="Times New Roman" w:hAnsi="Times New Roman"/>
                <w:sz w:val="22"/>
                <w:szCs w:val="22"/>
                <w:b w:val="1"/>
                <w:bCs w:val="1"/>
                <w:color w:val="auto"/>
              </w:rPr>
              <w:t>0-7647</w:t>
            </w:r>
          </w:p>
        </w:tc>
        <w:tc>
          <w:tcPr>
            <w:tcW w:w="3740" w:type="dxa"/>
            <w:vAlign w:val="bottom"/>
          </w:tcPr>
          <w:p>
            <w:pPr>
              <w:jc w:val="right"/>
              <w:ind w:right="623"/>
              <w:spacing w:after="0"/>
              <w:rPr>
                <w:sz w:val="20"/>
                <w:szCs w:val="20"/>
                <w:color w:val="auto"/>
              </w:rPr>
            </w:pPr>
            <w:r>
              <w:rPr>
                <w:rFonts w:ascii="Times New Roman" w:cs="Times New Roman" w:eastAsia="Times New Roman" w:hAnsi="Times New Roman"/>
                <w:sz w:val="22"/>
                <w:szCs w:val="22"/>
                <w:b w:val="1"/>
                <w:bCs w:val="1"/>
                <w:color w:val="auto"/>
              </w:rPr>
              <w:t>41-0771293</w:t>
            </w:r>
          </w:p>
        </w:tc>
      </w:tr>
      <w:tr>
        <w:trPr>
          <w:trHeight w:val="258"/>
        </w:trPr>
        <w:tc>
          <w:tcPr>
            <w:tcW w:w="3480" w:type="dxa"/>
            <w:vAlign w:val="bottom"/>
          </w:tcPr>
          <w:p>
            <w:pPr>
              <w:jc w:val="center"/>
              <w:ind w:right="1681"/>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740" w:type="dxa"/>
            <w:vAlign w:val="bottom"/>
          </w:tcPr>
          <w:p>
            <w:pPr>
              <w:jc w:val="center"/>
              <w:ind w:left="1163"/>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57"/>
        </w:trPr>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2381 Rosegate</w:t>
            </w:r>
          </w:p>
        </w:tc>
        <w:tc>
          <w:tcPr>
            <w:tcW w:w="25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87"/>
        </w:trPr>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Roseville, MN</w:t>
            </w:r>
          </w:p>
        </w:tc>
        <w:tc>
          <w:tcPr>
            <w:tcW w:w="2520" w:type="dxa"/>
            <w:vAlign w:val="bottom"/>
          </w:tcPr>
          <w:p>
            <w:pPr>
              <w:spacing w:after="0"/>
              <w:rPr>
                <w:sz w:val="24"/>
                <w:szCs w:val="24"/>
                <w:color w:val="auto"/>
              </w:rPr>
            </w:pPr>
          </w:p>
        </w:tc>
        <w:tc>
          <w:tcPr>
            <w:tcW w:w="3740" w:type="dxa"/>
            <w:vAlign w:val="bottom"/>
          </w:tcPr>
          <w:p>
            <w:pPr>
              <w:jc w:val="right"/>
              <w:ind w:right="1903"/>
              <w:spacing w:after="0"/>
              <w:rPr>
                <w:sz w:val="20"/>
                <w:szCs w:val="20"/>
                <w:color w:val="auto"/>
              </w:rPr>
            </w:pPr>
            <w:r>
              <w:rPr>
                <w:rFonts w:ascii="Times New Roman" w:cs="Times New Roman" w:eastAsia="Times New Roman" w:hAnsi="Times New Roman"/>
                <w:sz w:val="22"/>
                <w:szCs w:val="22"/>
                <w:b w:val="1"/>
                <w:bCs w:val="1"/>
                <w:color w:val="auto"/>
              </w:rPr>
              <w:t>55113</w:t>
            </w:r>
          </w:p>
        </w:tc>
      </w:tr>
      <w:tr>
        <w:trPr>
          <w:trHeight w:val="258"/>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20" w:type="dxa"/>
            <w:vAlign w:val="bottom"/>
          </w:tcPr>
          <w:p>
            <w:pPr>
              <w:spacing w:after="0"/>
              <w:rPr>
                <w:sz w:val="22"/>
                <w:szCs w:val="22"/>
                <w:color w:val="auto"/>
              </w:rPr>
            </w:pPr>
          </w:p>
        </w:tc>
        <w:tc>
          <w:tcPr>
            <w:tcW w:w="3740" w:type="dxa"/>
            <w:vAlign w:val="bottom"/>
          </w:tcPr>
          <w:p>
            <w:pPr>
              <w:jc w:val="center"/>
              <w:ind w:right="703"/>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60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740" w:type="dxa"/>
            <w:vAlign w:val="bottom"/>
          </w:tcPr>
          <w:p>
            <w:pPr>
              <w:jc w:val="right"/>
              <w:ind w:right="2463"/>
              <w:spacing w:after="0"/>
              <w:rPr>
                <w:sz w:val="20"/>
                <w:szCs w:val="20"/>
                <w:color w:val="auto"/>
              </w:rPr>
            </w:pPr>
            <w:r>
              <w:rPr>
                <w:rFonts w:ascii="Times New Roman" w:cs="Times New Roman" w:eastAsia="Times New Roman" w:hAnsi="Times New Roman"/>
                <w:sz w:val="18"/>
                <w:szCs w:val="18"/>
                <w:b w:val="1"/>
                <w:bCs w:val="1"/>
                <w:color w:val="auto"/>
              </w:rPr>
              <w:t>(612) 331-6910</w:t>
            </w:r>
          </w:p>
        </w:tc>
      </w:tr>
    </w:tbl>
    <w:p>
      <w:pPr>
        <w:spacing w:after="0" w:line="21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56"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00"/>
          </w:cols>
          <w:pgMar w:left="240" w:top="725" w:right="2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22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At our annual meeting of shareholders held July 30, 2015, the following proposals, each as described in further detail in the definitive proxy statement filed by our company on June 26, 2015 (File No. 0-7647), were voted upon by our shareholders as set forth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One – Election of Directors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Our shareholders elected each of the eight nominees to our Board of Directors, based on the following votes: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64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S. McKeon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6,536,915.697</w:t>
            </w:r>
          </w:p>
        </w:tc>
        <w:tc>
          <w:tcPr>
            <w:tcW w:w="1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1,734,240.710</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8,099,156.407</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172,000.000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A. Faulconbridge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6,587,520.795</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1,683,635.612</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Duane M. Jergenson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8,073,488.407</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197,668.000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Mary J. Schumacher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7,936,735.795</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334,420.612</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Daryl I. Skaar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7,969,840.407</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301,316.000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James T. Thompson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8,052,972.407</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218,184.000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Jeffrey L. Wright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6,582,933.407</w:t>
            </w:r>
          </w:p>
        </w:tc>
        <w:tc>
          <w:tcPr>
            <w:tcW w:w="1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1,688,223.000</w:t>
            </w:r>
          </w:p>
        </w:tc>
        <w:tc>
          <w:tcPr>
            <w:tcW w:w="10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Two – Re-Approval of Material Terms of 2010 Omnibus Incentive Plan</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Our shareholders re-approved the material terms of our 2010 Omnibus Incentive Plan for purposes of Section 162(M)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 Revenue Code, based on the votes listed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7,985,924.643</w:t>
            </w:r>
          </w:p>
        </w:tc>
        <w:tc>
          <w:tcPr>
            <w:tcW w:w="120" w:type="dxa"/>
            <w:vAlign w:val="bottom"/>
          </w:tcPr>
          <w:p>
            <w:pPr>
              <w:spacing w:after="0"/>
              <w:rPr>
                <w:sz w:val="20"/>
                <w:szCs w:val="20"/>
                <w:color w:val="auto"/>
              </w:rPr>
            </w:pPr>
          </w:p>
        </w:tc>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268,843.947</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16,387.817</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Three – Non-Binding Advisory Vote on Executive Compensation</w:t>
      </w:r>
    </w:p>
    <w:p>
      <w:pPr>
        <w:spacing w:after="0" w:line="224"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Our shareholders approved, on an advisory basis, the compensation of our executive officers as disclosed in the above-referenced proxy statement, based on the votes listed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7,906,674.761</w:t>
            </w:r>
          </w:p>
        </w:tc>
        <w:tc>
          <w:tcPr>
            <w:tcW w:w="120" w:type="dxa"/>
            <w:vAlign w:val="bottom"/>
          </w:tcPr>
          <w:p>
            <w:pPr>
              <w:spacing w:after="0"/>
              <w:rPr>
                <w:sz w:val="20"/>
                <w:szCs w:val="20"/>
                <w:color w:val="auto"/>
              </w:rPr>
            </w:pPr>
          </w:p>
        </w:tc>
        <w:tc>
          <w:tcPr>
            <w:tcW w:w="27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328,013.598</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36,468.048</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ectPr>
          <w:pgSz w:w="11900" w:h="16838" w:orient="portrait"/>
          <w:cols w:equalWidth="0" w:num="1">
            <w:col w:w="11420"/>
          </w:cols>
          <w:pgMar w:left="240" w:top="109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SIGNATURES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040" w:type="dxa"/>
            <w:vAlign w:val="bottom"/>
          </w:tcPr>
          <w:p>
            <w:pPr>
              <w:spacing w:after="0"/>
              <w:rPr>
                <w:sz w:val="24"/>
                <w:szCs w:val="24"/>
                <w:color w:val="auto"/>
              </w:rPr>
            </w:pPr>
          </w:p>
        </w:tc>
        <w:tc>
          <w:tcPr>
            <w:tcW w:w="7480" w:type="dxa"/>
            <w:vAlign w:val="bottom"/>
            <w:gridSpan w:val="3"/>
          </w:tcPr>
          <w:p>
            <w:pPr>
              <w:ind w:left="1180"/>
              <w:spacing w:after="0"/>
              <w:rPr>
                <w:sz w:val="20"/>
                <w:szCs w:val="20"/>
                <w:color w:val="auto"/>
              </w:rPr>
            </w:pPr>
            <w:r>
              <w:rPr>
                <w:rFonts w:ascii="Times New Roman" w:cs="Times New Roman" w:eastAsia="Times New Roman" w:hAnsi="Times New Roman"/>
                <w:sz w:val="22"/>
                <w:szCs w:val="22"/>
                <w:color w:val="auto"/>
              </w:rPr>
              <w:t>HAWKINS, INC.</w:t>
            </w:r>
          </w:p>
        </w:tc>
      </w:tr>
      <w:tr>
        <w:trPr>
          <w:trHeight w:val="393"/>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August 3, 2015</w:t>
            </w:r>
          </w:p>
        </w:tc>
        <w:tc>
          <w:tcPr>
            <w:tcW w:w="1180" w:type="dxa"/>
            <w:vAlign w:val="bottom"/>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Kathleen P. Pepski</w:t>
            </w:r>
          </w:p>
        </w:tc>
        <w:tc>
          <w:tcPr>
            <w:tcW w:w="4200" w:type="dxa"/>
            <w:vAlign w:val="bottom"/>
          </w:tcPr>
          <w:p>
            <w:pPr>
              <w:spacing w:after="0"/>
              <w:rPr>
                <w:sz w:val="24"/>
                <w:szCs w:val="24"/>
                <w:color w:val="auto"/>
              </w:rPr>
            </w:pPr>
          </w:p>
        </w:tc>
      </w:tr>
      <w:tr>
        <w:trPr>
          <w:trHeight w:val="286"/>
        </w:trPr>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00" w:type="dxa"/>
            <w:vAlign w:val="bottom"/>
            <w:gridSpan w:val="2"/>
          </w:tcPr>
          <w:p>
            <w:pPr>
              <w:ind w:left="1620"/>
              <w:spacing w:after="0"/>
              <w:rPr>
                <w:sz w:val="20"/>
                <w:szCs w:val="20"/>
                <w:color w:val="auto"/>
              </w:rPr>
            </w:pPr>
            <w:r>
              <w:rPr>
                <w:rFonts w:ascii="Times New Roman" w:cs="Times New Roman" w:eastAsia="Times New Roman" w:hAnsi="Times New Roman"/>
                <w:sz w:val="22"/>
                <w:szCs w:val="22"/>
                <w:color w:val="auto"/>
              </w:rPr>
              <w:t>Kathleen P. Pepski</w:t>
            </w:r>
          </w:p>
        </w:tc>
      </w:tr>
      <w:tr>
        <w:trPr>
          <w:trHeight w:val="287"/>
        </w:trPr>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00" w:type="dxa"/>
            <w:vAlign w:val="bottom"/>
            <w:gridSpan w:val="2"/>
          </w:tcPr>
          <w:p>
            <w:pPr>
              <w:ind w:left="1620"/>
              <w:spacing w:after="0"/>
              <w:rPr>
                <w:sz w:val="20"/>
                <w:szCs w:val="20"/>
                <w:color w:val="auto"/>
              </w:rPr>
            </w:pPr>
            <w:r>
              <w:rPr>
                <w:rFonts w:ascii="Times New Roman" w:cs="Times New Roman" w:eastAsia="Times New Roman" w:hAnsi="Times New Roman"/>
                <w:sz w:val="22"/>
                <w:szCs w:val="22"/>
                <w:i w:val="1"/>
                <w:iCs w:val="1"/>
                <w:color w:val="auto"/>
                <w:w w:val="96"/>
              </w:rPr>
              <w:t>Vice President, Chief Financial Officer, and Treasurer</w:t>
            </w:r>
          </w:p>
        </w:tc>
      </w:tr>
    </w:tbl>
    <w:p>
      <w:pPr>
        <w:spacing w:after="0" w:line="1" w:lineRule="exact"/>
        <w:rPr>
          <w:sz w:val="20"/>
          <w:szCs w:val="20"/>
          <w:color w:val="auto"/>
        </w:rPr>
      </w:pPr>
    </w:p>
    <w:sectPr>
      <w:pgSz w:w="11900" w:h="16838" w:orient="portrait"/>
      <w:cols w:equalWidth="0" w:num="1">
        <w:col w:w="11400"/>
      </w:cols>
      <w:pgMar w:left="240" w:top="6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2019-12-05T11:08:28Z</dcterms:created>
  <dcterms:modified xsi:type="dcterms:W3CDTF">2019-12-05T11:08:28Z</dcterms:modified>
</cp:coreProperties>
</file>