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28, 2014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512"/>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1030" w:right="239" w:bottom="1440" w:gutter="0" w:footer="0" w:header="0"/>
        </w:sectPr>
      </w:pPr>
    </w:p>
    <w:p>
      <w:pPr>
        <w:spacing w:after="0" w:line="3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740" w:space="540"/>
            <w:col w:w="4620" w:space="720"/>
            <w:col w:w="2060" w:space="720"/>
            <w:col w:w="1020"/>
          </w:cols>
          <w:pgMar w:left="240" w:top="1030"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40" w:space="640"/>
            <w:col w:w="160" w:space="80"/>
            <w:col w:w="4380" w:space="720"/>
            <w:col w:w="2080" w:space="700"/>
            <w:col w:w="1020"/>
          </w:cols>
          <w:pgMar w:left="240" w:top="1030" w:right="2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56" w:lineRule="exact"/>
        <w:rPr>
          <w:sz w:val="24"/>
          <w:szCs w:val="24"/>
          <w:color w:val="auto"/>
        </w:rPr>
      </w:pPr>
    </w:p>
    <w:tbl>
      <w:tblPr>
        <w:tblLayout w:type="fixed"/>
        <w:tblInd w:w="100" w:type="dxa"/>
        <w:tblCellMar>
          <w:top w:w="0" w:type="dxa"/>
          <w:left w:w="0" w:type="dxa"/>
          <w:bottom w:w="0" w:type="dxa"/>
          <w:right w:w="0" w:type="dxa"/>
        </w:tblCellMar>
      </w:tblPr>
      <w:tr>
        <w:trPr>
          <w:trHeight w:val="188"/>
        </w:trPr>
        <w:tc>
          <w:tcPr>
            <w:tcW w:w="56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CLASS</w:t>
            </w:r>
          </w:p>
        </w:tc>
        <w:tc>
          <w:tcPr>
            <w:tcW w:w="30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Shares Outstanding at October 24, 2014</w:t>
            </w:r>
          </w:p>
        </w:tc>
        <w:tc>
          <w:tcPr>
            <w:tcW w:w="540" w:type="dxa"/>
            <w:vAlign w:val="bottom"/>
          </w:tcPr>
          <w:p>
            <w:pPr>
              <w:spacing w:after="0"/>
              <w:rPr>
                <w:sz w:val="16"/>
                <w:szCs w:val="16"/>
                <w:color w:val="auto"/>
              </w:rPr>
            </w:pPr>
          </w:p>
        </w:tc>
      </w:tr>
      <w:tr>
        <w:trPr>
          <w:trHeight w:val="243"/>
        </w:trPr>
        <w:tc>
          <w:tcPr>
            <w:tcW w:w="560" w:type="dxa"/>
            <w:vAlign w:val="bottom"/>
          </w:tcPr>
          <w:p>
            <w:pPr>
              <w:spacing w:after="0"/>
              <w:rPr>
                <w:sz w:val="21"/>
                <w:szCs w:val="21"/>
                <w:color w:val="auto"/>
              </w:rPr>
            </w:pPr>
          </w:p>
        </w:tc>
        <w:tc>
          <w:tcPr>
            <w:tcW w:w="52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Common Stock, par value $.05 per share</w:t>
            </w:r>
          </w:p>
        </w:tc>
        <w:tc>
          <w:tcPr>
            <w:tcW w:w="4860" w:type="dxa"/>
            <w:vAlign w:val="bottom"/>
          </w:tcPr>
          <w:p>
            <w:pPr>
              <w:jc w:val="right"/>
              <w:ind w:right="1939"/>
              <w:spacing w:after="0"/>
              <w:rPr>
                <w:sz w:val="20"/>
                <w:szCs w:val="20"/>
                <w:color w:val="auto"/>
              </w:rPr>
            </w:pPr>
            <w:r>
              <w:rPr>
                <w:rFonts w:ascii="Arial" w:cs="Arial" w:eastAsia="Arial" w:hAnsi="Arial"/>
                <w:sz w:val="18"/>
                <w:szCs w:val="18"/>
                <w:color w:val="auto"/>
              </w:rPr>
              <w:t>10,621,201</w:t>
            </w:r>
          </w:p>
        </w:tc>
        <w:tc>
          <w:tcPr>
            <w:tcW w:w="540" w:type="dxa"/>
            <w:vAlign w:val="bottom"/>
          </w:tcPr>
          <w:p>
            <w:pPr>
              <w:spacing w:after="0"/>
              <w:rPr>
                <w:sz w:val="21"/>
                <w:szCs w:val="21"/>
                <w:color w:val="auto"/>
              </w:rPr>
            </w:pPr>
          </w:p>
        </w:tc>
      </w:tr>
      <w:tr>
        <w:trPr>
          <w:trHeight w:val="432"/>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22"/>
        </w:trPr>
        <w:tc>
          <w:tcPr>
            <w:tcW w:w="56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type w:val="continuous"/>
        </w:sectPr>
      </w:pPr>
    </w:p>
    <w:bookmarkStart w:id="1" w:name="page2"/>
    <w:bookmarkEnd w:id="1"/>
    <w:p>
      <w:pPr>
        <w:jc w:val="center"/>
        <w:ind w:right="-11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520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16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September 28, 2014 and March 30, 2014</w:t>
              </w:r>
            </w:hyperlink>
          </w:p>
        </w:tc>
        <w:tc>
          <w:tcPr>
            <w:tcW w:w="1540" w:type="dxa"/>
            <w:vAlign w:val="bottom"/>
            <w:gridSpan w:val="5"/>
          </w:tcPr>
          <w:p>
            <w:pPr>
              <w:spacing w:after="0"/>
              <w:rPr>
                <w:sz w:val="24"/>
                <w:szCs w:val="24"/>
                <w:color w:val="auto"/>
              </w:rPr>
            </w:pPr>
          </w:p>
        </w:tc>
        <w:tc>
          <w:tcPr>
            <w:tcW w:w="9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0" w:type="dxa"/>
            <w:vAlign w:val="bottom"/>
            <w:gridSpan w:val="19"/>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Statements of Income – Three and Six Months Ended September 28,</w:t>
              </w:r>
            </w:hyperlink>
          </w:p>
        </w:tc>
        <w:tc>
          <w:tcPr>
            <w:tcW w:w="10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2014 and September 29, 2013</w:t>
              </w:r>
            </w:hyperlink>
          </w:p>
        </w:tc>
        <w:tc>
          <w:tcPr>
            <w:tcW w:w="4620" w:type="dxa"/>
            <w:vAlign w:val="bottom"/>
            <w:tcBorders>
              <w:top w:val="single" w:sz="8" w:color="0000EE"/>
            </w:tcBorders>
            <w:gridSpan w:val="10"/>
          </w:tcPr>
          <w:p>
            <w:pPr>
              <w:spacing w:after="0"/>
              <w:rPr>
                <w:sz w:val="17"/>
                <w:szCs w:val="17"/>
                <w:color w:val="auto"/>
              </w:rPr>
            </w:pPr>
          </w:p>
        </w:tc>
        <w:tc>
          <w:tcPr>
            <w:tcW w:w="82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 Three and Six Months Ended</w:t>
              </w:r>
            </w:hyperlink>
          </w:p>
        </w:tc>
        <w:tc>
          <w:tcPr>
            <w:tcW w:w="720" w:type="dxa"/>
            <w:vAlign w:val="bottom"/>
          </w:tcPr>
          <w:p>
            <w:pPr>
              <w:spacing w:after="0"/>
              <w:rPr>
                <w:sz w:val="24"/>
                <w:szCs w:val="24"/>
                <w:color w:val="auto"/>
              </w:rPr>
            </w:pPr>
          </w:p>
        </w:tc>
        <w:tc>
          <w:tcPr>
            <w:tcW w:w="9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28, 2014 and September 29, 2013</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 Six Months Ended September 28, 2014</w:t>
              </w:r>
            </w:hyperlink>
          </w:p>
        </w:tc>
        <w:tc>
          <w:tcPr>
            <w:tcW w:w="102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and September 29, 2013</w:t>
              </w:r>
            </w:hyperlink>
          </w:p>
        </w:tc>
        <w:tc>
          <w:tcPr>
            <w:tcW w:w="4960" w:type="dxa"/>
            <w:vAlign w:val="bottom"/>
            <w:tcBorders>
              <w:top w:val="single" w:sz="8" w:color="0000EE"/>
            </w:tcBorders>
            <w:gridSpan w:val="12"/>
          </w:tcPr>
          <w:p>
            <w:pPr>
              <w:spacing w:after="0"/>
              <w:rPr>
                <w:sz w:val="17"/>
                <w:szCs w:val="17"/>
                <w:color w:val="auto"/>
              </w:rPr>
            </w:pPr>
          </w:p>
        </w:tc>
        <w:tc>
          <w:tcPr>
            <w:tcW w:w="88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600" w:type="dxa"/>
            <w:vAlign w:val="bottom"/>
            <w:gridSpan w:val="8"/>
          </w:tcPr>
          <w:p>
            <w:pPr>
              <w:spacing w:after="0"/>
              <w:rPr>
                <w:sz w:val="24"/>
                <w:szCs w:val="24"/>
                <w:color w:val="auto"/>
              </w:rPr>
            </w:pPr>
          </w:p>
        </w:tc>
        <w:tc>
          <w:tcPr>
            <w:tcW w:w="9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600" w:type="dxa"/>
            <w:vAlign w:val="bottom"/>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12</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1140" w:type="dxa"/>
            <w:vAlign w:val="bottom"/>
            <w:gridSpan w:val="4"/>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Controls and Procedures</w:t>
              </w:r>
            </w:hyperlink>
          </w:p>
        </w:tc>
        <w:tc>
          <w:tcPr>
            <w:tcW w:w="2540" w:type="dxa"/>
            <w:vAlign w:val="bottom"/>
            <w:gridSpan w:val="7"/>
          </w:tcPr>
          <w:p>
            <w:pPr>
              <w:spacing w:after="0"/>
              <w:rPr>
                <w:sz w:val="24"/>
                <w:szCs w:val="24"/>
                <w:color w:val="auto"/>
              </w:rPr>
            </w:pPr>
          </w:p>
        </w:tc>
        <w:tc>
          <w:tcPr>
            <w:tcW w:w="3280" w:type="dxa"/>
            <w:vAlign w:val="bottom"/>
            <w:gridSpan w:val="7"/>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760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tcBorders>
            <w:gridSpan w:val="3"/>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5720" w:type="dxa"/>
            <w:vAlign w:val="bottom"/>
            <w:gridSpan w:val="13"/>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6260" w:type="dxa"/>
            <w:vAlign w:val="bottom"/>
            <w:gridSpan w:val="16"/>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3"/>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Unregistered Sales of Equity Securities and Use of Proceeds</w:t>
              </w:r>
            </w:hyperlink>
          </w:p>
        </w:tc>
        <w:tc>
          <w:tcPr>
            <w:tcW w:w="3240" w:type="dxa"/>
            <w:vAlign w:val="bottom"/>
            <w:gridSpan w:val="6"/>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1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Exhibits</w:t>
              </w:r>
            </w:hyperlink>
          </w:p>
        </w:tc>
        <w:tc>
          <w:tcPr>
            <w:tcW w:w="3240" w:type="dxa"/>
            <w:vAlign w:val="bottom"/>
            <w:gridSpan w:val="6"/>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760" w:type="dxa"/>
            <w:vAlign w:val="bottom"/>
          </w:tcPr>
          <w:p>
            <w:pPr>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Signatures</w:t>
              </w:r>
            </w:hyperlink>
          </w:p>
        </w:tc>
        <w:tc>
          <w:tcPr>
            <w:tcW w:w="38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20</w:t>
              </w:r>
            </w:hyperlink>
          </w:p>
        </w:tc>
      </w:tr>
      <w:tr>
        <w:trPr>
          <w:trHeight w:val="507"/>
        </w:trPr>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14"/>
          </w:tcPr>
          <w:p>
            <w:pPr>
              <w:ind w:left="448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179"/>
          </w:cols>
          <w:pgMar w:left="280" w:top="58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28,</w:t>
            </w:r>
          </w:p>
        </w:tc>
        <w:tc>
          <w:tcPr>
            <w:tcW w:w="200" w:type="dxa"/>
            <w:vAlign w:val="bottom"/>
          </w:tcPr>
          <w:p>
            <w:pPr>
              <w:spacing w:after="0"/>
              <w:rPr>
                <w:sz w:val="17"/>
                <w:szCs w:val="17"/>
                <w:color w:val="auto"/>
              </w:rPr>
            </w:pPr>
          </w:p>
        </w:tc>
        <w:tc>
          <w:tcPr>
            <w:tcW w:w="1160" w:type="dxa"/>
            <w:vAlign w:val="bottom"/>
          </w:tcPr>
          <w:p>
            <w:pPr>
              <w:jc w:val="right"/>
              <w:ind w:right="251"/>
              <w:spacing w:after="0"/>
              <w:rPr>
                <w:sz w:val="20"/>
                <w:szCs w:val="20"/>
                <w:color w:val="auto"/>
              </w:rPr>
            </w:pPr>
            <w:r>
              <w:rPr>
                <w:rFonts w:ascii="Arial" w:cs="Arial" w:eastAsia="Arial" w:hAnsi="Arial"/>
                <w:sz w:val="16"/>
                <w:szCs w:val="16"/>
                <w:b w:val="1"/>
                <w:bCs w:val="1"/>
                <w:color w:val="auto"/>
              </w:rPr>
              <w:t>March 30,</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26,701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33,486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available-for-sale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Trade receivables — less allowance for doubtful accounts: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$402 as of September 28, 2014 and $477 as of March 30, 2014</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37,946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37,292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26,192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116,730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114,627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158,875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(73,319)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(68,406)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90,469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Intangible assets — less accumulated amortization:</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$3,434 as of September 28, 2014 and $3,069 as of March 30, 2014</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19,464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15,852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color w:val="auto"/>
              </w:rPr>
              <w:t>Total other assets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35,218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32,097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237,193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18,691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18,306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payroll and employee benefits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5,341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 payable</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WITHDRAWAL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10,186</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53,135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54,780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Common stock; authorized: 30,000,000 shares of $0.05 par value; 10,560,543 and 10,562,400 shares issued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outstanding as of September 28, 2014 and March 30, 2014,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50,033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50,502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131,427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190,091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182,413</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243,226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237,193</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3080"/>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66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6"/>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2"/>
                <w:szCs w:val="12"/>
                <w:color w:val="auto"/>
              </w:rPr>
            </w:pPr>
          </w:p>
        </w:tc>
        <w:tc>
          <w:tcPr>
            <w:tcW w:w="130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September 29,</w:t>
            </w:r>
          </w:p>
        </w:tc>
        <w:tc>
          <w:tcPr>
            <w:tcW w:w="180" w:type="dxa"/>
            <w:vAlign w:val="bottom"/>
          </w:tcPr>
          <w:p>
            <w:pPr>
              <w:spacing w:after="0"/>
              <w:rPr>
                <w:sz w:val="12"/>
                <w:szCs w:val="12"/>
                <w:color w:val="auto"/>
              </w:rPr>
            </w:pPr>
          </w:p>
        </w:tc>
        <w:tc>
          <w:tcPr>
            <w:tcW w:w="1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2"/>
                <w:szCs w:val="12"/>
                <w:color w:val="auto"/>
              </w:rPr>
            </w:pPr>
          </w:p>
        </w:tc>
        <w:tc>
          <w:tcPr>
            <w:tcW w:w="1200" w:type="dxa"/>
            <w:vAlign w:val="bottom"/>
          </w:tcPr>
          <w:p>
            <w:pPr>
              <w:jc w:val="right"/>
              <w:ind w:right="172"/>
              <w:spacing w:after="0" w:line="147" w:lineRule="exact"/>
              <w:rPr>
                <w:sz w:val="20"/>
                <w:szCs w:val="20"/>
                <w:color w:val="auto"/>
              </w:rPr>
            </w:pPr>
            <w:r>
              <w:rPr>
                <w:rFonts w:ascii="Arial" w:cs="Arial" w:eastAsia="Arial" w:hAnsi="Arial"/>
                <w:sz w:val="14"/>
                <w:szCs w:val="14"/>
                <w:b w:val="1"/>
                <w:bCs w:val="1"/>
                <w:color w:val="auto"/>
                <w:w w:val="96"/>
              </w:rPr>
              <w:t>September 29,</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88,881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186,917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181,343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(70,759)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(150,299)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(147,542)</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(17,263)</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(6,192)</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10,558,173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10,545,719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10,564,107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10,533,951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10,603,931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10,588,747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10,616,874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10,582,318</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0.98</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w:t>
            </w:r>
          </w:p>
        </w:tc>
      </w:tr>
      <w:tr>
        <w:trPr>
          <w:trHeight w:val="324"/>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20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6"/>
              </w:rPr>
              <w:t>September 29,</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10,319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6,168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5,194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12,181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10,276</w:t>
            </w: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28,</w:t>
            </w:r>
          </w:p>
        </w:tc>
        <w:tc>
          <w:tcPr>
            <w:tcW w:w="18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Arial" w:cs="Arial" w:eastAsia="Arial" w:hAnsi="Arial"/>
                <w:sz w:val="16"/>
                <w:szCs w:val="16"/>
                <w:b w:val="1"/>
                <w:bCs w:val="1"/>
                <w:color w:val="auto"/>
                <w:w w:val="93"/>
              </w:rPr>
              <w:t>September 29,</w:t>
            </w:r>
          </w:p>
        </w:tc>
      </w:tr>
      <w:tr>
        <w:trPr>
          <w:trHeight w:val="210"/>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r>
      <w:tr>
        <w:trPr>
          <w:trHeight w:val="33"/>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12,168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10,319</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Reconciliation to cash flows: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6,748</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(Gain) loss from property disposals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accounts providing (using) cash:</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Trade receivables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274</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Income tax payable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193</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w:t>
            </w:r>
          </w:p>
        </w:tc>
      </w:tr>
      <w:tr>
        <w:trPr>
          <w:trHeight w:val="237"/>
        </w:trPr>
        <w:tc>
          <w:tcPr>
            <w:tcW w:w="824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14,796</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(6,529)</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(13,791)</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Sale and maturities of investments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9,245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property disposals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37"/>
        </w:trPr>
        <w:tc>
          <w:tcPr>
            <w:tcW w:w="8240" w:type="dxa"/>
            <w:vAlign w:val="bottom"/>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(11,020)</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Cash dividends paid</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(3,592)</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shares issued</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Shares surrendered for payroll taxes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Excess tax benefit from share-based compensation</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repurchased</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(3,380)</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33,486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28,715</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29,111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Cash paid for 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7,945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5,947</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investing activities - Capital expenditures in 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r>
      <w:tr>
        <w:trPr>
          <w:trHeight w:val="27"/>
        </w:trPr>
        <w:tc>
          <w:tcPr>
            <w:tcW w:w="8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Annual Report on Form 10-K for the fiscal year ended March 30, 2014,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1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accounting policies we follow are set forth in “Item 8. Financial Statements and Supplementary Data, Note 1 – Nature of Business and Significant Accounting Policies” to our consolidated financial statements in our Annual Report on Form 10-K for the fiscal year ended March 30, 2014 filed with the SEC on May 29, 2014. There has been no significant change in our accounting policies since the end of fiscal 2014.</w:t>
      </w:r>
    </w:p>
    <w:p>
      <w:pPr>
        <w:spacing w:after="0" w:line="111" w:lineRule="exact"/>
        <w:rPr>
          <w:sz w:val="20"/>
          <w:szCs w:val="20"/>
          <w:color w:val="auto"/>
        </w:rPr>
      </w:pPr>
    </w:p>
    <w:p>
      <w:pPr>
        <w:ind w:right="420"/>
        <w:spacing w:after="0" w:line="438" w:lineRule="auto"/>
        <w:rPr>
          <w:sz w:val="20"/>
          <w:szCs w:val="20"/>
          <w:color w:val="auto"/>
        </w:rPr>
      </w:pPr>
      <w:r>
        <w:rPr>
          <w:rFonts w:ascii="Arial" w:cs="Arial" w:eastAsia="Arial" w:hAnsi="Arial"/>
          <w:sz w:val="18"/>
          <w:szCs w:val="18"/>
          <w:color w:val="auto"/>
        </w:rPr>
        <w:t xml:space="preserve">The results of operations for the six months ended September 28, 2014 are not necessarily indicative of the results that may be expected for the full year. References to fiscal 2014 refer to the fiscal year ended March 30, 2014 and references to fiscal 2015 refer to the fiscal year ending March 29, 2015. </w:t>
      </w:r>
      <w:r>
        <w:rPr>
          <w:rFonts w:ascii="Arial" w:cs="Arial" w:eastAsia="Arial" w:hAnsi="Arial"/>
          <w:sz w:val="18"/>
          <w:szCs w:val="18"/>
          <w:b w:val="1"/>
          <w:bCs w:val="1"/>
          <w:color w:val="auto"/>
        </w:rPr>
        <w:t>Recently Issued Accounting Pronouncements</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May 2014, the Financial Accounting Standards Board issued new accounting requirements for recognition of revenue from contracts with customers. The requirements of the new standard will be effective for annual reporting periods beginning after December 15, 2016 (our fiscal year ended April 1, 2018), and interim periods within those annual periods. We are currently evaluating the impact of this accounting pronouncement on our results of operations and financial position.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60" w:type="dxa"/>
            <w:vAlign w:val="bottom"/>
            <w:gridSpan w:val="4"/>
          </w:tcPr>
          <w:p>
            <w:pPr>
              <w:ind w:left="880"/>
              <w:spacing w:after="0"/>
              <w:rPr>
                <w:sz w:val="20"/>
                <w:szCs w:val="20"/>
                <w:color w:val="auto"/>
              </w:rPr>
            </w:pPr>
            <w:r>
              <w:rPr>
                <w:rFonts w:ascii="Arial" w:cs="Arial" w:eastAsia="Arial" w:hAnsi="Arial"/>
                <w:sz w:val="18"/>
                <w:szCs w:val="18"/>
                <w:b w:val="1"/>
                <w:bCs w:val="1"/>
                <w:color w:val="auto"/>
              </w:rPr>
              <w:t>Three Months Ended</w:t>
            </w:r>
          </w:p>
        </w:tc>
        <w:tc>
          <w:tcPr>
            <w:tcW w:w="326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7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740" w:type="dxa"/>
            <w:vAlign w:val="bottom"/>
            <w:gridSpan w:val="2"/>
          </w:tcPr>
          <w:p>
            <w:pPr>
              <w:ind w:left="240"/>
              <w:spacing w:after="0"/>
              <w:rPr>
                <w:sz w:val="20"/>
                <w:szCs w:val="20"/>
                <w:color w:val="auto"/>
              </w:rPr>
            </w:pPr>
            <w:r>
              <w:rPr>
                <w:rFonts w:ascii="Arial" w:cs="Arial" w:eastAsia="Arial" w:hAnsi="Arial"/>
                <w:sz w:val="18"/>
                <w:szCs w:val="18"/>
                <w:b w:val="1"/>
                <w:bCs w:val="1"/>
                <w:color w:val="auto"/>
              </w:rPr>
              <w:t>September 28,</w:t>
            </w:r>
          </w:p>
        </w:tc>
        <w:tc>
          <w:tcPr>
            <w:tcW w:w="17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29,</w:t>
            </w:r>
          </w:p>
        </w:tc>
        <w:tc>
          <w:tcPr>
            <w:tcW w:w="168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28,</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29,</w:t>
            </w:r>
          </w:p>
        </w:tc>
      </w:tr>
      <w:tr>
        <w:trPr>
          <w:trHeight w:val="234"/>
        </w:trPr>
        <w:tc>
          <w:tcPr>
            <w:tcW w:w="470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10,558,173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10,545,719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10,564,107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10,533,951</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Dilutive impact of stock options, performance units, and</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45,758</w:t>
            </w:r>
          </w:p>
        </w:tc>
        <w:tc>
          <w:tcPr>
            <w:tcW w:w="12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43,028</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52,767</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48,367</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10,603,931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10,588,747</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10,616,874</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10,582,318</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the three and six months ended September 28, 2014 and September 29, 2013, there were no shares or stock options excluded from the calculation of weighted-average common shares for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Acquisition of Advance Chemical Solutions, Inc.</w:t>
      </w:r>
      <w:r>
        <w:rPr>
          <w:rFonts w:ascii="Arial" w:cs="Arial" w:eastAsia="Arial" w:hAnsi="Arial"/>
          <w:sz w:val="18"/>
          <w:szCs w:val="18"/>
          <w:color w:val="auto"/>
        </w:rPr>
        <w:t>: On October 1, 2013, we acquired substantially all of the assets of Advance Chemical Solutions,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(“ACS”). We paid $2.4 million in cash at closing. In addition, we may be obligated to pay an aggregate of $0.5 million in additional consideration to ACS over the first three years following the acquisition based on the achievement of certain financial performance targets, $0.4 million of which was earned in the first year and will be paid in our third quarter.</w:t>
      </w:r>
    </w:p>
    <w:p>
      <w:pPr>
        <w:spacing w:after="0" w:line="18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ACS acquisition was accounted for under the acquisition method of accounting, under which the total estimated purchase price is allocated to the net tangible and intangible assets acquired based on their estimated fair values. We estimated the fair value of the assets acquired and liabilities assumed to be $2.8 million using a discounted cash flow analysis (income approach).</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ACS had revenues of approximately $4.0 million for the 12 months ended September 30, 2013. The results of its operations since the acquisition date are included in our Water Treatment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Cash and Cash Equivalents and Investments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28,</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26,701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26,701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4,297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30,</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33,486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33,486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financial assets that are measured at fair value on a recurring basis are certificates of deposit (“CD’s”) and municipal bonds, with original maturities ranging from three months to three years, that fall within valuation technique Level 2. The CD’s and municipal bonds are classified as investments in current assets and noncurrent assets on the condensed consolidated balance sheets. As of September 28, 2014, the combined CD’s and municipal bonds had a fair value of $15.4 million in current assets and $19.5 million in noncurrent assets compared to CD’s and municipal bonds with a fair value of $13.8 million in current assets and $15.9 million in noncurrent assets as of March 30,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September 28, 2014 and March 30, 2014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28,</w:t>
            </w:r>
          </w:p>
        </w:tc>
        <w:tc>
          <w:tcPr>
            <w:tcW w:w="24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30,</w:t>
            </w:r>
          </w:p>
        </w:tc>
      </w:tr>
      <w:tr>
        <w:trPr>
          <w:trHeight w:val="221"/>
        </w:trPr>
        <w:tc>
          <w:tcPr>
            <w:tcW w:w="80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9"/>
                <w:szCs w:val="19"/>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31,344</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LIFO reserve</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(5,152)</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$39.8 million at September 28, 2014 and $28.5 million at March 30, 2014. The remainder of the inventory was valued and accounted for under the FIFO method.</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LIFO reserve increased $0.2 million during the three months ended September 28, 2014, and decreased $0.4 million during the three months ended September 29, 2013. During the six months ended September 28, 2014, the LIFO reserve increased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23"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$0.7 million, and for the six months ended September 29, 2013 the LIFO reserve decreased $0.1 million. The valuation of LIFO inventory for interim periods is based on our estimates of year-end inventory levels and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carrying amount of goodwill as of September 28, 2014 and March 30, 2014 was $7.4 million.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consist primarily of customer lists, trademarks, trade secrets and non-compete agreements classified as finite life and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classified as indefinite life, related to business acquisitions. A summary of our intangible assets as of September 28, 2014 and March 30, 2014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28, 2014</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March 30, 2014</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8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3"/>
                <w:szCs w:val="13"/>
                <w:color w:val="auto"/>
              </w:rPr>
            </w:pPr>
          </w:p>
        </w:tc>
        <w:tc>
          <w:tcPr>
            <w:tcW w:w="122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3"/>
                <w:szCs w:val="13"/>
                <w:color w:val="auto"/>
              </w:rPr>
            </w:pPr>
          </w:p>
        </w:tc>
        <w:tc>
          <w:tcPr>
            <w:tcW w:w="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58"/>
        </w:trPr>
        <w:tc>
          <w:tcPr>
            <w:tcW w:w="3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122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6,913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5,448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6,913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(1,292)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Trademark</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(421)</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Trade secrets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962</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(768)</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Carrier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(331)</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10,351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(3,069)</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43"/>
        </w:trPr>
        <w:tc>
          <w:tcPr>
            <w:tcW w:w="3820" w:type="dxa"/>
            <w:vAlign w:val="bottom"/>
            <w:gridSpan w:val="3"/>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26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8,144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(3,069)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Accumulated Other Comprehensive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on our consolidated balance sheet, net of tax, were as follows:</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28,</w:t>
            </w:r>
          </w:p>
        </w:tc>
        <w:tc>
          <w:tcPr>
            <w:tcW w:w="26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30,</w:t>
            </w:r>
          </w:p>
        </w:tc>
      </w:tr>
      <w:tr>
        <w:trPr>
          <w:trHeight w:val="221"/>
        </w:trPr>
        <w:tc>
          <w:tcPr>
            <w:tcW w:w="75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7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Unrealized loss on:</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80" w:type="dxa"/>
            <w:vAlign w:val="bottom"/>
            <w:gridSpan w:val="2"/>
          </w:tcPr>
          <w:p>
            <w:pPr>
              <w:ind w:left="340"/>
              <w:spacing w:after="0"/>
              <w:rPr>
                <w:sz w:val="20"/>
                <w:szCs w:val="20"/>
                <w:color w:val="auto"/>
              </w:rPr>
            </w:pPr>
            <w:r>
              <w:rPr>
                <w:rFonts w:ascii="Arial" w:cs="Arial" w:eastAsia="Arial" w:hAnsi="Arial"/>
                <w:sz w:val="18"/>
                <w:szCs w:val="18"/>
                <w:color w:val="auto"/>
              </w:rPr>
              <w:t>Available-for-sale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Post-retirement plan liability</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7520" w:type="dxa"/>
            <w:vAlign w:val="bottom"/>
            <w:gridSpan w:val="3"/>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17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i w:val="1"/>
          <w:iCs w:val="1"/>
          <w:color w:val="auto"/>
        </w:rPr>
        <w:t xml:space="preserve">Performance-Based Restricted Stock Units. </w:t>
      </w:r>
      <w:r>
        <w:rPr>
          <w:rFonts w:ascii="Arial" w:cs="Arial" w:eastAsia="Arial" w:hAnsi="Arial"/>
          <w:sz w:val="17"/>
          <w:szCs w:val="17"/>
          <w:color w:val="auto"/>
        </w:rPr>
        <w:t>Our Board of Directors (the “Board”) approved a performance-based equity compensation arrangement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during the first quarters of each of fiscal 2015 and 2014.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50,874 shares in the aggregate for fiscal 2015.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six months ended September 28, 2014:</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49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52,104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Granted</w:t>
            </w:r>
          </w:p>
        </w:tc>
        <w:tc>
          <w:tcPr>
            <w:tcW w:w="4900" w:type="dxa"/>
            <w:vAlign w:val="bottom"/>
            <w:gridSpan w:val="2"/>
          </w:tcPr>
          <w:p>
            <w:pPr>
              <w:jc w:val="right"/>
              <w:ind w:right="28"/>
              <w:spacing w:after="0"/>
              <w:rPr>
                <w:sz w:val="20"/>
                <w:szCs w:val="20"/>
                <w:color w:val="auto"/>
              </w:rPr>
            </w:pPr>
            <w:r>
              <w:rPr>
                <w:rFonts w:ascii="Arial" w:cs="Arial" w:eastAsia="Arial" w:hAnsi="Arial"/>
                <w:sz w:val="18"/>
                <w:szCs w:val="18"/>
                <w:color w:val="auto"/>
              </w:rPr>
              <w:t>24,932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49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53,580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9</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0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584" w:right="299" w:bottom="1440" w:gutter="0" w:footer="0" w:header="0"/>
        </w:sectPr>
      </w:pPr>
    </w:p>
    <w:bookmarkStart w:id="9" w:name="page10"/>
    <w:bookmarkEnd w:id="9"/>
    <w:p>
      <w:pPr>
        <w:ind w:right="20"/>
        <w:spacing w:after="0" w:line="259" w:lineRule="auto"/>
        <w:rPr>
          <w:sz w:val="20"/>
          <w:szCs w:val="20"/>
          <w:color w:val="auto"/>
        </w:rPr>
      </w:pPr>
      <w:r>
        <w:rPr>
          <w:rFonts w:ascii="Arial" w:cs="Arial" w:eastAsia="Arial" w:hAnsi="Arial"/>
          <w:sz w:val="18"/>
          <w:szCs w:val="18"/>
          <w:color w:val="auto"/>
        </w:rPr>
        <w:t>We recorded compensation expense of $0.2 million and $0.5 million related to performance share units and restricted stock for the three and six months ended September 28, 2014. We recorded compensation expense of $0.2 million and $0.3 million related to performance share units and restricted stock for the three and six months ended September 29, 2013. Substantially all of the compensation expense was recorded in selling, general and administrative expenses in the condensed consolidated statements of income.</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As part of their retainer, each non-employee director receives an annual grant of restricted stock for their Board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awards are expensed over the requisite vesting period, which is one year from the date of issuance, based on the market value on the date of grant. As of September 28, 2014, there were 7,077 shares of restricted stock with a weighted averaged grant date fair value of $34.61 outstanding under this program. Compensation expense for the three and six months ended September 28, 2014 and September 29, 2013 related to restricted stock awards to the Board was $0.1 million.</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 xml:space="preserve">Stock Option Awards. </w:t>
      </w:r>
      <w:r>
        <w:rPr>
          <w:rFonts w:ascii="Arial" w:cs="Arial" w:eastAsia="Arial" w:hAnsi="Arial"/>
          <w:sz w:val="16"/>
          <w:szCs w:val="16"/>
          <w:color w:val="auto"/>
        </w:rPr>
        <w:t>The Board previously approved a long-term incentive equity compensation arrangement for our executive officers that provided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grant of non-qualified stock options that vested at the end of a three-year period, although no stock options have been granted since our fiscal year ended March 28, 2010. As of September 28, 2014, we had 9,333 stock options outstanding and exercisable at a weighted average exercise price of $19.90. No expense was recorded for the three and six months ended September 28, 2014 and September 29, 2013 related to the value of stock options.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 Repurchase Program</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On May 29, 2014, our Board authorized a share repurchase program of up to 300,000 shares of our outstanding common shares. Under the program, we are authorized to repurchase shares for cash on the open market or in privately negotiated transactions subject to applicable securities laws and regulations. Upon repurchase of the shares, we reduced our common stock for the par value of the shares with the excess applied against additional paid-in capital.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half of fiscal 2015 we repurchased 39,170 shares of common stock with an aggregate value of $1.4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Litigation, Commitments and Contingencies</w:t>
      </w:r>
    </w:p>
    <w:p>
      <w:pPr>
        <w:spacing w:after="0" w:line="225"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two reportable segments: Industrial and Water Treatment. The accounting policies of the segments are the same as those described in the summary of significant accounting policies as disclosed in our fiscal 2014 Annual Report on Form 10-K.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the nature of our business, it is not practical to disclose revenues from external customers for each product or each group of similar products. No single customer’s revenues amounted to 10% or more of our total revenue. Sales are primarily within the United States and all assets are located within the United States.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25" w:right="239" w:bottom="1440" w:gutter="0" w:footer="0" w:header="0"/>
        </w:sectPr>
      </w:pPr>
    </w:p>
    <w:bookmarkStart w:id="10" w:name="page11"/>
    <w:bookmarkEnd w:id="10"/>
    <w:tbl>
      <w:tblPr>
        <w:tblLayout w:type="fixed"/>
        <w:tblInd w:w="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Water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1"/>
        </w:trPr>
        <w:tc>
          <w:tcPr>
            <w:tcW w:w="6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Three months ended September 28, 2014:</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57,935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30,946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88,881</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18,122</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8,271</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9,851</w:t>
            </w:r>
          </w:p>
        </w:tc>
      </w:tr>
      <w:tr>
        <w:trPr>
          <w:trHeight w:val="243"/>
        </w:trPr>
        <w:tc>
          <w:tcPr>
            <w:tcW w:w="6140" w:type="dxa"/>
            <w:vAlign w:val="bottom"/>
            <w:gridSpan w:val="3"/>
          </w:tcPr>
          <w:p>
            <w:pPr>
              <w:ind w:left="20"/>
              <w:spacing w:after="0"/>
              <w:rPr>
                <w:sz w:val="20"/>
                <w:szCs w:val="20"/>
                <w:color w:val="auto"/>
              </w:rPr>
            </w:pPr>
            <w:r>
              <w:rPr>
                <w:rFonts w:ascii="Arial" w:cs="Arial" w:eastAsia="Arial" w:hAnsi="Arial"/>
                <w:sz w:val="18"/>
                <w:szCs w:val="18"/>
                <w:color w:val="auto"/>
              </w:rPr>
              <w:t>Three months ended September 29, 2013:</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86,599</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16,570</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8,293</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8,277</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Six months ended September 28, 2014:</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125,481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61,436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186,917</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36,618</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17,146</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19,472</w:t>
            </w:r>
          </w:p>
        </w:tc>
      </w:tr>
      <w:tr>
        <w:trPr>
          <w:trHeight w:val="243"/>
        </w:trPr>
        <w:tc>
          <w:tcPr>
            <w:tcW w:w="6140" w:type="dxa"/>
            <w:vAlign w:val="bottom"/>
            <w:gridSpan w:val="3"/>
          </w:tcPr>
          <w:p>
            <w:pPr>
              <w:ind w:left="20"/>
              <w:spacing w:after="0"/>
              <w:rPr>
                <w:sz w:val="20"/>
                <w:szCs w:val="20"/>
                <w:color w:val="auto"/>
              </w:rPr>
            </w:pPr>
            <w:r>
              <w:rPr>
                <w:rFonts w:ascii="Arial" w:cs="Arial" w:eastAsia="Arial" w:hAnsi="Arial"/>
                <w:sz w:val="18"/>
                <w:szCs w:val="18"/>
                <w:color w:val="auto"/>
              </w:rPr>
              <w:t>Six months ended September 29, 2013:</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181,343</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16,504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33,801</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17,263</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16,538</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20, 2014, we acquired substantially all of the assets of The Dumont Company, Inc. (“Dumont”) for $10.0 million in cash at closing under the terms of an asset purchase agreement with Dumont and its shareholders, using available cash on hand to fund the acquisition. Dumont is a water treatment chemical distribution company operating out of seven locations across Florida with revenues of approximately $14.0 million in calendar year 2013. Dumont’s results of operations and the acquired assets will be included in our Water Treatment Segment.</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742" w:right="279" w:bottom="1440" w:gutter="0" w:footer="0" w:header="0"/>
        </w:sectPr>
      </w:pPr>
    </w:p>
    <w:bookmarkStart w:id="11" w:name="page12"/>
    <w:bookmarkEnd w:id="11"/>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the three and six months ended September 28, 2014 as compared to September 29, 2013. This discussion should be read in conjunction with the Condensed Consolidated Financial Statements and Notes to Condensed Consolidated Financial Statements included in this Form 10-Q and Item 8 of our Annual Report on Form 10-K for the fiscal year ended March 30, 2014 (“fiscal 2014”). References to fiscal 2015 refer to the fiscal year ending March 29,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derive substantially all of our revenues from the sale of chemicals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products, including repackaging, blending, manufacturing and diluting certain products.</w:t>
      </w:r>
    </w:p>
    <w:p>
      <w:pPr>
        <w:spacing w:after="0" w:line="228"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On October 20, 2014, we acquired substantially all of the assets of The Dumont Company, Inc. (“Dumont”) for $10.0 million in cash at closing under the terms of an asset purchase agreement with Dumont and its shareholders, using available cash on hand to fund the acquisition. Dumont is a water treatment chemical distribution company operating out of seven locations across Florida with revenues of approximately $14.0 million in calendar year 2013. Its primary chemical markets include municipal water and wastewater treatment, private utilities, commercial swimming pools, irrigation water treatment and food processing. Dumont’s results of operations and the acquired assets will be included in our Water Treatment Segment.</w:t>
      </w:r>
    </w:p>
    <w:p>
      <w:pPr>
        <w:spacing w:after="0" w:line="239"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first half of fiscal 2015 we repurchased 39,170 shares of common stock with an aggregate value of $1.4 million.</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third quarter of fiscal 2014, we acquired substantially all the assets of Advance Chemical Solutions, Inc. (“ACS”). We paid $2.4 million in cash at closing. In addition, we may be obligated to pay an aggregate of $0.5 million in additional consideration to ACS over the first three years following the acquisition based on the achievement of certain financial performance targets, $0.4 million of which was earned in the first year and will be paid in the third quarter. ACS had revenues of approximately $4.0 million for the 12 months ended September 30, 2013. The results of its operations since the acquisition date are included in our Water Treatment segment.</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fiscal 2014, we exited a leased facility used to serve our bulk pharmaceutical customers. As a result, in the first half of fiscal 2014 we recorded a pre-tax charge of approximately $0.8 million in cost of sales in our Industrial segment (approximately $0.5 million after tax) primarily related to accelerated depreciation charges related to exiting this facility.</w:t>
      </w:r>
    </w:p>
    <w:p>
      <w:pPr>
        <w:spacing w:after="0" w:line="18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use the last in, first out (“LIFO”) method for valuing substantially all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We recorded a $0.2 million increase in our LIFO reserve for the three months ended September 28, 2014 and a $0.7 million increase in our LIFO reserve for the six months ended September 28, 2014, both of which decreased our gross profit in those periods by those amounts. We recorded a $0.4 million decrease in our LIFO reserve for the three months ended September 29, 2013 and a $0.1 million decrease in our LIFO reserve for the six months ended September 29, 2013, both of which increased our reported gross profit for the respective periods by those amounts.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disclose the sales of our bulk commodity products as a percentage of total sales dollars. We define bulk commodity products to consist of products that we do not modify in any way, but receive, store, and ship from our facilities, or direct ship to our customers in large quantities.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360" w:type="dxa"/>
            <w:vAlign w:val="bottom"/>
            <w:gridSpan w:val="4"/>
          </w:tcPr>
          <w:p>
            <w:pPr>
              <w:ind w:left="860"/>
              <w:spacing w:after="0"/>
              <w:rPr>
                <w:sz w:val="20"/>
                <w:szCs w:val="20"/>
                <w:color w:val="auto"/>
              </w:rPr>
            </w:pPr>
            <w:r>
              <w:rPr>
                <w:rFonts w:ascii="Arial" w:cs="Arial" w:eastAsia="Arial" w:hAnsi="Arial"/>
                <w:sz w:val="18"/>
                <w:szCs w:val="18"/>
                <w:b w:val="1"/>
                <w:bCs w:val="1"/>
                <w:color w:val="auto"/>
              </w:rPr>
              <w:t>Three months ended</w:t>
            </w:r>
          </w:p>
        </w:tc>
        <w:tc>
          <w:tcPr>
            <w:tcW w:w="32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8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September 28, 2014</w:t>
            </w: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September 29, 2013</w:t>
            </w: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September 28, 2014</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89"/>
              </w:rPr>
              <w:t>September 29, 2013</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5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94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September 28, 2014 Compared to the Three Months Ended September 29, 2013 </w:t>
      </w:r>
      <w:r>
        <w:rPr>
          <w:rFonts w:ascii="Arial" w:cs="Arial" w:eastAsia="Arial" w:hAnsi="Arial"/>
          <w:sz w:val="18"/>
          <w:szCs w:val="18"/>
          <w:i w:val="1"/>
          <w:iCs w:val="1"/>
          <w:color w:val="auto"/>
        </w:rPr>
        <w:t>Sales</w:t>
      </w:r>
    </w:p>
    <w:p>
      <w:pPr>
        <w:spacing w:after="0" w:line="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Sales increased $2.3 million, or 2.6%, to $88.9 million for the three months ended September 28, 2014, as compared to $86.6 million for the same period of the prior year. Sales of bulk commodity products accounted for approximately 18% of sales dollars during each of the three-month periods ended September 28, 2014 and September 29, 2013.</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$1.3 million, or 2.2%, to $57.9 million for the three months ended September 28, 2014,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$56.7 million for the same period of the prior year. Our overall volumes increased from the same period a year ago, however lower raw material prices and competitive pricing pressures resulted in lower per-unit selling prices.</w:t>
      </w:r>
    </w:p>
    <w:p>
      <w:pPr>
        <w:spacing w:after="0" w:line="12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Water Treatment segment sales increased $1.0 million, or 3.4%, to $30.9 million, as compared to $29.9 million for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prior year. The increase was driven by increased sales in many of our newer branches, including the new Oklahoma branch, partially offset by lower sales in certain of our larger branches in our more mature markets where we believe the weather caused reduced municipal pumping rates.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Gross profit increased $1.6 million to $18.1 million, or 20.4% of sales, for the three months ended September 28, 2014, as compared to $16.6 million, or</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19.1% of sales, for the same period of the prior year. The LIFO method of valuing inventory decreased gross profit by $0.2 million for the three months ended September 28, 2014 and increased gross profit by $0.4 million during the three months ended September 29, 2013.</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$1.1 million to $8.4 million, or 14.4% of sales,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28, 2014, as compared to $7.3 million, or 12.8% of sales, for the same period of the prior year. Gross profit for the second quarter of fiscal 2015 was favorably impacted by higher sales volumes as well as operating overhead efficiencies, partially offset by lower per-unit margins due to continued competitive pricing pressures. Our operational overhead costs were relatively flat year-over-year despite higher sales volumes. Gross profit for the second quarter of fiscal 2014 was negatively impacted by $0.4 million of charges related to exiting a leased facility used to serve our bulk pharmaceutical customers. The LIFO method of valuing inventory decreased gross profit in this segment by $0.1 million for the second quarter of fiscal 2015 and increased gross profit by $0.4 million for the same period of fiscal 2014.</w:t>
      </w:r>
    </w:p>
    <w:p>
      <w:pPr>
        <w:spacing w:after="0" w:line="13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Gross profit for the Water Treatment segment increased $0.5 million to $9.8 million, or 31.5% of sales,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28, 2014, as compared to $9.3 million, or 31.0% of sales, for the same period of the prior year. The increase in gross profit was driven by increased sales in many of our newer branches, including sales from our new Oklahoma branch, partially offset by lower sales in certain of our larger branches in our more mature markets. The LIFO method of valuing inventory decreased gross profit by $0.1 million for the three months ended September 28, 2014, and nominally impacted gross profit for the three months ended September 29, 2013.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Selling, general and administrative expenses were flat at $8.3 million, or 9.3% of sales for the three months ended September 28, 2014, and 9.6% of sales for the same period of the prior year. Decreased selling expenses in our Industrial segment were offset by increased selling expenses in our Water Treatment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Operating income was $9.9 million for the three months ended September 28, 2014 and $8.3 million for the same period of the prior year. Operating income for the Industrial segment increased $1.2 million, as a result of the increase in gross profit combined with reduced selling costs. Operating income for the Water Treatment segment increased $0.3 million, as the increase in gross profit was partially offset by increased selling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effective income tax rate was 37.5% for the three months ended September 28, 2014 compared to 37.0% for the same period of the prior year. The effective tax rate is impacted by projected levels of taxable income, permanent items, and state taxes.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28, 2014 Compared to the Six Months Ended September 29,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Sale increased $5.6 million, or 3.1%, to $186.9 million for the six months ended September 28, 2014, as compared to $181.3 million for the same period of the prior year. Sales of bulk chemicals were approximately 18% of sales dollars during the six months ended September 28, 2014, compared to 20% during the same period of the prior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$1.8 million, or 1.4%, to $125.5 million for the six months ended September 28, 2014,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$123.7 million for the same period of the prior year. Our overall volumes increased from the same period a year ago, however lower raw material prices and competitive pricing pressures resulted in lower per-unit selling prices.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increased $3.8 million, or 6.6%, to $61.4 million for the six months ended September 28, 2014,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$57.6 million for the same period of the prior year. The increased sales were primarily driven by growth in our newer branches, including our new Oklahoma branch, as well as increased sales of this segment’s specialty chemical product lines, partially offset by lower sales at certain of our larger branches in our more mature markets where we believe the weather caused reduced municipal pumping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2680"/>
        <w:spacing w:after="0" w:line="291" w:lineRule="auto"/>
        <w:rPr>
          <w:sz w:val="20"/>
          <w:szCs w:val="20"/>
          <w:color w:val="auto"/>
        </w:rPr>
      </w:pPr>
      <w:r>
        <w:rPr>
          <w:rFonts w:ascii="Arial" w:cs="Arial" w:eastAsia="Arial" w:hAnsi="Arial"/>
          <w:sz w:val="16"/>
          <w:szCs w:val="16"/>
          <w:color w:val="auto"/>
        </w:rPr>
        <w:t>Gross profit increased $2.8 million to $36.6 million, or 19.6% of sales, for the six months ended September 28, 2014, as compared to $33.8 million, or 18.6% of sales, for the same period of the prior year. The prior year's gross profit</w:t>
      </w:r>
    </w:p>
    <w:p>
      <w:pPr>
        <w:jc w:val="both"/>
        <w:ind w:right="20"/>
        <w:spacing w:after="0" w:line="255" w:lineRule="auto"/>
        <w:rPr>
          <w:sz w:val="20"/>
          <w:szCs w:val="20"/>
          <w:color w:val="auto"/>
        </w:rPr>
      </w:pPr>
      <w:r>
        <w:rPr>
          <w:rFonts w:ascii="Arial" w:cs="Arial" w:eastAsia="Arial" w:hAnsi="Arial"/>
          <w:sz w:val="18"/>
          <w:szCs w:val="18"/>
          <w:color w:val="auto"/>
        </w:rPr>
        <w:t>was negatively impacted by $0.8 million of charges related to exiting a leased facility used to serve our bulk pharmaceutical customers. The LIFO method of valuing inventory decreased gross profit by $0.7 million for the six months ended September 28, 2014, and increased gross profit by $0.1 million for the six months ended September 29, 2013.</w:t>
      </w:r>
    </w:p>
    <w:p>
      <w:pPr>
        <w:spacing w:after="0" w:line="190" w:lineRule="exact"/>
        <w:rPr>
          <w:sz w:val="20"/>
          <w:szCs w:val="20"/>
          <w:color w:val="auto"/>
        </w:rPr>
      </w:pPr>
    </w:p>
    <w:p>
      <w:pPr>
        <w:jc w:val="both"/>
        <w:ind w:right="2320"/>
        <w:spacing w:after="0" w:line="291"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increased $1.2 million to $17.7 million, or 14.1% of sales,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ended September 28, 2014, as compared to $16.5 million, or 13.3% of sales, for the same period of the prior year.</w:t>
      </w:r>
    </w:p>
    <w:p>
      <w:pPr>
        <w:ind w:right="140"/>
        <w:spacing w:after="0" w:line="253" w:lineRule="auto"/>
        <w:rPr>
          <w:sz w:val="20"/>
          <w:szCs w:val="20"/>
          <w:color w:val="auto"/>
        </w:rPr>
      </w:pPr>
      <w:r>
        <w:rPr>
          <w:rFonts w:ascii="Arial" w:cs="Arial" w:eastAsia="Arial" w:hAnsi="Arial"/>
          <w:sz w:val="18"/>
          <w:szCs w:val="18"/>
          <w:color w:val="auto"/>
        </w:rPr>
        <w:t>The increase in gross profit was driven by higher sales volumes for the first half of fiscal 2015 compared to the same period of the prior year as well as operational overhead efficiencies, partially offset by lower per-unit margins due to continued competitive pricing pressures. Gross profit for the first half of fiscal 2014 was negatively impacted by $0.8 million in costs incurred to exit the leased facility used to serve our bulk pharmaceutical customers. The LIFO method of valuing inventory decreased gross profit in this segment by $0.5 million for the six months ended September 28, 2014, while it increased gross profit in this segment by $0.1 million for the same period of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746" w:right="319" w:bottom="1440" w:gutter="0" w:footer="0" w:header="0"/>
        </w:sectPr>
      </w:pPr>
    </w:p>
    <w:bookmarkStart w:id="14" w:name="page15"/>
    <w:bookmarkEnd w:id="14"/>
    <w:p>
      <w:pPr>
        <w:jc w:val="both"/>
        <w:ind w:right="20"/>
        <w:spacing w:after="0" w:line="276"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Gross profit for the Water Treatment segment increased $1.6 million to $18.9 million, or 30.8% of sales,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28, 2014, as compared to $17.3 million, or 30.0% of sales, for the same period of the prior year. Higher sales volumes in our newer branches and increased sales of specialty chemicals were partially offset by lower profits from certain of our larger branches in more mature markets. The LIFO method of valuing inventory decreased gross profit in this segment by $0.2 million for the six months ended September 28, 2014, while it had a nominal impact on gross profit in this segment for the six months ended September 29,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Selling, general and administrative expenses were $17.1 million, or 9.2% of sales, for the six months ended September 28, 2014, as compared to $17.3 million, or 9.5% of sales, for the same period of the prior year. Decreased selling expenses in our Industrial segment were largely offset by increased selling expenses in our Water Treatment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was $19.5 million for the six months ended September 28, 2014 and $16.5 million for the same period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prior year. Operating income for the Industrial segment increased $1.7 million as a result of the increase in gross profit combined with reduced selling costs.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Operating income for the Water Treatment segment increased $1.2 million, as the increase in gross profit was partially offset by increased selling costs.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effective income tax rate was 37.5% for the six month periods ended September 28, 2014 and September 29, 2013. The effective tax rate is impacted by projected levels of taxable income, permanent items, and state taxes.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Cash provided by operating activities for the six months ended September 28, 2014 was $9.6 million compared to $14.8 million for the same period of the prior year. The decrease in cash provided by operating activities was primarily due to the timing of inventory purchases, with increased levels of inventory on hand at September 28, 2014 as compared to a year ago.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 Additionally, due to the seasonality of the water treatment business, our accounts receivable balance is generally higher during the period of April through September.</w:t>
      </w:r>
    </w:p>
    <w:p>
      <w:pPr>
        <w:spacing w:after="0" w:line="13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Capital expenditures were $6.2 million for the six months ended September 28, 2014, as compared to $6.5 million in the same period of the prior fiscal year. Included in capital expenditures for the first half of fiscal 2015 was $2.6 million related to business expansion, inventory storage and process improvement projects. Other capital spending included new and replacement containers and Water Treatment trucks.</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Cash used in financing activities was $5.1 million for the six months ended September 28, 2014, as compared to $3.4 million in the same period of the prior fiscal year, with the increase in the current year driven by common stock repurchases of $1.4 million.</w:t>
      </w:r>
    </w:p>
    <w:p>
      <w:pPr>
        <w:spacing w:after="0" w:line="11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Cash and investments were $61.6 million at September 28, 2014, a decrease of $1.6 million as compared with the $63.2 million available as of March 30, 2014, due to cash outflows for dividends, capital expenditures, and the share repurchase program described above exceeding the cash flows generated from operations during the six months ended September 28, 2014.</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cash balances and cash flows from operations will be sufficient to fund our cash requirements including acquisitions or other strategic relationships for the foreseeable future. We periodically evaluate opportunities to borrow funds or sell additional equity or debt securities for strategic reasons or to further strengthen our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significant accounting policies are set forth in Note 1 to our consolidated financial statements in our Annual Report on Form 10-K for the fiscal year ended March 30, 2014. The accounting policies used in preparing our interim fiscal 2015 condensed consolidated financial statements are the same as those described in our Annual Report.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March 30, 2014.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 September 28, 2014, our investment portfolio included $34.9 million of certificates of deposit and municipal bonds classified as fixed income securities and cash and cash equivalents of $26.7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impairment occurs that is other than temporary.</w:t>
      </w:r>
    </w:p>
    <w:p>
      <w:pPr>
        <w:spacing w:after="0" w:line="11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as our pricing must be competitive.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2015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46" w:right="259" w:bottom="1440" w:gutter="0" w:footer="0" w:header="0"/>
        </w:sectPr>
      </w:pPr>
    </w:p>
    <w:bookmarkStart w:id="16" w:name="page17"/>
    <w:bookmarkEnd w:id="16"/>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March 30, 2014.</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We did not sell or repurchase any shares of our common stock during the second quarter of fiscal 2015. As of September 28, 2014 the maximum number of shares available to be repurchased under the share repurchase program was 260,830.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580"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ITEM 6.</w:t>
            </w:r>
          </w:p>
        </w:tc>
        <w:tc>
          <w:tcPr>
            <w:tcW w:w="8720" w:type="dxa"/>
            <w:vAlign w:val="bottom"/>
            <w:gridSpan w:val="3"/>
          </w:tcPr>
          <w:p>
            <w:pPr>
              <w:ind w:left="260"/>
              <w:spacing w:after="0"/>
              <w:rPr>
                <w:sz w:val="20"/>
                <w:szCs w:val="20"/>
                <w:color w:val="auto"/>
              </w:rPr>
            </w:pPr>
            <w:r>
              <w:rPr>
                <w:rFonts w:ascii="Arial" w:cs="Arial" w:eastAsia="Arial" w:hAnsi="Arial"/>
                <w:sz w:val="18"/>
                <w:szCs w:val="18"/>
                <w:color w:val="auto"/>
              </w:rPr>
              <w:t>EXHIBITS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720" w:type="dxa"/>
            <w:vAlign w:val="bottom"/>
            <w:gridSpan w:val="2"/>
          </w:tcPr>
          <w:p>
            <w:pPr>
              <w:ind w:left="500"/>
              <w:spacing w:after="0"/>
              <w:rPr>
                <w:sz w:val="20"/>
                <w:szCs w:val="20"/>
                <w:color w:val="auto"/>
              </w:rPr>
            </w:pPr>
            <w:r>
              <w:rPr>
                <w:rFonts w:ascii="Arial" w:cs="Arial" w:eastAsia="Arial" w:hAnsi="Arial"/>
                <w:sz w:val="18"/>
                <w:szCs w:val="18"/>
                <w:color w:val="auto"/>
              </w:rPr>
              <w:t>Exhibit Index</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Exhibit</w:t>
            </w:r>
          </w:p>
        </w:tc>
        <w:tc>
          <w:tcPr>
            <w:tcW w:w="400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1980" w:type="dxa"/>
            <w:vAlign w:val="bottom"/>
          </w:tcPr>
          <w:p>
            <w:pPr>
              <w:jc w:val="center"/>
              <w:spacing w:after="0"/>
              <w:rPr>
                <w:sz w:val="20"/>
                <w:szCs w:val="20"/>
                <w:color w:val="auto"/>
              </w:rPr>
            </w:pPr>
            <w:r>
              <w:rPr>
                <w:rFonts w:ascii="Arial" w:cs="Arial" w:eastAsia="Arial" w:hAnsi="Arial"/>
                <w:sz w:val="14"/>
                <w:szCs w:val="14"/>
                <w:color w:val="auto"/>
                <w:w w:val="98"/>
              </w:rPr>
              <w:t>Method of Filing</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3.1</w:t>
            </w:r>
          </w:p>
        </w:tc>
        <w:tc>
          <w:tcPr>
            <w:tcW w:w="8720" w:type="dxa"/>
            <w:vAlign w:val="bottom"/>
            <w:gridSpan w:val="3"/>
            <w:vMerge w:val="restart"/>
          </w:tcPr>
          <w:p>
            <w:pPr>
              <w:ind w:left="80"/>
              <w:spacing w:after="0"/>
              <w:rPr>
                <w:sz w:val="20"/>
                <w:szCs w:val="20"/>
                <w:color w:val="auto"/>
              </w:rPr>
            </w:pPr>
            <w:r>
              <w:rPr>
                <w:rFonts w:ascii="Arial" w:cs="Arial" w:eastAsia="Arial" w:hAnsi="Arial"/>
                <w:sz w:val="18"/>
                <w:szCs w:val="18"/>
                <w:color w:val="auto"/>
              </w:rPr>
              <w:t>Amended and Restated Articles of Incorporation. (1)</w:t>
            </w: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40" w:type="dxa"/>
            <w:vAlign w:val="bottom"/>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720" w:type="dxa"/>
            <w:vAlign w:val="bottom"/>
            <w:gridSpan w:val="3"/>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Amended and Restated By-Laws. (2)</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31.1</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31.2</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32.1</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Section 1350 Certification by Chief Executive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32.2</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Section 1350 Certification by 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56"/>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101</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w w:val="94"/>
              </w:rPr>
              <w:t>Financial statements from the Quarterly Report on Form 10-Q of Hawkins, Inc. for the period ended September 28,</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20" w:type="dxa"/>
            <w:vAlign w:val="bottom"/>
            <w:gridSpan w:val="3"/>
          </w:tcPr>
          <w:p>
            <w:pPr>
              <w:ind w:left="80"/>
              <w:spacing w:after="0"/>
              <w:rPr>
                <w:sz w:val="20"/>
                <w:szCs w:val="20"/>
                <w:color w:val="auto"/>
              </w:rPr>
            </w:pPr>
            <w:r>
              <w:rPr>
                <w:rFonts w:ascii="Arial" w:cs="Arial" w:eastAsia="Arial" w:hAnsi="Arial"/>
                <w:sz w:val="18"/>
                <w:szCs w:val="18"/>
                <w:color w:val="auto"/>
                <w:w w:val="94"/>
              </w:rPr>
              <w:t>2014 filed with the SEC on October 29, 2014, formatted in Extensible Business Reporting Language (XBRL); (i) the</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Condensed Consolidated Balance Sheets at September 28, 2014 and March 30, 2014, (ii) the Condensed</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720" w:type="dxa"/>
            <w:vAlign w:val="bottom"/>
            <w:gridSpan w:val="3"/>
          </w:tcPr>
          <w:p>
            <w:pPr>
              <w:ind w:left="80"/>
              <w:spacing w:after="0"/>
              <w:rPr>
                <w:sz w:val="20"/>
                <w:szCs w:val="20"/>
                <w:color w:val="auto"/>
              </w:rPr>
            </w:pPr>
            <w:r>
              <w:rPr>
                <w:rFonts w:ascii="Arial" w:cs="Arial" w:eastAsia="Arial" w:hAnsi="Arial"/>
                <w:sz w:val="18"/>
                <w:szCs w:val="18"/>
                <w:color w:val="auto"/>
                <w:w w:val="95"/>
              </w:rPr>
              <w:t>Consolidated Statements of Income for the Three and Six Months Ended September 28, 2014 and September 29,</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00" w:right="2200"/>
        <w:spacing w:after="0" w:line="254" w:lineRule="auto"/>
        <w:rPr>
          <w:sz w:val="20"/>
          <w:szCs w:val="20"/>
          <w:color w:val="auto"/>
        </w:rPr>
      </w:pPr>
      <w:r>
        <w:rPr>
          <w:rFonts w:ascii="Arial" w:cs="Arial" w:eastAsia="Arial" w:hAnsi="Arial"/>
          <w:sz w:val="18"/>
          <w:szCs w:val="18"/>
          <w:color w:val="auto"/>
        </w:rPr>
        <w:t>2013, (iii) the Condensed Consolidated Statements of Comprehensive Income for the Three and Six Months Ended September 28, 2014 and September 29, 2013, (iv) the Condensed Consolidated Statements of Cash Flows for the Six Months Ended September 28, 2014 and September 29, 2013, and (v) Notes to Condensed Consolidated Financial Statements.</w:t>
      </w:r>
    </w:p>
    <w:p>
      <w:pPr>
        <w:spacing w:after="0" w:line="190" w:lineRule="exact"/>
        <w:rPr>
          <w:sz w:val="20"/>
          <w:szCs w:val="20"/>
          <w:color w:val="auto"/>
        </w:rPr>
      </w:pPr>
    </w:p>
    <w:p>
      <w:pPr>
        <w:ind w:left="540" w:hanging="316"/>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Quarterly Report on Form 10-Q for the period ended June 30, 2010, filed on July 29, 2010.</w:t>
      </w:r>
    </w:p>
    <w:p>
      <w:pPr>
        <w:spacing w:after="0" w:line="46" w:lineRule="exact"/>
        <w:rPr>
          <w:rFonts w:ascii="Arial" w:cs="Arial" w:eastAsia="Arial" w:hAnsi="Arial"/>
          <w:sz w:val="16"/>
          <w:szCs w:val="16"/>
          <w:color w:val="auto"/>
        </w:rPr>
      </w:pPr>
    </w:p>
    <w:p>
      <w:pPr>
        <w:ind w:left="540" w:hanging="316"/>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Current Report on Form 8-K dated October 28, 2009 and filed November 3, 2009.</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(On behalf of the registrant and as principal financial</w:t>
      </w:r>
    </w:p>
    <w:p>
      <w:pPr>
        <w:spacing w:after="0" w:line="35"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2014</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580" w:right="439" w:bottom="1440" w:gutter="0" w:footer="0" w:header="0"/>
        </w:sectPr>
      </w:pPr>
    </w:p>
    <w:bookmarkStart w:id="19" w:name="page20"/>
    <w:bookmarkEnd w:id="19"/>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7" w:lineRule="exact"/>
        <w:rPr>
          <w:sz w:val="20"/>
          <w:szCs w:val="20"/>
          <w:color w:val="auto"/>
        </w:rPr>
      </w:pPr>
    </w:p>
    <w:p>
      <w:pPr>
        <w:spacing w:after="0"/>
        <w:tabs>
          <w:tab w:leader="none" w:pos="430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46"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w:t>
      </w:r>
    </w:p>
    <w:p>
      <w:pPr>
        <w:spacing w:after="0" w:line="77"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63" w:lineRule="exact"/>
        <w:rPr>
          <w:sz w:val="20"/>
          <w:szCs w:val="20"/>
          <w:color w:val="auto"/>
        </w:rPr>
      </w:pPr>
    </w:p>
    <w:p>
      <w:pPr>
        <w:ind w:left="700" w:hanging="541"/>
        <w:spacing w:after="0" w:line="271" w:lineRule="auto"/>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Financial statements from the Quarterly Report on Form 10-Q of Hawkins, Inc. for the period ended September 28, 2014 filed with the SEC on October 29, 2014, formatted in Extensible Business Reporting Language (XBRL); (i) the Condensed Consolidated Balance Sheets at September 28, 2014 and March 30, 2014, (ii) the Condensed Consolidated Statements of Income for the Three and Six Months Ended September 28, 2014 and September 29, 2013, (iii) the Condensed Consolidated Statements of Comprehensive Income for the Three and Six Months Ended September 28, 2014 and September 29, 2013, (iv) the Condensed Consolidated Statements of Cash Flows for the Six Months Ended September 28, 2014 and September 29, 2013, and (v) Notes to Condensed Consolidated Financial Statements.</w:t>
      </w:r>
    </w:p>
    <w:p>
      <w:pPr>
        <w:spacing w:after="0" w:line="200" w:lineRule="exact"/>
        <w:rPr>
          <w:sz w:val="20"/>
          <w:szCs w:val="20"/>
          <w:color w:val="auto"/>
        </w:rPr>
      </w:pPr>
    </w:p>
    <w:p>
      <w:pPr>
        <w:spacing w:after="0" w:line="24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20955</wp:posOffset>
            </wp:positionV>
            <wp:extent cx="1586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9" w:lineRule="exact"/>
        <w:rPr>
          <w:sz w:val="20"/>
          <w:szCs w:val="20"/>
          <w:color w:val="auto"/>
        </w:rPr>
      </w:pPr>
    </w:p>
    <w:p>
      <w:pPr>
        <w:jc w:val="center"/>
        <w:spacing w:after="0" w:line="362" w:lineRule="auto"/>
        <w:rPr>
          <w:sz w:val="20"/>
          <w:szCs w:val="20"/>
          <w:color w:val="auto"/>
        </w:rPr>
      </w:pPr>
      <w:r>
        <w:rPr>
          <w:rFonts w:ascii="Arial" w:cs="Arial" w:eastAsia="Arial" w:hAnsi="Arial"/>
          <w:sz w:val="16"/>
          <w:szCs w:val="16"/>
          <w:color w:val="auto"/>
        </w:rPr>
        <w:t>Incorporated by Reference Incorporated by Reference Filed Electronically Filed Electronically Filed Electronically Filed Electronically Filed Electronically</w:t>
      </w:r>
    </w:p>
    <w:p>
      <w:pPr>
        <w:sectPr>
          <w:pgSz w:w="11900" w:h="16838" w:orient="portrait"/>
          <w:cols w:equalWidth="0" w:num="2">
            <w:col w:w="8580" w:space="480"/>
            <w:col w:w="1920"/>
          </w:cols>
          <w:pgMar w:left="400" w:top="580" w:right="5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2014</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2014</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28, 2014,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29, 2014</w:t>
      </w:r>
    </w:p>
    <w:p>
      <w:pPr>
        <w:sectPr>
          <w:pgSz w:w="11900" w:h="16838" w:orient="portrait"/>
          <w:cols w:equalWidth="0" w:num="1">
            <w:col w:w="11420"/>
          </w:cols>
          <w:pgMar w:left="240" w:top="5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28, 2014,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29,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0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2019-12-05T10:19:42Z</dcterms:created>
  <dcterms:modified xsi:type="dcterms:W3CDTF">2019-12-05T10:19:42Z</dcterms:modified>
</cp:coreProperties>
</file>